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27"/>
        <w:tblOverlap w:val="never"/>
        <w:tblW w:w="0" w:type="auto"/>
        <w:tblCellMar>
          <w:left w:w="0" w:type="dxa"/>
          <w:right w:w="0" w:type="dxa"/>
        </w:tblCellMar>
        <w:tblLook w:val="04A0" w:firstRow="1" w:lastRow="0" w:firstColumn="1" w:lastColumn="0" w:noHBand="0" w:noVBand="1"/>
      </w:tblPr>
      <w:tblGrid>
        <w:gridCol w:w="412"/>
        <w:gridCol w:w="2668"/>
        <w:gridCol w:w="3864"/>
        <w:gridCol w:w="4384"/>
      </w:tblGrid>
      <w:tr w:rsidR="00A7477D" w14:paraId="1D0B2D17" w14:textId="77777777" w:rsidTr="00A7477D">
        <w:tc>
          <w:tcPr>
            <w:tcW w:w="405" w:type="dxa"/>
          </w:tcPr>
          <w:p w14:paraId="455081C4" w14:textId="77777777" w:rsidR="00A7477D" w:rsidRDefault="00A7477D" w:rsidP="00D95D71">
            <w:pPr>
              <w:ind w:left="113"/>
            </w:pPr>
          </w:p>
          <w:p w14:paraId="3C8F221B" w14:textId="77777777" w:rsidR="00A7477D" w:rsidRDefault="00A7477D" w:rsidP="00D95D71">
            <w:pPr>
              <w:ind w:left="113"/>
            </w:pPr>
          </w:p>
        </w:tc>
        <w:tc>
          <w:tcPr>
            <w:tcW w:w="2669" w:type="dxa"/>
            <w:vAlign w:val="center"/>
          </w:tcPr>
          <w:p w14:paraId="5A1C40D8" w14:textId="77777777" w:rsidR="00A7477D" w:rsidRPr="00D33755" w:rsidRDefault="00A7477D" w:rsidP="00D95D71">
            <w:pPr>
              <w:ind w:left="113"/>
              <w:jc w:val="center"/>
              <w:rPr>
                <w:b/>
              </w:rPr>
            </w:pPr>
            <w:r w:rsidRPr="004664C6">
              <w:rPr>
                <w:b/>
                <w:sz w:val="28"/>
              </w:rPr>
              <w:t>Key question</w:t>
            </w:r>
          </w:p>
        </w:tc>
        <w:tc>
          <w:tcPr>
            <w:tcW w:w="3867" w:type="dxa"/>
            <w:vAlign w:val="center"/>
          </w:tcPr>
          <w:p w14:paraId="08F092E9" w14:textId="77777777" w:rsidR="00A7477D" w:rsidRDefault="00A7477D" w:rsidP="00D95D71">
            <w:pPr>
              <w:ind w:left="113"/>
              <w:jc w:val="center"/>
            </w:pPr>
            <w:r w:rsidRPr="00D33755">
              <w:rPr>
                <w:b/>
              </w:rPr>
              <w:t>Yes, No, N/A or uncertain</w:t>
            </w:r>
            <w:r>
              <w:t xml:space="preserve"> (comments on issues, mitigations or relevant details)</w:t>
            </w:r>
          </w:p>
        </w:tc>
        <w:tc>
          <w:tcPr>
            <w:tcW w:w="4387" w:type="dxa"/>
            <w:vAlign w:val="center"/>
          </w:tcPr>
          <w:p w14:paraId="1040B277" w14:textId="77777777" w:rsidR="00A7477D" w:rsidRPr="00D33755" w:rsidRDefault="00A7477D" w:rsidP="00D95D71">
            <w:pPr>
              <w:ind w:left="113"/>
              <w:jc w:val="center"/>
              <w:rPr>
                <w:b/>
              </w:rPr>
            </w:pPr>
            <w:r w:rsidRPr="004664C6">
              <w:rPr>
                <w:b/>
                <w:sz w:val="28"/>
              </w:rPr>
              <w:t>Why this is important</w:t>
            </w:r>
          </w:p>
        </w:tc>
      </w:tr>
      <w:tr w:rsidR="00A7477D" w14:paraId="300A1889" w14:textId="77777777" w:rsidTr="00A7477D">
        <w:tc>
          <w:tcPr>
            <w:tcW w:w="405" w:type="dxa"/>
            <w:vMerge w:val="restart"/>
            <w:shd w:val="clear" w:color="auto" w:fill="C5E0B3" w:themeFill="accent6" w:themeFillTint="66"/>
            <w:textDirection w:val="btLr"/>
          </w:tcPr>
          <w:p w14:paraId="50CD8520" w14:textId="77777777" w:rsidR="00A7477D" w:rsidRPr="00D33755" w:rsidRDefault="00A7477D" w:rsidP="00D95D71">
            <w:pPr>
              <w:spacing w:after="120"/>
              <w:ind w:left="113" w:right="113"/>
              <w:jc w:val="center"/>
              <w:rPr>
                <w:b/>
              </w:rPr>
            </w:pPr>
            <w:r w:rsidRPr="00D33755">
              <w:rPr>
                <w:b/>
              </w:rPr>
              <w:t>Green spaces</w:t>
            </w:r>
          </w:p>
        </w:tc>
        <w:tc>
          <w:tcPr>
            <w:tcW w:w="2669" w:type="dxa"/>
            <w:shd w:val="clear" w:color="auto" w:fill="C5E0B3" w:themeFill="accent6" w:themeFillTint="66"/>
          </w:tcPr>
          <w:p w14:paraId="7778F82F" w14:textId="77777777" w:rsidR="00A7477D" w:rsidRDefault="00A7477D" w:rsidP="00D95D71">
            <w:pPr>
              <w:ind w:left="113"/>
            </w:pPr>
            <w:r>
              <w:t>Will there be green space within 300m walking distance of all residents?</w:t>
            </w:r>
          </w:p>
        </w:tc>
        <w:tc>
          <w:tcPr>
            <w:tcW w:w="3867" w:type="dxa"/>
            <w:shd w:val="clear" w:color="auto" w:fill="C5E0B3" w:themeFill="accent6" w:themeFillTint="66"/>
          </w:tcPr>
          <w:p w14:paraId="76D621ED" w14:textId="77777777" w:rsidR="00A7477D" w:rsidRDefault="00A7477D" w:rsidP="00D95D71">
            <w:pPr>
              <w:ind w:left="113"/>
            </w:pPr>
          </w:p>
        </w:tc>
        <w:tc>
          <w:tcPr>
            <w:tcW w:w="4387" w:type="dxa"/>
            <w:vMerge w:val="restart"/>
            <w:shd w:val="clear" w:color="auto" w:fill="C5E0B3" w:themeFill="accent6" w:themeFillTint="66"/>
          </w:tcPr>
          <w:p w14:paraId="0FE06EDF" w14:textId="06019D6B" w:rsidR="001608E0" w:rsidRDefault="00A7477D" w:rsidP="00D95D71">
            <w:pPr>
              <w:ind w:left="113"/>
            </w:pPr>
            <w:r>
              <w:t>A</w:t>
            </w:r>
            <w:r w:rsidRPr="00B673A0">
              <w:t>ccess to good quality green spaces</w:t>
            </w:r>
            <w:r>
              <w:t xml:space="preserve"> </w:t>
            </w:r>
            <w:r w:rsidR="001608E0">
              <w:t xml:space="preserve">has </w:t>
            </w:r>
            <w:hyperlink r:id="rId7" w:history="1">
              <w:r w:rsidR="001608E0" w:rsidRPr="0084148C">
                <w:rPr>
                  <w:rStyle w:val="Hyperlink"/>
                </w:rPr>
                <w:t>significant health benefits</w:t>
              </w:r>
            </w:hyperlink>
            <w:r w:rsidR="001608E0">
              <w:t xml:space="preserve"> especially </w:t>
            </w:r>
            <w:r>
              <w:t xml:space="preserve">within a </w:t>
            </w:r>
            <w:hyperlink r:id="rId8" w:history="1">
              <w:r w:rsidR="004B295D">
                <w:rPr>
                  <w:rStyle w:val="Hyperlink"/>
                </w:rPr>
                <w:t>300m</w:t>
              </w:r>
            </w:hyperlink>
            <w:r w:rsidR="004B295D">
              <w:t xml:space="preserve"> walk</w:t>
            </w:r>
            <w:r>
              <w:t xml:space="preserve">. </w:t>
            </w:r>
            <w:hyperlink r:id="rId9" w:history="1">
              <w:r w:rsidRPr="004B295D">
                <w:rPr>
                  <w:rStyle w:val="Hyperlink"/>
                </w:rPr>
                <w:t>Functionality</w:t>
              </w:r>
              <w:r w:rsidR="001608E0" w:rsidRPr="004B295D">
                <w:rPr>
                  <w:rStyle w:val="Hyperlink"/>
                </w:rPr>
                <w:t xml:space="preserve"> of the space is also important</w:t>
              </w:r>
            </w:hyperlink>
            <w:r w:rsidR="001608E0">
              <w:t xml:space="preserve"> e.g. i</w:t>
            </w:r>
            <w:r>
              <w:t xml:space="preserve">ncluding facilities such as play parks, places to sit, shade and ensuring green space is of sufficient size to play, exercise or interact with others. Play parks that are </w:t>
            </w:r>
            <w:hyperlink r:id="rId10" w:history="1">
              <w:r w:rsidRPr="003079B2">
                <w:rPr>
                  <w:rStyle w:val="Hyperlink"/>
                </w:rPr>
                <w:t>inclusive for disabled children</w:t>
              </w:r>
            </w:hyperlink>
            <w:r>
              <w:t xml:space="preserve"> and with a </w:t>
            </w:r>
            <w:hyperlink r:id="rId11" w:history="1">
              <w:r w:rsidRPr="003079B2">
                <w:rPr>
                  <w:rStyle w:val="Hyperlink"/>
                </w:rPr>
                <w:t>variety of equipment</w:t>
              </w:r>
            </w:hyperlink>
            <w:r>
              <w:t xml:space="preserve">, seating for supervising adults and shade for both children and parents could be particularly valuable in allowing children to safely play </w:t>
            </w:r>
            <w:r w:rsidR="001608E0">
              <w:t xml:space="preserve">and be active </w:t>
            </w:r>
            <w:r>
              <w:t>for longer.</w:t>
            </w:r>
            <w:r w:rsidR="006D38A0">
              <w:t xml:space="preserve"> </w:t>
            </w:r>
            <w:r w:rsidR="001608E0">
              <w:t>Community growing opportunities can benefit physical and mental health (including reducing isolation).</w:t>
            </w:r>
          </w:p>
        </w:tc>
      </w:tr>
      <w:tr w:rsidR="00A7477D" w14:paraId="2D44D5AD" w14:textId="77777777" w:rsidTr="00A7477D">
        <w:tc>
          <w:tcPr>
            <w:tcW w:w="405" w:type="dxa"/>
            <w:vMerge/>
            <w:shd w:val="clear" w:color="auto" w:fill="C5E0B3" w:themeFill="accent6" w:themeFillTint="66"/>
          </w:tcPr>
          <w:p w14:paraId="0E5C0A1A" w14:textId="77777777" w:rsidR="00A7477D" w:rsidRDefault="00A7477D" w:rsidP="00D95D71">
            <w:pPr>
              <w:ind w:left="113"/>
            </w:pPr>
          </w:p>
        </w:tc>
        <w:tc>
          <w:tcPr>
            <w:tcW w:w="2669" w:type="dxa"/>
            <w:shd w:val="clear" w:color="auto" w:fill="C5E0B3" w:themeFill="accent6" w:themeFillTint="66"/>
          </w:tcPr>
          <w:p w14:paraId="7BFC421C" w14:textId="77777777" w:rsidR="00A7477D" w:rsidRDefault="00A7477D" w:rsidP="00D95D71">
            <w:pPr>
              <w:ind w:left="113"/>
            </w:pPr>
            <w:r>
              <w:t xml:space="preserve">Will the green spaces </w:t>
            </w:r>
            <w:r w:rsidR="001608E0">
              <w:t xml:space="preserve">be </w:t>
            </w:r>
            <w:r>
              <w:t>large enough to play, enjoy nature</w:t>
            </w:r>
            <w:r w:rsidR="00406ECF">
              <w:t>,</w:t>
            </w:r>
            <w:r>
              <w:t xml:space="preserve"> </w:t>
            </w:r>
            <w:r w:rsidR="00406ECF">
              <w:t>grow food and</w:t>
            </w:r>
            <w:r>
              <w:t xml:space="preserve"> socialise in with places to sit?</w:t>
            </w:r>
          </w:p>
        </w:tc>
        <w:tc>
          <w:tcPr>
            <w:tcW w:w="3867" w:type="dxa"/>
            <w:shd w:val="clear" w:color="auto" w:fill="C5E0B3" w:themeFill="accent6" w:themeFillTint="66"/>
          </w:tcPr>
          <w:p w14:paraId="178134FE" w14:textId="77777777" w:rsidR="00A7477D" w:rsidRDefault="00A7477D" w:rsidP="00D95D71">
            <w:pPr>
              <w:ind w:left="113"/>
            </w:pPr>
          </w:p>
        </w:tc>
        <w:tc>
          <w:tcPr>
            <w:tcW w:w="4387" w:type="dxa"/>
            <w:vMerge/>
            <w:shd w:val="clear" w:color="auto" w:fill="C5E0B3" w:themeFill="accent6" w:themeFillTint="66"/>
          </w:tcPr>
          <w:p w14:paraId="52DAC1AC" w14:textId="77777777" w:rsidR="00A7477D" w:rsidRDefault="00A7477D" w:rsidP="00D95D71">
            <w:pPr>
              <w:ind w:left="113"/>
            </w:pPr>
          </w:p>
        </w:tc>
      </w:tr>
      <w:tr w:rsidR="00A7477D" w14:paraId="6C47FF4E" w14:textId="77777777" w:rsidTr="00A7477D">
        <w:tc>
          <w:tcPr>
            <w:tcW w:w="405" w:type="dxa"/>
            <w:vMerge/>
            <w:shd w:val="clear" w:color="auto" w:fill="C5E0B3" w:themeFill="accent6" w:themeFillTint="66"/>
          </w:tcPr>
          <w:p w14:paraId="44C620CB" w14:textId="77777777" w:rsidR="00A7477D" w:rsidRDefault="00A7477D" w:rsidP="00D95D71">
            <w:pPr>
              <w:ind w:left="113"/>
            </w:pPr>
          </w:p>
        </w:tc>
        <w:tc>
          <w:tcPr>
            <w:tcW w:w="2669" w:type="dxa"/>
            <w:shd w:val="clear" w:color="auto" w:fill="C5E0B3" w:themeFill="accent6" w:themeFillTint="66"/>
          </w:tcPr>
          <w:p w14:paraId="7FE4E881" w14:textId="77777777" w:rsidR="00A7477D" w:rsidRDefault="00A7477D" w:rsidP="00D95D71">
            <w:pPr>
              <w:ind w:left="113"/>
            </w:pPr>
            <w:r>
              <w:t>Will there be inclusive play parks with shad</w:t>
            </w:r>
            <w:r w:rsidR="00775202">
              <w:t>e and a variety of equipment</w:t>
            </w:r>
            <w:r>
              <w:t xml:space="preserve"> </w:t>
            </w:r>
            <w:r w:rsidR="00775202">
              <w:t>s</w:t>
            </w:r>
            <w:r>
              <w:t>uitable for toddlers to teenagers?</w:t>
            </w:r>
          </w:p>
        </w:tc>
        <w:tc>
          <w:tcPr>
            <w:tcW w:w="3867" w:type="dxa"/>
            <w:shd w:val="clear" w:color="auto" w:fill="C5E0B3" w:themeFill="accent6" w:themeFillTint="66"/>
          </w:tcPr>
          <w:p w14:paraId="0BB89820" w14:textId="77777777" w:rsidR="00A7477D" w:rsidRDefault="00A7477D" w:rsidP="00D95D71">
            <w:pPr>
              <w:ind w:left="113"/>
            </w:pPr>
          </w:p>
        </w:tc>
        <w:tc>
          <w:tcPr>
            <w:tcW w:w="4387" w:type="dxa"/>
            <w:vMerge/>
            <w:shd w:val="clear" w:color="auto" w:fill="C5E0B3" w:themeFill="accent6" w:themeFillTint="66"/>
          </w:tcPr>
          <w:p w14:paraId="43B0AF75" w14:textId="77777777" w:rsidR="00A7477D" w:rsidRDefault="00A7477D" w:rsidP="00D95D71">
            <w:pPr>
              <w:ind w:left="113"/>
            </w:pPr>
          </w:p>
        </w:tc>
      </w:tr>
    </w:tbl>
    <w:p w14:paraId="211A5171" w14:textId="77777777" w:rsidR="00635F3F" w:rsidRPr="00645755" w:rsidRDefault="00DB4BF2" w:rsidP="00D95D71">
      <w:pPr>
        <w:pStyle w:val="Heading1"/>
        <w:spacing w:before="0"/>
        <w:ind w:left="113"/>
        <w:rPr>
          <w:b/>
          <w:bCs/>
        </w:rPr>
      </w:pPr>
      <w:r w:rsidRPr="00645755">
        <w:rPr>
          <w:b/>
          <w:bCs/>
        </w:rPr>
        <w:t>Developer’s Checklist for designing a healthy housing development</w:t>
      </w:r>
    </w:p>
    <w:tbl>
      <w:tblPr>
        <w:tblStyle w:val="TableGrid"/>
        <w:tblW w:w="0" w:type="auto"/>
        <w:tblCellMar>
          <w:left w:w="0" w:type="dxa"/>
          <w:right w:w="0" w:type="dxa"/>
        </w:tblCellMar>
        <w:tblLook w:val="04A0" w:firstRow="1" w:lastRow="0" w:firstColumn="1" w:lastColumn="0" w:noHBand="0" w:noVBand="1"/>
      </w:tblPr>
      <w:tblGrid>
        <w:gridCol w:w="412"/>
        <w:gridCol w:w="2670"/>
        <w:gridCol w:w="3861"/>
        <w:gridCol w:w="4385"/>
      </w:tblGrid>
      <w:tr w:rsidR="00DB4BF2" w14:paraId="2B7B489F" w14:textId="77777777" w:rsidTr="009B6694">
        <w:trPr>
          <w:cantSplit/>
          <w:trHeight w:val="20"/>
        </w:trPr>
        <w:tc>
          <w:tcPr>
            <w:tcW w:w="412" w:type="dxa"/>
            <w:vMerge w:val="restart"/>
            <w:shd w:val="clear" w:color="auto" w:fill="BDD6EE" w:themeFill="accent1" w:themeFillTint="66"/>
            <w:textDirection w:val="btLr"/>
          </w:tcPr>
          <w:p w14:paraId="09B32A81" w14:textId="77777777" w:rsidR="00DB4BF2" w:rsidRDefault="00DB4BF2" w:rsidP="00D95D71">
            <w:pPr>
              <w:spacing w:after="120"/>
              <w:ind w:left="113" w:right="113"/>
              <w:jc w:val="center"/>
            </w:pPr>
            <w:r w:rsidRPr="00912416">
              <w:rPr>
                <w:b/>
              </w:rPr>
              <w:t xml:space="preserve">Opportunities to encourage </w:t>
            </w:r>
            <w:r>
              <w:rPr>
                <w:b/>
              </w:rPr>
              <w:t>physical activity</w:t>
            </w:r>
          </w:p>
        </w:tc>
        <w:tc>
          <w:tcPr>
            <w:tcW w:w="2670" w:type="dxa"/>
            <w:shd w:val="clear" w:color="auto" w:fill="BDD6EE" w:themeFill="accent1" w:themeFillTint="66"/>
          </w:tcPr>
          <w:p w14:paraId="39725129" w14:textId="77777777" w:rsidR="001608E0" w:rsidRDefault="001608E0" w:rsidP="00D95D71">
            <w:pPr>
              <w:ind w:left="113"/>
            </w:pPr>
          </w:p>
          <w:p w14:paraId="71A05182" w14:textId="76FDD75F" w:rsidR="00DB4BF2" w:rsidRDefault="00DB4BF2" w:rsidP="00D95D71">
            <w:pPr>
              <w:ind w:left="113"/>
            </w:pPr>
            <w:r>
              <w:t xml:space="preserve">Will </w:t>
            </w:r>
            <w:r w:rsidR="001378D7">
              <w:t xml:space="preserve">accessible and affordable </w:t>
            </w:r>
            <w:r>
              <w:t>facilities for play, leisure, education, retail, health and community activity be within walking distance of all residents?</w:t>
            </w:r>
          </w:p>
          <w:p w14:paraId="2E63CA3C" w14:textId="77777777" w:rsidR="00A7477D" w:rsidRDefault="00A7477D" w:rsidP="00D95D71">
            <w:pPr>
              <w:ind w:left="113"/>
            </w:pPr>
          </w:p>
        </w:tc>
        <w:tc>
          <w:tcPr>
            <w:tcW w:w="3861" w:type="dxa"/>
            <w:shd w:val="clear" w:color="auto" w:fill="BDD6EE" w:themeFill="accent1" w:themeFillTint="66"/>
          </w:tcPr>
          <w:p w14:paraId="455229C0" w14:textId="77777777" w:rsidR="00DB4BF2" w:rsidRDefault="00DB4BF2" w:rsidP="00D95D71">
            <w:pPr>
              <w:ind w:left="113"/>
            </w:pPr>
          </w:p>
        </w:tc>
        <w:tc>
          <w:tcPr>
            <w:tcW w:w="4385" w:type="dxa"/>
            <w:vMerge w:val="restart"/>
            <w:shd w:val="clear" w:color="auto" w:fill="BDD6EE" w:themeFill="accent1" w:themeFillTint="66"/>
          </w:tcPr>
          <w:p w14:paraId="7C188F4D" w14:textId="77777777" w:rsidR="00DB4BF2" w:rsidRDefault="00DB4BF2" w:rsidP="00D95D71">
            <w:pPr>
              <w:ind w:left="113"/>
            </w:pPr>
            <w:r>
              <w:t xml:space="preserve">Ensuring that facilities are within walking and cycling distance of all residents can help increase opportunities for both physical activity and wider wellbeing. Connecting paths between roads and areas may offer more direct routes to facilities and encourage walking rather than driving, particularly when the need to cross busy roads can be minimised. This is especially relevant for children walking to school or play parks. </w:t>
            </w:r>
            <w:hyperlink r:id="rId12" w:history="1">
              <w:r w:rsidRPr="003079B2">
                <w:rPr>
                  <w:rStyle w:val="Hyperlink"/>
                </w:rPr>
                <w:t>Circular walking routes</w:t>
              </w:r>
            </w:hyperlink>
            <w:r>
              <w:t xml:space="preserve"> are also associated with increased physical activity and</w:t>
            </w:r>
            <w:hyperlink r:id="rId13" w:history="1">
              <w:r w:rsidRPr="00504ABC">
                <w:rPr>
                  <w:rStyle w:val="Hyperlink"/>
                </w:rPr>
                <w:t xml:space="preserve"> trees</w:t>
              </w:r>
            </w:hyperlink>
            <w:r>
              <w:t xml:space="preserve"> along walking routes or in green spaces can provide additional </w:t>
            </w:r>
            <w:r w:rsidRPr="00B673A0">
              <w:t>health benefits</w:t>
            </w:r>
            <w:r>
              <w:t xml:space="preserve">. </w:t>
            </w:r>
          </w:p>
          <w:p w14:paraId="553E7408" w14:textId="77777777" w:rsidR="00DB4BF2" w:rsidRDefault="00DB4BF2" w:rsidP="00D95D71">
            <w:pPr>
              <w:ind w:left="113"/>
            </w:pPr>
          </w:p>
          <w:p w14:paraId="57F648DF" w14:textId="77777777" w:rsidR="00DB4BF2" w:rsidRDefault="00DB4BF2" w:rsidP="00D95D71">
            <w:pPr>
              <w:ind w:left="113"/>
            </w:pPr>
            <w:r>
              <w:t xml:space="preserve">Regular seating (such as benches) on key walkways is helpful for all residents to rest or </w:t>
            </w:r>
            <w:proofErr w:type="gramStart"/>
            <w:r>
              <w:t>socialise, but</w:t>
            </w:r>
            <w:proofErr w:type="gramEnd"/>
            <w:r>
              <w:t xml:space="preserve"> is particularly important for allowing people with limited mobility to continue to be active. The Government’s </w:t>
            </w:r>
            <w:hyperlink r:id="rId14" w:history="1">
              <w:r>
                <w:rPr>
                  <w:rStyle w:val="Hyperlink"/>
                </w:rPr>
                <w:t>Manual for Streets</w:t>
              </w:r>
            </w:hyperlink>
            <w:r>
              <w:t xml:space="preserve"> suggests considering seating every 100m.  This distance also meets the </w:t>
            </w:r>
            <w:hyperlink r:id="rId15" w:history="1">
              <w:r>
                <w:rPr>
                  <w:rStyle w:val="Hyperlink"/>
                </w:rPr>
                <w:t xml:space="preserve">Inclusive Mobility </w:t>
              </w:r>
            </w:hyperlink>
            <w:r>
              <w:t> “recommended walking distance limit without a rest” for “mobility impaired people without a walking stick/cane”.</w:t>
            </w:r>
          </w:p>
          <w:p w14:paraId="1E56776B" w14:textId="77777777" w:rsidR="00DB4BF2" w:rsidRDefault="00DB4BF2" w:rsidP="00D95D71">
            <w:pPr>
              <w:ind w:left="113"/>
            </w:pPr>
          </w:p>
          <w:p w14:paraId="22D0DB54" w14:textId="77777777" w:rsidR="00DB4BF2" w:rsidRDefault="00DB4BF2" w:rsidP="00D95D71">
            <w:pPr>
              <w:ind w:left="113"/>
            </w:pPr>
            <w:r>
              <w:t>Appealing pedestrian routes accessible for all and available as soon as people move in are particularly valuable as habits tend to be built early on.</w:t>
            </w:r>
          </w:p>
          <w:p w14:paraId="25EDFFE1" w14:textId="77777777" w:rsidR="00F21F40" w:rsidRDefault="00F21F40" w:rsidP="00D95D71">
            <w:pPr>
              <w:ind w:left="113"/>
            </w:pPr>
          </w:p>
          <w:p w14:paraId="763006A1" w14:textId="652B2CDD" w:rsidR="00F21F40" w:rsidRDefault="005531CB" w:rsidP="00D95D71">
            <w:pPr>
              <w:ind w:left="113"/>
            </w:pPr>
            <w:r>
              <w:t xml:space="preserve">Ensuring it is easy for </w:t>
            </w:r>
            <w:r w:rsidR="00FF636C">
              <w:t>people</w:t>
            </w:r>
            <w:r>
              <w:t xml:space="preserve"> to be physically active is particularly important for developments within Hartlepool </w:t>
            </w:r>
            <w:r w:rsidR="00000352">
              <w:t xml:space="preserve">as </w:t>
            </w:r>
            <w:hyperlink r:id="rId16" w:anchor="page/1/gid/1938133219/pat/15/par/E92000001/ati/502/are/E06000001/yrr/1/cid/4/tbm/1" w:history="1">
              <w:r w:rsidR="00000352" w:rsidRPr="0023582E">
                <w:rPr>
                  <w:rStyle w:val="Hyperlink"/>
                </w:rPr>
                <w:t xml:space="preserve">a significant </w:t>
              </w:r>
              <w:r w:rsidR="00144506" w:rsidRPr="0023582E">
                <w:rPr>
                  <w:rStyle w:val="Hyperlink"/>
                </w:rPr>
                <w:t xml:space="preserve">proportion </w:t>
              </w:r>
              <w:r w:rsidR="00A77944" w:rsidRPr="0023582E">
                <w:rPr>
                  <w:rStyle w:val="Hyperlink"/>
                </w:rPr>
                <w:t xml:space="preserve">of </w:t>
              </w:r>
              <w:r w:rsidR="00652BBE" w:rsidRPr="0023582E">
                <w:rPr>
                  <w:rStyle w:val="Hyperlink"/>
                </w:rPr>
                <w:t>resident</w:t>
              </w:r>
              <w:r w:rsidR="00A77944" w:rsidRPr="0023582E">
                <w:rPr>
                  <w:rStyle w:val="Hyperlink"/>
                </w:rPr>
                <w:t>s do not meet the</w:t>
              </w:r>
              <w:r w:rsidR="00CA39AB" w:rsidRPr="0023582E">
                <w:rPr>
                  <w:rStyle w:val="Hyperlink"/>
                </w:rPr>
                <w:t xml:space="preserve"> level of physical activity recommended for health</w:t>
              </w:r>
            </w:hyperlink>
            <w:r w:rsidR="00CA39AB">
              <w:t xml:space="preserve">. </w:t>
            </w:r>
            <w:r w:rsidR="007E7607">
              <w:t>I</w:t>
            </w:r>
            <w:r w:rsidR="005E401B">
              <w:t xml:space="preserve">ncreasing opportunities for physical activity could </w:t>
            </w:r>
            <w:hyperlink r:id="rId17" w:history="1">
              <w:r w:rsidR="005E401B" w:rsidRPr="00282DF0">
                <w:rPr>
                  <w:rStyle w:val="Hyperlink"/>
                </w:rPr>
                <w:t xml:space="preserve">reduce the risk of </w:t>
              </w:r>
              <w:r w:rsidR="002F1D91" w:rsidRPr="00282DF0">
                <w:rPr>
                  <w:rStyle w:val="Hyperlink"/>
                </w:rPr>
                <w:t>heart disease, stroke and early death</w:t>
              </w:r>
            </w:hyperlink>
            <w:r w:rsidR="002F1D91">
              <w:t xml:space="preserve"> in Hartlepool.</w:t>
            </w:r>
          </w:p>
        </w:tc>
      </w:tr>
      <w:tr w:rsidR="00DB4BF2" w14:paraId="69E08A27" w14:textId="77777777" w:rsidTr="009B6694">
        <w:trPr>
          <w:cantSplit/>
          <w:trHeight w:val="20"/>
        </w:trPr>
        <w:tc>
          <w:tcPr>
            <w:tcW w:w="412" w:type="dxa"/>
            <w:vMerge/>
            <w:textDirection w:val="btLr"/>
          </w:tcPr>
          <w:p w14:paraId="339DD873" w14:textId="77777777" w:rsidR="00DB4BF2" w:rsidRPr="00912416" w:rsidRDefault="00DB4BF2" w:rsidP="00D95D71">
            <w:pPr>
              <w:ind w:left="113" w:right="113"/>
              <w:rPr>
                <w:b/>
              </w:rPr>
            </w:pPr>
          </w:p>
        </w:tc>
        <w:tc>
          <w:tcPr>
            <w:tcW w:w="2670" w:type="dxa"/>
            <w:shd w:val="clear" w:color="auto" w:fill="BDD6EE" w:themeFill="accent1" w:themeFillTint="66"/>
          </w:tcPr>
          <w:p w14:paraId="498581B4" w14:textId="77777777" w:rsidR="001608E0" w:rsidRDefault="001608E0" w:rsidP="00D95D71">
            <w:pPr>
              <w:ind w:left="113"/>
            </w:pPr>
          </w:p>
          <w:p w14:paraId="21CDACA3" w14:textId="77777777" w:rsidR="00DB4BF2" w:rsidRDefault="00DB4BF2" w:rsidP="00D95D71">
            <w:pPr>
              <w:ind w:left="113"/>
            </w:pPr>
            <w:r>
              <w:t xml:space="preserve">Will there be connecting paths between roads and </w:t>
            </w:r>
            <w:proofErr w:type="spellStart"/>
            <w:r>
              <w:t>cul</w:t>
            </w:r>
            <w:proofErr w:type="spellEnd"/>
            <w:r>
              <w:t xml:space="preserve"> de sacs providing more direct walking/cycling routes to facilities and between housing areas? </w:t>
            </w:r>
          </w:p>
          <w:p w14:paraId="6A649F50" w14:textId="77777777" w:rsidR="00A7477D" w:rsidRDefault="00A7477D" w:rsidP="00D95D71">
            <w:pPr>
              <w:ind w:left="113"/>
            </w:pPr>
          </w:p>
        </w:tc>
        <w:tc>
          <w:tcPr>
            <w:tcW w:w="3861" w:type="dxa"/>
            <w:shd w:val="clear" w:color="auto" w:fill="BDD6EE" w:themeFill="accent1" w:themeFillTint="66"/>
          </w:tcPr>
          <w:p w14:paraId="31409F73" w14:textId="77777777" w:rsidR="00DB4BF2" w:rsidRDefault="00DB4BF2" w:rsidP="00D95D71">
            <w:pPr>
              <w:ind w:left="113"/>
            </w:pPr>
          </w:p>
        </w:tc>
        <w:tc>
          <w:tcPr>
            <w:tcW w:w="4385" w:type="dxa"/>
            <w:vMerge/>
          </w:tcPr>
          <w:p w14:paraId="1731BB06" w14:textId="77777777" w:rsidR="00DB4BF2" w:rsidRDefault="00DB4BF2" w:rsidP="00D95D71">
            <w:pPr>
              <w:ind w:left="113"/>
            </w:pPr>
          </w:p>
        </w:tc>
      </w:tr>
      <w:tr w:rsidR="00DB4BF2" w14:paraId="6CC0BDB9" w14:textId="77777777" w:rsidTr="009B6694">
        <w:trPr>
          <w:cantSplit/>
          <w:trHeight w:val="20"/>
        </w:trPr>
        <w:tc>
          <w:tcPr>
            <w:tcW w:w="412" w:type="dxa"/>
            <w:vMerge/>
            <w:textDirection w:val="btLr"/>
          </w:tcPr>
          <w:p w14:paraId="6620E41D" w14:textId="77777777" w:rsidR="00DB4BF2" w:rsidRPr="00912416" w:rsidRDefault="00DB4BF2" w:rsidP="00D95D71">
            <w:pPr>
              <w:ind w:left="113" w:right="113"/>
              <w:rPr>
                <w:b/>
              </w:rPr>
            </w:pPr>
          </w:p>
        </w:tc>
        <w:tc>
          <w:tcPr>
            <w:tcW w:w="2670" w:type="dxa"/>
            <w:shd w:val="clear" w:color="auto" w:fill="BDD6EE" w:themeFill="accent1" w:themeFillTint="66"/>
          </w:tcPr>
          <w:p w14:paraId="16DC2699" w14:textId="77777777" w:rsidR="001608E0" w:rsidRDefault="001608E0" w:rsidP="00D95D71">
            <w:pPr>
              <w:ind w:left="113"/>
            </w:pPr>
          </w:p>
          <w:p w14:paraId="16C16AF1" w14:textId="77777777" w:rsidR="00DB4BF2" w:rsidRDefault="00DB4BF2" w:rsidP="00D95D71">
            <w:pPr>
              <w:ind w:left="113"/>
            </w:pPr>
            <w:r>
              <w:t>Will the need to cross busy roads to reach facilities (especially schools/ play parks) be minimised and safe crossings provided?</w:t>
            </w:r>
          </w:p>
          <w:p w14:paraId="15304B3D" w14:textId="77777777" w:rsidR="00A7477D" w:rsidRDefault="00A7477D" w:rsidP="00D95D71">
            <w:pPr>
              <w:ind w:left="113"/>
            </w:pPr>
          </w:p>
        </w:tc>
        <w:tc>
          <w:tcPr>
            <w:tcW w:w="3861" w:type="dxa"/>
            <w:shd w:val="clear" w:color="auto" w:fill="BDD6EE" w:themeFill="accent1" w:themeFillTint="66"/>
          </w:tcPr>
          <w:p w14:paraId="78C312A9" w14:textId="77777777" w:rsidR="00DB4BF2" w:rsidRDefault="00DB4BF2" w:rsidP="00D95D71">
            <w:pPr>
              <w:ind w:left="113"/>
            </w:pPr>
          </w:p>
        </w:tc>
        <w:tc>
          <w:tcPr>
            <w:tcW w:w="4385" w:type="dxa"/>
            <w:vMerge/>
          </w:tcPr>
          <w:p w14:paraId="6EAFE3BD" w14:textId="77777777" w:rsidR="00DB4BF2" w:rsidRDefault="00DB4BF2" w:rsidP="00D95D71">
            <w:pPr>
              <w:ind w:left="113"/>
            </w:pPr>
          </w:p>
        </w:tc>
      </w:tr>
      <w:tr w:rsidR="00DB4BF2" w14:paraId="5B1B850D" w14:textId="77777777" w:rsidTr="009B6694">
        <w:trPr>
          <w:cantSplit/>
          <w:trHeight w:val="20"/>
        </w:trPr>
        <w:tc>
          <w:tcPr>
            <w:tcW w:w="412" w:type="dxa"/>
            <w:vMerge/>
            <w:textDirection w:val="btLr"/>
          </w:tcPr>
          <w:p w14:paraId="393B49FC" w14:textId="77777777" w:rsidR="00DB4BF2" w:rsidRPr="00912416" w:rsidRDefault="00DB4BF2" w:rsidP="00D95D71">
            <w:pPr>
              <w:ind w:left="113" w:right="113"/>
              <w:rPr>
                <w:b/>
              </w:rPr>
            </w:pPr>
          </w:p>
        </w:tc>
        <w:tc>
          <w:tcPr>
            <w:tcW w:w="2670" w:type="dxa"/>
            <w:shd w:val="clear" w:color="auto" w:fill="BDD6EE" w:themeFill="accent1" w:themeFillTint="66"/>
          </w:tcPr>
          <w:p w14:paraId="3292120D" w14:textId="77777777" w:rsidR="001608E0" w:rsidRDefault="001608E0" w:rsidP="00D95D71">
            <w:pPr>
              <w:ind w:left="113"/>
            </w:pPr>
          </w:p>
          <w:p w14:paraId="28CB5DD5" w14:textId="77777777" w:rsidR="00DB4BF2" w:rsidRDefault="00DB4BF2" w:rsidP="00D95D71">
            <w:pPr>
              <w:ind w:left="113"/>
            </w:pPr>
            <w:r>
              <w:t>Will pathways allow for circular walks of varying sizes, within the development, and by linking to existing pathways outside the development?</w:t>
            </w:r>
          </w:p>
          <w:p w14:paraId="1CDB7771" w14:textId="77777777" w:rsidR="00A7477D" w:rsidRDefault="00A7477D" w:rsidP="00D95D71">
            <w:pPr>
              <w:ind w:left="113"/>
            </w:pPr>
          </w:p>
        </w:tc>
        <w:tc>
          <w:tcPr>
            <w:tcW w:w="3861" w:type="dxa"/>
            <w:shd w:val="clear" w:color="auto" w:fill="BDD6EE" w:themeFill="accent1" w:themeFillTint="66"/>
          </w:tcPr>
          <w:p w14:paraId="2A81F355" w14:textId="77777777" w:rsidR="00DB4BF2" w:rsidRDefault="00DB4BF2" w:rsidP="00D95D71">
            <w:pPr>
              <w:ind w:left="113"/>
            </w:pPr>
          </w:p>
        </w:tc>
        <w:tc>
          <w:tcPr>
            <w:tcW w:w="4385" w:type="dxa"/>
            <w:vMerge/>
          </w:tcPr>
          <w:p w14:paraId="5660D014" w14:textId="77777777" w:rsidR="00DB4BF2" w:rsidRDefault="00DB4BF2" w:rsidP="00D95D71">
            <w:pPr>
              <w:ind w:left="113"/>
            </w:pPr>
          </w:p>
        </w:tc>
      </w:tr>
      <w:tr w:rsidR="00A7477D" w14:paraId="1B5474BB" w14:textId="77777777" w:rsidTr="009B6694">
        <w:trPr>
          <w:cantSplit/>
          <w:trHeight w:val="20"/>
        </w:trPr>
        <w:tc>
          <w:tcPr>
            <w:tcW w:w="412" w:type="dxa"/>
            <w:vMerge/>
            <w:textDirection w:val="btLr"/>
          </w:tcPr>
          <w:p w14:paraId="49CC323E" w14:textId="77777777" w:rsidR="00A7477D" w:rsidRPr="00912416" w:rsidRDefault="00A7477D" w:rsidP="00D95D71">
            <w:pPr>
              <w:ind w:left="113" w:right="113"/>
              <w:rPr>
                <w:b/>
              </w:rPr>
            </w:pPr>
          </w:p>
        </w:tc>
        <w:tc>
          <w:tcPr>
            <w:tcW w:w="2670" w:type="dxa"/>
            <w:shd w:val="clear" w:color="auto" w:fill="BDD6EE" w:themeFill="accent1" w:themeFillTint="66"/>
          </w:tcPr>
          <w:p w14:paraId="39B04B4B" w14:textId="79084D72" w:rsidR="00A7477D" w:rsidRDefault="00A7477D" w:rsidP="00D95D71">
            <w:pPr>
              <w:ind w:left="113"/>
            </w:pPr>
            <w:r>
              <w:t>Will pathways be accessible to all (e.g. level</w:t>
            </w:r>
            <w:r w:rsidR="00870E80">
              <w:t>,</w:t>
            </w:r>
            <w:r>
              <w:t xml:space="preserve"> with benches provided around 100m apart on key routes), enhanced by trees or other green surroundings and available to use when people move in?</w:t>
            </w:r>
          </w:p>
        </w:tc>
        <w:tc>
          <w:tcPr>
            <w:tcW w:w="3861" w:type="dxa"/>
            <w:shd w:val="clear" w:color="auto" w:fill="BDD6EE" w:themeFill="accent1" w:themeFillTint="66"/>
          </w:tcPr>
          <w:p w14:paraId="3B453CC3" w14:textId="77777777" w:rsidR="00A7477D" w:rsidRDefault="00A7477D" w:rsidP="00D95D71">
            <w:pPr>
              <w:ind w:left="113"/>
            </w:pPr>
          </w:p>
          <w:p w14:paraId="6A38C760" w14:textId="77777777" w:rsidR="00A7477D" w:rsidRDefault="00A7477D" w:rsidP="00D95D71">
            <w:pPr>
              <w:ind w:left="113"/>
            </w:pPr>
          </w:p>
          <w:p w14:paraId="1F45931B" w14:textId="77777777" w:rsidR="00A7477D" w:rsidRDefault="00A7477D" w:rsidP="00D95D71">
            <w:pPr>
              <w:ind w:left="113"/>
            </w:pPr>
          </w:p>
          <w:p w14:paraId="4B29357F" w14:textId="77777777" w:rsidR="00A7477D" w:rsidRDefault="00A7477D" w:rsidP="00D95D71">
            <w:pPr>
              <w:ind w:left="113"/>
            </w:pPr>
          </w:p>
          <w:p w14:paraId="06F615F1" w14:textId="77777777" w:rsidR="00A7477D" w:rsidRDefault="00A7477D" w:rsidP="00D95D71">
            <w:pPr>
              <w:ind w:left="113"/>
            </w:pPr>
          </w:p>
          <w:p w14:paraId="29B478FF" w14:textId="77777777" w:rsidR="00A7477D" w:rsidRDefault="00A7477D" w:rsidP="00D95D71">
            <w:pPr>
              <w:ind w:left="113"/>
            </w:pPr>
          </w:p>
          <w:p w14:paraId="0B929C31" w14:textId="77777777" w:rsidR="00A7477D" w:rsidRDefault="00A7477D" w:rsidP="00D95D71">
            <w:pPr>
              <w:ind w:left="113"/>
            </w:pPr>
          </w:p>
          <w:p w14:paraId="127EB734" w14:textId="77777777" w:rsidR="00A7477D" w:rsidRDefault="00A7477D" w:rsidP="00D95D71">
            <w:pPr>
              <w:ind w:left="113"/>
            </w:pPr>
          </w:p>
        </w:tc>
        <w:tc>
          <w:tcPr>
            <w:tcW w:w="4385" w:type="dxa"/>
            <w:vMerge/>
          </w:tcPr>
          <w:p w14:paraId="22471099" w14:textId="77777777" w:rsidR="00A7477D" w:rsidRDefault="00A7477D" w:rsidP="00D95D71">
            <w:pPr>
              <w:ind w:left="113"/>
            </w:pPr>
          </w:p>
        </w:tc>
      </w:tr>
      <w:tr w:rsidR="0084148C" w14:paraId="0EF4E6E6" w14:textId="77777777" w:rsidTr="009B6694">
        <w:trPr>
          <w:cantSplit/>
          <w:trHeight w:val="1134"/>
        </w:trPr>
        <w:tc>
          <w:tcPr>
            <w:tcW w:w="412" w:type="dxa"/>
            <w:vMerge w:val="restart"/>
            <w:shd w:val="clear" w:color="auto" w:fill="F7CAAC" w:themeFill="accent2" w:themeFillTint="66"/>
            <w:textDirection w:val="btLr"/>
          </w:tcPr>
          <w:p w14:paraId="120EF7CA" w14:textId="77777777" w:rsidR="0084148C" w:rsidRDefault="0084148C" w:rsidP="00D95D71">
            <w:pPr>
              <w:ind w:left="113" w:right="113"/>
              <w:jc w:val="center"/>
              <w:rPr>
                <w:b/>
              </w:rPr>
            </w:pPr>
            <w:r>
              <w:rPr>
                <w:b/>
              </w:rPr>
              <w:lastRenderedPageBreak/>
              <w:t>Housing</w:t>
            </w:r>
          </w:p>
        </w:tc>
        <w:tc>
          <w:tcPr>
            <w:tcW w:w="2670" w:type="dxa"/>
            <w:shd w:val="clear" w:color="auto" w:fill="F7CAAC" w:themeFill="accent2" w:themeFillTint="66"/>
          </w:tcPr>
          <w:p w14:paraId="6344A94B" w14:textId="77777777" w:rsidR="0084148C" w:rsidRDefault="0084148C" w:rsidP="00D95D71">
            <w:pPr>
              <w:ind w:left="113"/>
            </w:pPr>
            <w:r>
              <w:t xml:space="preserve">Will appealing affordable homes be provided and distributed throughout the development? </w:t>
            </w:r>
          </w:p>
        </w:tc>
        <w:tc>
          <w:tcPr>
            <w:tcW w:w="3861" w:type="dxa"/>
            <w:shd w:val="clear" w:color="auto" w:fill="F7CAAC" w:themeFill="accent2" w:themeFillTint="66"/>
          </w:tcPr>
          <w:p w14:paraId="5C1F82D4" w14:textId="77777777" w:rsidR="0084148C" w:rsidRDefault="0084148C" w:rsidP="00D95D71">
            <w:pPr>
              <w:ind w:left="113"/>
            </w:pPr>
          </w:p>
        </w:tc>
        <w:tc>
          <w:tcPr>
            <w:tcW w:w="4385" w:type="dxa"/>
            <w:vMerge w:val="restart"/>
            <w:shd w:val="clear" w:color="auto" w:fill="F7CAAC" w:themeFill="accent2" w:themeFillTint="66"/>
          </w:tcPr>
          <w:p w14:paraId="3FEADE06" w14:textId="77777777" w:rsidR="0084148C" w:rsidRDefault="0084148C" w:rsidP="00D95D71">
            <w:pPr>
              <w:ind w:left="113"/>
            </w:pPr>
            <w:r w:rsidRPr="00B673A0">
              <w:t xml:space="preserve">Having a home which is safe, warm, affordable and suitable to your needs is one of the basic building blocks of health. People who are homeless tend to have much poorer health and </w:t>
            </w:r>
            <w:hyperlink r:id="rId18" w:history="1">
              <w:r w:rsidRPr="00504ABC">
                <w:rPr>
                  <w:rStyle w:val="Hyperlink"/>
                </w:rPr>
                <w:t>die around 30 years earlier</w:t>
              </w:r>
            </w:hyperlink>
            <w:r w:rsidRPr="00B673A0">
              <w:t xml:space="preserve"> than other people.</w:t>
            </w:r>
            <w:r>
              <w:t xml:space="preserve"> Availability of healthy, affordable homes</w:t>
            </w:r>
            <w:r w:rsidRPr="00B673A0">
              <w:t>, could help reduce the significant health inequalities across Hartlepool.</w:t>
            </w:r>
            <w:r w:rsidR="006D38A0">
              <w:t xml:space="preserve"> </w:t>
            </w:r>
          </w:p>
          <w:p w14:paraId="3054724F" w14:textId="77777777" w:rsidR="0084148C" w:rsidRDefault="0084148C" w:rsidP="00D95D71">
            <w:pPr>
              <w:ind w:left="113"/>
            </w:pPr>
          </w:p>
          <w:p w14:paraId="32B20A48" w14:textId="6FFC167D" w:rsidR="0084148C" w:rsidRDefault="0084148C" w:rsidP="00D95D71">
            <w:pPr>
              <w:ind w:left="113"/>
            </w:pPr>
            <w:r>
              <w:t xml:space="preserve">Space for dining separately from living rooms can reduce </w:t>
            </w:r>
            <w:hyperlink r:id="rId19" w:history="1">
              <w:r w:rsidRPr="00BD1F43">
                <w:rPr>
                  <w:rStyle w:val="Hyperlink"/>
                </w:rPr>
                <w:t xml:space="preserve">TV </w:t>
              </w:r>
              <w:r w:rsidR="00BD1F43" w:rsidRPr="00BD1F43">
                <w:rPr>
                  <w:rStyle w:val="Hyperlink"/>
                </w:rPr>
                <w:t>dinners which can result in less healthy</w:t>
              </w:r>
              <w:r w:rsidRPr="00BD1F43">
                <w:rPr>
                  <w:rStyle w:val="Hyperlink"/>
                </w:rPr>
                <w:t xml:space="preserve"> eating and less social interaction</w:t>
              </w:r>
            </w:hyperlink>
            <w:r>
              <w:t>. Space may also be used for more active hobbies.</w:t>
            </w:r>
          </w:p>
          <w:p w14:paraId="73412DDE" w14:textId="77777777" w:rsidR="0084148C" w:rsidRDefault="0084148C" w:rsidP="00D95D71">
            <w:pPr>
              <w:ind w:left="113"/>
            </w:pPr>
          </w:p>
          <w:p w14:paraId="268982F4" w14:textId="2C6D1DF2" w:rsidR="0084148C" w:rsidRDefault="0084148C" w:rsidP="00D95D71">
            <w:pPr>
              <w:ind w:left="113"/>
            </w:pPr>
            <w:r>
              <w:t>Accessible and adaptable housing</w:t>
            </w:r>
            <w:r w:rsidRPr="00B673A0">
              <w:t xml:space="preserve"> is particularly important locally</w:t>
            </w:r>
            <w:r>
              <w:t xml:space="preserve"> since</w:t>
            </w:r>
            <w:r w:rsidRPr="00B673A0">
              <w:t xml:space="preserve"> </w:t>
            </w:r>
            <w:r>
              <w:t>Hartlepool has a growing number of people aged over 65 years</w:t>
            </w:r>
            <w:r w:rsidRPr="00B673A0">
              <w:t xml:space="preserve"> and </w:t>
            </w:r>
            <w:hyperlink r:id="rId20" w:anchor="page/1/gid/1/pat/6/ati/402/are/E06000001/iid/10601/age/183/sex/4/cat/-1/ctp/-1/yrr/1/cid/4/tbm/1" w:history="1">
              <w:r w:rsidRPr="00504ABC">
                <w:rPr>
                  <w:rStyle w:val="Hyperlink"/>
                </w:rPr>
                <w:t>almost a quarter of Hartlepool residents reported a long-term illness or disability</w:t>
              </w:r>
            </w:hyperlink>
            <w:r w:rsidRPr="00B673A0">
              <w:t xml:space="preserve">. Having a home and community which </w:t>
            </w:r>
            <w:r>
              <w:t>meets your needs</w:t>
            </w:r>
            <w:r w:rsidRPr="00B673A0">
              <w:t xml:space="preserve"> is likely to have significant </w:t>
            </w:r>
            <w:r>
              <w:t xml:space="preserve">positive </w:t>
            </w:r>
            <w:r w:rsidRPr="00B673A0">
              <w:t>impact</w:t>
            </w:r>
            <w:r>
              <w:t>s</w:t>
            </w:r>
            <w:r w:rsidRPr="00B673A0">
              <w:t xml:space="preserve"> on physic</w:t>
            </w:r>
            <w:r>
              <w:t>al, mental and social wellbeing.</w:t>
            </w:r>
          </w:p>
          <w:p w14:paraId="0471944D" w14:textId="77777777" w:rsidR="0084148C" w:rsidRDefault="0084148C" w:rsidP="00D95D71">
            <w:pPr>
              <w:ind w:left="113"/>
            </w:pPr>
          </w:p>
          <w:p w14:paraId="1452F04B" w14:textId="77777777" w:rsidR="0084148C" w:rsidRDefault="0084148C" w:rsidP="00D95D71">
            <w:pPr>
              <w:ind w:left="113"/>
            </w:pPr>
            <w:r>
              <w:t xml:space="preserve">Suitable outdoor spaces for drying clothes are important as </w:t>
            </w:r>
            <w:hyperlink r:id="rId21" w:history="1">
              <w:r w:rsidRPr="0065461B">
                <w:rPr>
                  <w:rStyle w:val="Hyperlink"/>
                </w:rPr>
                <w:t>indoor drying can lead to condensation</w:t>
              </w:r>
            </w:hyperlink>
            <w:r>
              <w:t xml:space="preserve"> and mould with significant health effects. </w:t>
            </w:r>
            <w:hyperlink r:id="rId22" w:history="1">
              <w:r w:rsidRPr="00BD1F43">
                <w:rPr>
                  <w:rStyle w:val="Hyperlink"/>
                </w:rPr>
                <w:t>Food growing</w:t>
              </w:r>
            </w:hyperlink>
            <w:r>
              <w:t xml:space="preserve"> and gardening have positive mental and physical health</w:t>
            </w:r>
            <w:r w:rsidR="00BD1F43">
              <w:t xml:space="preserve"> impacts</w:t>
            </w:r>
            <w:r>
              <w:t xml:space="preserve">. </w:t>
            </w:r>
            <w:hyperlink r:id="rId23" w:anchor="bibr14-2165079915612789" w:history="1">
              <w:r w:rsidRPr="00BD1F43">
                <w:rPr>
                  <w:rStyle w:val="Hyperlink"/>
                </w:rPr>
                <w:t>Convenient and visible stairs</w:t>
              </w:r>
            </w:hyperlink>
            <w:r>
              <w:t xml:space="preserve"> are more likely to be used which increases physical activity.</w:t>
            </w:r>
          </w:p>
          <w:p w14:paraId="4CD92810" w14:textId="77777777" w:rsidR="0084148C" w:rsidRDefault="0084148C" w:rsidP="00D95D71">
            <w:pPr>
              <w:ind w:left="113"/>
            </w:pPr>
          </w:p>
          <w:p w14:paraId="41E2DE35" w14:textId="77777777" w:rsidR="0084148C" w:rsidRDefault="0084148C" w:rsidP="00D95D71">
            <w:pPr>
              <w:ind w:left="113"/>
            </w:pPr>
            <w:r>
              <w:t xml:space="preserve">Falls from multi-storey buildings can have an increased fatality risk. </w:t>
            </w:r>
            <w:hyperlink r:id="rId24" w:history="1">
              <w:r w:rsidRPr="0065461B">
                <w:rPr>
                  <w:rStyle w:val="Hyperlink"/>
                </w:rPr>
                <w:t>Effective safety barriers/access restrictions</w:t>
              </w:r>
            </w:hyperlink>
            <w:r>
              <w:t xml:space="preserve"> can reduce the chance of both accidental falls and suicides.</w:t>
            </w:r>
          </w:p>
          <w:p w14:paraId="37735C6A" w14:textId="77777777" w:rsidR="0084148C" w:rsidRDefault="0084148C" w:rsidP="00D95D71">
            <w:pPr>
              <w:ind w:left="113"/>
            </w:pPr>
          </w:p>
          <w:p w14:paraId="5FAD1B15" w14:textId="77777777" w:rsidR="0084148C" w:rsidRDefault="0084148C" w:rsidP="00D95D71">
            <w:pPr>
              <w:ind w:left="113"/>
            </w:pPr>
            <w:r w:rsidRPr="00B673A0">
              <w:t xml:space="preserve">Renewable </w:t>
            </w:r>
            <w:r>
              <w:t xml:space="preserve">energy systems, and other energy efficiency measures, could assist in reducing the health effects of cold homes by reducing energy costs. </w:t>
            </w:r>
            <w:hyperlink r:id="rId25" w:history="1">
              <w:r w:rsidRPr="0065461B">
                <w:rPr>
                  <w:rStyle w:val="Hyperlink"/>
                </w:rPr>
                <w:t>Cold homes increase the risk of infections, heart attacks, and strokes</w:t>
              </w:r>
            </w:hyperlink>
            <w:r>
              <w:t xml:space="preserve">. Older adults are particularly vulnerable to the effects of cold homes and it is estimated that </w:t>
            </w:r>
            <w:hyperlink r:id="rId26" w:history="1">
              <w:r w:rsidRPr="0065461B">
                <w:rPr>
                  <w:rStyle w:val="Hyperlink"/>
                </w:rPr>
                <w:t>several thousand people die each year in England and Wales due to cold homes</w:t>
              </w:r>
            </w:hyperlink>
            <w:r>
              <w:t xml:space="preserve">. Developments which </w:t>
            </w:r>
            <w:proofErr w:type="gramStart"/>
            <w:r>
              <w:t>take into account</w:t>
            </w:r>
            <w:proofErr w:type="gramEnd"/>
            <w:r>
              <w:t xml:space="preserve"> energy efficiency (e.g. use of renewable energy, insulation and use of natural light), could help reduce deaths due to cold homes</w:t>
            </w:r>
          </w:p>
        </w:tc>
      </w:tr>
      <w:tr w:rsidR="0084148C" w14:paraId="7D686D98" w14:textId="77777777" w:rsidTr="009B6694">
        <w:trPr>
          <w:cantSplit/>
          <w:trHeight w:val="1134"/>
        </w:trPr>
        <w:tc>
          <w:tcPr>
            <w:tcW w:w="412" w:type="dxa"/>
            <w:vMerge/>
            <w:shd w:val="clear" w:color="auto" w:fill="F7CAAC" w:themeFill="accent2" w:themeFillTint="66"/>
            <w:textDirection w:val="btLr"/>
            <w:vAlign w:val="center"/>
          </w:tcPr>
          <w:p w14:paraId="644AB91A" w14:textId="77777777" w:rsidR="0084148C" w:rsidRDefault="0084148C" w:rsidP="00D95D71">
            <w:pPr>
              <w:ind w:left="113" w:right="113"/>
              <w:jc w:val="center"/>
              <w:rPr>
                <w:b/>
              </w:rPr>
            </w:pPr>
          </w:p>
        </w:tc>
        <w:tc>
          <w:tcPr>
            <w:tcW w:w="2670" w:type="dxa"/>
            <w:shd w:val="clear" w:color="auto" w:fill="F7CAAC" w:themeFill="accent2" w:themeFillTint="66"/>
          </w:tcPr>
          <w:p w14:paraId="21AC1973" w14:textId="77777777" w:rsidR="0084148C" w:rsidRDefault="0084148C" w:rsidP="00D95D71">
            <w:pPr>
              <w:ind w:left="113"/>
            </w:pPr>
            <w:r w:rsidRPr="00336246">
              <w:t>Will homes include sufficient space for dining separate from living areas, be adaptable (e.g. doorways/halls wide enough for wheelchairs), have natural light, adequate ventilation and private outdoor space?</w:t>
            </w:r>
          </w:p>
        </w:tc>
        <w:tc>
          <w:tcPr>
            <w:tcW w:w="3861" w:type="dxa"/>
            <w:shd w:val="clear" w:color="auto" w:fill="F7CAAC" w:themeFill="accent2" w:themeFillTint="66"/>
          </w:tcPr>
          <w:p w14:paraId="6259260B" w14:textId="77777777" w:rsidR="0084148C" w:rsidRDefault="0084148C" w:rsidP="00D95D71">
            <w:pPr>
              <w:ind w:left="113"/>
            </w:pPr>
          </w:p>
        </w:tc>
        <w:tc>
          <w:tcPr>
            <w:tcW w:w="4385" w:type="dxa"/>
            <w:vMerge/>
            <w:shd w:val="clear" w:color="auto" w:fill="F7CAAC" w:themeFill="accent2" w:themeFillTint="66"/>
          </w:tcPr>
          <w:p w14:paraId="111568F6" w14:textId="77777777" w:rsidR="0084148C" w:rsidRPr="00B673A0" w:rsidRDefault="0084148C" w:rsidP="00D95D71">
            <w:pPr>
              <w:ind w:left="113"/>
            </w:pPr>
          </w:p>
        </w:tc>
      </w:tr>
      <w:tr w:rsidR="0084148C" w14:paraId="2CF78A43" w14:textId="77777777" w:rsidTr="009B6694">
        <w:trPr>
          <w:cantSplit/>
          <w:trHeight w:val="1134"/>
        </w:trPr>
        <w:tc>
          <w:tcPr>
            <w:tcW w:w="412" w:type="dxa"/>
            <w:vMerge/>
            <w:shd w:val="clear" w:color="auto" w:fill="F7CAAC" w:themeFill="accent2" w:themeFillTint="66"/>
            <w:textDirection w:val="btLr"/>
          </w:tcPr>
          <w:p w14:paraId="2A416452" w14:textId="77777777" w:rsidR="0084148C" w:rsidRPr="00912416" w:rsidRDefault="0084148C" w:rsidP="00D95D71">
            <w:pPr>
              <w:ind w:left="113" w:right="113"/>
              <w:rPr>
                <w:b/>
              </w:rPr>
            </w:pPr>
          </w:p>
        </w:tc>
        <w:tc>
          <w:tcPr>
            <w:tcW w:w="2670" w:type="dxa"/>
            <w:shd w:val="clear" w:color="auto" w:fill="F7CAAC" w:themeFill="accent2" w:themeFillTint="66"/>
          </w:tcPr>
          <w:p w14:paraId="29B25A42" w14:textId="77777777" w:rsidR="0084148C" w:rsidRDefault="0084148C" w:rsidP="00D95D71">
            <w:pPr>
              <w:ind w:left="113"/>
            </w:pPr>
            <w:r>
              <w:t>Will accessible housing be provided for disabled people and older people?</w:t>
            </w:r>
          </w:p>
        </w:tc>
        <w:tc>
          <w:tcPr>
            <w:tcW w:w="3861" w:type="dxa"/>
            <w:shd w:val="clear" w:color="auto" w:fill="F7CAAC" w:themeFill="accent2" w:themeFillTint="66"/>
          </w:tcPr>
          <w:p w14:paraId="3A3D5FDB" w14:textId="77777777" w:rsidR="0084148C" w:rsidRDefault="0084148C" w:rsidP="00D95D71">
            <w:pPr>
              <w:ind w:left="113"/>
            </w:pPr>
          </w:p>
        </w:tc>
        <w:tc>
          <w:tcPr>
            <w:tcW w:w="4385" w:type="dxa"/>
            <w:vMerge/>
            <w:shd w:val="clear" w:color="auto" w:fill="F7CAAC" w:themeFill="accent2" w:themeFillTint="66"/>
          </w:tcPr>
          <w:p w14:paraId="5F933224" w14:textId="77777777" w:rsidR="0084148C" w:rsidRDefault="0084148C" w:rsidP="00D95D71">
            <w:pPr>
              <w:ind w:left="113"/>
            </w:pPr>
          </w:p>
        </w:tc>
      </w:tr>
      <w:tr w:rsidR="0084148C" w14:paraId="41CAC68B" w14:textId="77777777" w:rsidTr="009B6694">
        <w:trPr>
          <w:cantSplit/>
          <w:trHeight w:val="1134"/>
        </w:trPr>
        <w:tc>
          <w:tcPr>
            <w:tcW w:w="412" w:type="dxa"/>
            <w:vMerge/>
            <w:shd w:val="clear" w:color="auto" w:fill="F7CAAC" w:themeFill="accent2" w:themeFillTint="66"/>
            <w:textDirection w:val="btLr"/>
          </w:tcPr>
          <w:p w14:paraId="2F7FF77F" w14:textId="77777777" w:rsidR="0084148C" w:rsidRPr="00912416" w:rsidRDefault="0084148C" w:rsidP="00D95D71">
            <w:pPr>
              <w:ind w:left="113" w:right="113"/>
              <w:rPr>
                <w:b/>
              </w:rPr>
            </w:pPr>
          </w:p>
        </w:tc>
        <w:tc>
          <w:tcPr>
            <w:tcW w:w="2670" w:type="dxa"/>
            <w:shd w:val="clear" w:color="auto" w:fill="F7CAAC" w:themeFill="accent2" w:themeFillTint="66"/>
          </w:tcPr>
          <w:p w14:paraId="5B467DBB" w14:textId="77777777" w:rsidR="0084148C" w:rsidRPr="001608E0" w:rsidRDefault="0084148C" w:rsidP="00D95D71">
            <w:pPr>
              <w:ind w:left="113"/>
            </w:pPr>
            <w:r w:rsidRPr="001608E0">
              <w:t xml:space="preserve">If blocks of flats are included, is there sufficient outdoor space for drying clothes and growing food/gardening, and are stairs more prominent than lifts? </w:t>
            </w:r>
          </w:p>
          <w:p w14:paraId="3A524A6C" w14:textId="77777777" w:rsidR="0084148C" w:rsidRPr="001608E0" w:rsidRDefault="0084148C" w:rsidP="00D95D71">
            <w:pPr>
              <w:ind w:left="113"/>
            </w:pPr>
          </w:p>
          <w:p w14:paraId="01FDE2C3" w14:textId="77777777" w:rsidR="0084148C" w:rsidRDefault="0084148C" w:rsidP="00D95D71">
            <w:pPr>
              <w:ind w:left="113"/>
            </w:pPr>
            <w:r w:rsidRPr="001608E0">
              <w:t>Are measures to reduce suicide/accident risk addressed?</w:t>
            </w:r>
          </w:p>
          <w:p w14:paraId="03F0F7EF" w14:textId="77777777" w:rsidR="0084148C" w:rsidRPr="001608E0" w:rsidRDefault="0084148C" w:rsidP="00D95D71">
            <w:pPr>
              <w:ind w:left="113"/>
            </w:pPr>
          </w:p>
        </w:tc>
        <w:tc>
          <w:tcPr>
            <w:tcW w:w="3861" w:type="dxa"/>
            <w:shd w:val="clear" w:color="auto" w:fill="F7CAAC" w:themeFill="accent2" w:themeFillTint="66"/>
          </w:tcPr>
          <w:p w14:paraId="4E643BEE" w14:textId="77777777" w:rsidR="0084148C" w:rsidRDefault="0084148C" w:rsidP="00D95D71">
            <w:pPr>
              <w:ind w:left="113"/>
            </w:pPr>
          </w:p>
        </w:tc>
        <w:tc>
          <w:tcPr>
            <w:tcW w:w="4385" w:type="dxa"/>
            <w:vMerge/>
            <w:shd w:val="clear" w:color="auto" w:fill="F7CAAC" w:themeFill="accent2" w:themeFillTint="66"/>
          </w:tcPr>
          <w:p w14:paraId="765BFB76" w14:textId="77777777" w:rsidR="0084148C" w:rsidRDefault="0084148C" w:rsidP="00D95D71">
            <w:pPr>
              <w:ind w:left="113"/>
            </w:pPr>
          </w:p>
        </w:tc>
      </w:tr>
      <w:tr w:rsidR="0084148C" w14:paraId="7CAF8A69" w14:textId="77777777" w:rsidTr="009B6694">
        <w:trPr>
          <w:cantSplit/>
          <w:trHeight w:val="1134"/>
        </w:trPr>
        <w:tc>
          <w:tcPr>
            <w:tcW w:w="412" w:type="dxa"/>
            <w:vMerge/>
            <w:shd w:val="clear" w:color="auto" w:fill="F7CAAC" w:themeFill="accent2" w:themeFillTint="66"/>
            <w:textDirection w:val="btLr"/>
          </w:tcPr>
          <w:p w14:paraId="1B2F92E6" w14:textId="77777777" w:rsidR="0084148C" w:rsidRPr="00912416" w:rsidRDefault="0084148C" w:rsidP="00D95D71">
            <w:pPr>
              <w:ind w:left="113" w:right="113"/>
              <w:rPr>
                <w:b/>
              </w:rPr>
            </w:pPr>
          </w:p>
        </w:tc>
        <w:tc>
          <w:tcPr>
            <w:tcW w:w="2670" w:type="dxa"/>
            <w:shd w:val="clear" w:color="auto" w:fill="F7CAAC" w:themeFill="accent2" w:themeFillTint="66"/>
          </w:tcPr>
          <w:p w14:paraId="0B233136" w14:textId="77777777" w:rsidR="0084148C" w:rsidRPr="001608E0" w:rsidRDefault="0084148C" w:rsidP="00D95D71">
            <w:pPr>
              <w:ind w:left="113"/>
            </w:pPr>
            <w:r>
              <w:t xml:space="preserve">Will </w:t>
            </w:r>
            <w:r w:rsidR="000D1557">
              <w:t xml:space="preserve">homes be </w:t>
            </w:r>
            <w:r w:rsidR="00775202">
              <w:t>energy efficient</w:t>
            </w:r>
            <w:r>
              <w:t xml:space="preserve"> </w:t>
            </w:r>
            <w:r w:rsidR="000D1557">
              <w:t>with</w:t>
            </w:r>
            <w:r>
              <w:t xml:space="preserve"> renewable energy </w:t>
            </w:r>
            <w:r w:rsidR="000D1557">
              <w:t>systems</w:t>
            </w:r>
            <w:r>
              <w:t>?</w:t>
            </w:r>
          </w:p>
        </w:tc>
        <w:tc>
          <w:tcPr>
            <w:tcW w:w="3861" w:type="dxa"/>
            <w:shd w:val="clear" w:color="auto" w:fill="F7CAAC" w:themeFill="accent2" w:themeFillTint="66"/>
          </w:tcPr>
          <w:p w14:paraId="6023AC2C" w14:textId="77777777" w:rsidR="0084148C" w:rsidRDefault="0084148C" w:rsidP="00D95D71">
            <w:pPr>
              <w:ind w:left="113"/>
            </w:pPr>
          </w:p>
        </w:tc>
        <w:tc>
          <w:tcPr>
            <w:tcW w:w="4385" w:type="dxa"/>
            <w:vMerge/>
            <w:shd w:val="clear" w:color="auto" w:fill="F7CAAC" w:themeFill="accent2" w:themeFillTint="66"/>
          </w:tcPr>
          <w:p w14:paraId="5390FFBB" w14:textId="77777777" w:rsidR="0084148C" w:rsidRDefault="0084148C" w:rsidP="00D95D71">
            <w:pPr>
              <w:ind w:left="113"/>
            </w:pPr>
          </w:p>
        </w:tc>
      </w:tr>
      <w:tr w:rsidR="00DB4BF2" w14:paraId="45939F0B" w14:textId="77777777" w:rsidTr="009B6694">
        <w:trPr>
          <w:cantSplit/>
          <w:trHeight w:val="1134"/>
        </w:trPr>
        <w:tc>
          <w:tcPr>
            <w:tcW w:w="412" w:type="dxa"/>
            <w:shd w:val="clear" w:color="auto" w:fill="FFE599" w:themeFill="accent4" w:themeFillTint="66"/>
            <w:textDirection w:val="btLr"/>
          </w:tcPr>
          <w:p w14:paraId="755DEA68" w14:textId="77777777" w:rsidR="00DB4BF2" w:rsidRDefault="00DB4BF2" w:rsidP="00D95D71">
            <w:pPr>
              <w:ind w:left="113" w:right="113"/>
              <w:rPr>
                <w:b/>
              </w:rPr>
            </w:pPr>
            <w:r>
              <w:rPr>
                <w:b/>
              </w:rPr>
              <w:t>Other impacts &amp; groups</w:t>
            </w:r>
          </w:p>
        </w:tc>
        <w:tc>
          <w:tcPr>
            <w:tcW w:w="2670" w:type="dxa"/>
            <w:shd w:val="clear" w:color="auto" w:fill="FFE599" w:themeFill="accent4" w:themeFillTint="66"/>
          </w:tcPr>
          <w:p w14:paraId="484987C0" w14:textId="77777777" w:rsidR="00DB4BF2" w:rsidRDefault="00DB4BF2" w:rsidP="00D95D71">
            <w:pPr>
              <w:ind w:left="113"/>
            </w:pPr>
            <w:r w:rsidRPr="001608E0">
              <w:t xml:space="preserve">Are there any additional positive or negative impacts for future/nearby residents including for specific </w:t>
            </w:r>
            <w:r w:rsidR="00775202">
              <w:t xml:space="preserve">age </w:t>
            </w:r>
            <w:r w:rsidRPr="001608E0">
              <w:t>groups</w:t>
            </w:r>
            <w:r w:rsidR="00775202">
              <w:t xml:space="preserve"> and</w:t>
            </w:r>
            <w:r w:rsidRPr="001608E0">
              <w:t xml:space="preserve"> people on low income</w:t>
            </w:r>
            <w:r w:rsidR="00775202">
              <w:t>s</w:t>
            </w:r>
            <w:r w:rsidRPr="001608E0">
              <w:t>,</w:t>
            </w:r>
            <w:r w:rsidR="00775202">
              <w:t xml:space="preserve"> with</w:t>
            </w:r>
            <w:r w:rsidRPr="001608E0">
              <w:t xml:space="preserve"> poor health/disability or with protected characteristics?</w:t>
            </w:r>
          </w:p>
          <w:p w14:paraId="2EF6992F" w14:textId="77777777" w:rsidR="002F01A0" w:rsidRPr="00474EC1" w:rsidRDefault="002F01A0" w:rsidP="00D95D71">
            <w:pPr>
              <w:ind w:left="113"/>
              <w:rPr>
                <w:color w:val="FF0000"/>
              </w:rPr>
            </w:pPr>
          </w:p>
        </w:tc>
        <w:tc>
          <w:tcPr>
            <w:tcW w:w="3861" w:type="dxa"/>
            <w:shd w:val="clear" w:color="auto" w:fill="FFE599" w:themeFill="accent4" w:themeFillTint="66"/>
          </w:tcPr>
          <w:p w14:paraId="455F6E39" w14:textId="77777777" w:rsidR="00DB4BF2" w:rsidRDefault="00DB4BF2" w:rsidP="00D95D71">
            <w:pPr>
              <w:ind w:left="113"/>
            </w:pPr>
          </w:p>
        </w:tc>
        <w:tc>
          <w:tcPr>
            <w:tcW w:w="4385" w:type="dxa"/>
            <w:shd w:val="clear" w:color="auto" w:fill="FFE599" w:themeFill="accent4" w:themeFillTint="66"/>
          </w:tcPr>
          <w:p w14:paraId="79146BDA" w14:textId="77777777" w:rsidR="00DB4BF2" w:rsidRDefault="00FB53E2" w:rsidP="00D95D71">
            <w:pPr>
              <w:ind w:left="113"/>
            </w:pPr>
            <w:r>
              <w:t>Every development is different so there may be development-specific effects on public health that would be helpful to consider</w:t>
            </w:r>
            <w:r w:rsidR="00336246">
              <w:t>.</w:t>
            </w:r>
          </w:p>
          <w:p w14:paraId="1F7A80A9" w14:textId="77777777" w:rsidR="00336246" w:rsidRDefault="00336246" w:rsidP="00D95D71">
            <w:pPr>
              <w:ind w:left="113"/>
            </w:pPr>
          </w:p>
          <w:p w14:paraId="39A68D9D" w14:textId="77777777" w:rsidR="00336246" w:rsidRDefault="00336246" w:rsidP="00D95D71">
            <w:pPr>
              <w:ind w:left="113"/>
            </w:pPr>
            <w:r>
              <w:t xml:space="preserve">Considering effects on </w:t>
            </w:r>
            <w:proofErr w:type="gramStart"/>
            <w:r>
              <w:t>particular groups</w:t>
            </w:r>
            <w:proofErr w:type="gramEnd"/>
            <w:r>
              <w:t xml:space="preserve"> is important to avoid worsening unfair difference</w:t>
            </w:r>
            <w:r w:rsidR="00911502">
              <w:t>s</w:t>
            </w:r>
            <w:r>
              <w:t xml:space="preserve"> in health.</w:t>
            </w:r>
          </w:p>
        </w:tc>
      </w:tr>
    </w:tbl>
    <w:p w14:paraId="4B494F1F" w14:textId="77777777" w:rsidR="00DB4BF2" w:rsidRPr="00DB4BF2" w:rsidRDefault="00DB4BF2" w:rsidP="00D95D71">
      <w:pPr>
        <w:ind w:left="113"/>
      </w:pPr>
    </w:p>
    <w:sectPr w:rsidR="00DB4BF2" w:rsidRPr="00DB4BF2" w:rsidSect="00DB4BF2">
      <w:endnotePr>
        <w:numFmt w:val="decimal"/>
      </w:endnotePr>
      <w:pgSz w:w="11906" w:h="16838"/>
      <w:pgMar w:top="284" w:right="284"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E1D8" w14:textId="77777777" w:rsidR="007A7577" w:rsidRDefault="007A7577" w:rsidP="00DB4BF2">
      <w:pPr>
        <w:spacing w:after="0" w:line="240" w:lineRule="auto"/>
      </w:pPr>
      <w:r>
        <w:separator/>
      </w:r>
    </w:p>
  </w:endnote>
  <w:endnote w:type="continuationSeparator" w:id="0">
    <w:p w14:paraId="6F375479" w14:textId="77777777" w:rsidR="007A7577" w:rsidRDefault="007A7577" w:rsidP="00DB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9765" w14:textId="77777777" w:rsidR="007A7577" w:rsidRDefault="007A7577" w:rsidP="00DB4BF2">
      <w:pPr>
        <w:spacing w:after="0" w:line="240" w:lineRule="auto"/>
      </w:pPr>
      <w:r>
        <w:separator/>
      </w:r>
    </w:p>
  </w:footnote>
  <w:footnote w:type="continuationSeparator" w:id="0">
    <w:p w14:paraId="7DDE80C5" w14:textId="77777777" w:rsidR="007A7577" w:rsidRDefault="007A7577" w:rsidP="00DB4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F2"/>
    <w:rsid w:val="00000352"/>
    <w:rsid w:val="000229A3"/>
    <w:rsid w:val="0009527E"/>
    <w:rsid w:val="000D1557"/>
    <w:rsid w:val="001378D7"/>
    <w:rsid w:val="00144506"/>
    <w:rsid w:val="001608E0"/>
    <w:rsid w:val="00175886"/>
    <w:rsid w:val="00193E74"/>
    <w:rsid w:val="001D54C5"/>
    <w:rsid w:val="0023582E"/>
    <w:rsid w:val="00282DF0"/>
    <w:rsid w:val="002F01A0"/>
    <w:rsid w:val="002F1D91"/>
    <w:rsid w:val="00303E8C"/>
    <w:rsid w:val="003079B2"/>
    <w:rsid w:val="00336246"/>
    <w:rsid w:val="003E6D0D"/>
    <w:rsid w:val="00406ECF"/>
    <w:rsid w:val="004B295D"/>
    <w:rsid w:val="004B5A0B"/>
    <w:rsid w:val="004F391D"/>
    <w:rsid w:val="00504ABC"/>
    <w:rsid w:val="005531CB"/>
    <w:rsid w:val="00573C2D"/>
    <w:rsid w:val="005C7422"/>
    <w:rsid w:val="005E401B"/>
    <w:rsid w:val="00635F3F"/>
    <w:rsid w:val="00645755"/>
    <w:rsid w:val="00652BBE"/>
    <w:rsid w:val="0065461B"/>
    <w:rsid w:val="006D38A0"/>
    <w:rsid w:val="006E6C9C"/>
    <w:rsid w:val="00775202"/>
    <w:rsid w:val="00791408"/>
    <w:rsid w:val="007A7577"/>
    <w:rsid w:val="007E7607"/>
    <w:rsid w:val="0084148C"/>
    <w:rsid w:val="00851B35"/>
    <w:rsid w:val="00870E80"/>
    <w:rsid w:val="008B626C"/>
    <w:rsid w:val="008E7EA1"/>
    <w:rsid w:val="00911502"/>
    <w:rsid w:val="009129D6"/>
    <w:rsid w:val="0092599E"/>
    <w:rsid w:val="00967126"/>
    <w:rsid w:val="009B6694"/>
    <w:rsid w:val="00A714DD"/>
    <w:rsid w:val="00A7477D"/>
    <w:rsid w:val="00A77944"/>
    <w:rsid w:val="00B62C75"/>
    <w:rsid w:val="00BD1F43"/>
    <w:rsid w:val="00CA39AB"/>
    <w:rsid w:val="00D95D71"/>
    <w:rsid w:val="00DB4BF2"/>
    <w:rsid w:val="00E52787"/>
    <w:rsid w:val="00F21F40"/>
    <w:rsid w:val="00F354DF"/>
    <w:rsid w:val="00FB53E2"/>
    <w:rsid w:val="00FD4069"/>
    <w:rsid w:val="00FD47B7"/>
    <w:rsid w:val="00FF6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127E"/>
  <w15:chartTrackingRefBased/>
  <w15:docId w15:val="{5F416D76-552F-48E6-8F08-D2782FFF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F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B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BF2"/>
    <w:rPr>
      <w:color w:val="0000FF"/>
      <w:u w:val="single"/>
    </w:rPr>
  </w:style>
  <w:style w:type="paragraph" w:styleId="EndnoteText">
    <w:name w:val="endnote text"/>
    <w:basedOn w:val="Normal"/>
    <w:link w:val="EndnoteTextChar"/>
    <w:uiPriority w:val="99"/>
    <w:semiHidden/>
    <w:unhideWhenUsed/>
    <w:rsid w:val="00DB4B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4BF2"/>
    <w:rPr>
      <w:sz w:val="20"/>
      <w:szCs w:val="20"/>
    </w:rPr>
  </w:style>
  <w:style w:type="character" w:styleId="EndnoteReference">
    <w:name w:val="endnote reference"/>
    <w:basedOn w:val="DefaultParagraphFont"/>
    <w:uiPriority w:val="99"/>
    <w:semiHidden/>
    <w:unhideWhenUsed/>
    <w:rsid w:val="00DB4BF2"/>
    <w:rPr>
      <w:vertAlign w:val="superscript"/>
    </w:rPr>
  </w:style>
  <w:style w:type="character" w:styleId="FollowedHyperlink">
    <w:name w:val="FollowedHyperlink"/>
    <w:basedOn w:val="DefaultParagraphFont"/>
    <w:uiPriority w:val="99"/>
    <w:semiHidden/>
    <w:unhideWhenUsed/>
    <w:rsid w:val="0084148C"/>
    <w:rPr>
      <w:color w:val="954F72" w:themeColor="followedHyperlink"/>
      <w:u w:val="single"/>
    </w:rPr>
  </w:style>
  <w:style w:type="character" w:styleId="UnresolvedMention">
    <w:name w:val="Unresolved Mention"/>
    <w:basedOn w:val="DefaultParagraphFont"/>
    <w:uiPriority w:val="99"/>
    <w:semiHidden/>
    <w:unhideWhenUsed/>
    <w:rsid w:val="0023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708-021-10474-7" TargetMode="External"/><Relationship Id="rId13" Type="http://schemas.openxmlformats.org/officeDocument/2006/relationships/hyperlink" Target="https://link.springer.com/article/10.1007/s10021-019-00395-5" TargetMode="External"/><Relationship Id="rId18" Type="http://schemas.openxmlformats.org/officeDocument/2006/relationships/hyperlink" Target="https://www.local.gov.uk/sites/default/files/documents/22.7%20HEALTH%20AND%20HOMELESSNESS_v08_WEB_0.PDF" TargetMode="External"/><Relationship Id="rId26" Type="http://schemas.openxmlformats.org/officeDocument/2006/relationships/hyperlink" Target="https://www.instituteofhealthequity.org/resources-reports/fuel-poverty-cold-homes-and-health-inequalities-in-the-uk" TargetMode="External"/><Relationship Id="rId3" Type="http://schemas.openxmlformats.org/officeDocument/2006/relationships/settings" Target="settings.xml"/><Relationship Id="rId21" Type="http://schemas.openxmlformats.org/officeDocument/2006/relationships/hyperlink" Target="https://www.hartlepool.gov.uk/info/20192/private_and_rented_accommodation/1170/condensation_damp_and_mould" TargetMode="External"/><Relationship Id="rId7" Type="http://schemas.openxmlformats.org/officeDocument/2006/relationships/hyperlink" Target="https://assets.publishing.service.gov.uk/government/uploads/system/uploads/attachment_data/file/904439/Improving_access_to_greenspace_2020_review.pdf" TargetMode="External"/><Relationship Id="rId12" Type="http://schemas.openxmlformats.org/officeDocument/2006/relationships/hyperlink" Target="https://www.ncbi.nlm.nih.gov/pmc/articles/PMC5289910/" TargetMode="External"/><Relationship Id="rId17" Type="http://schemas.openxmlformats.org/officeDocument/2006/relationships/hyperlink" Target="https://www.nhs.uk/live-well/exercise/exercise-health-benefits/" TargetMode="External"/><Relationship Id="rId25" Type="http://schemas.openxmlformats.org/officeDocument/2006/relationships/hyperlink" Target="https://www.instituteofhealthequity.org/resources-reports/fuel-poverty-cold-homes-and-health-inequalities-in-the-uk" TargetMode="External"/><Relationship Id="rId2" Type="http://schemas.openxmlformats.org/officeDocument/2006/relationships/styles" Target="styles.xml"/><Relationship Id="rId16" Type="http://schemas.openxmlformats.org/officeDocument/2006/relationships/hyperlink" Target="https://fingertips.phe.org.uk/profile/obesity-physical-activity-nutrition/data" TargetMode="External"/><Relationship Id="rId20" Type="http://schemas.openxmlformats.org/officeDocument/2006/relationships/hyperlink" Target="https://fingertips.phe.org.uk/search/disabilit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athsforall.org.uk/mediaLibrary/other/english/outdoor-accessibility-guidance-2023-1.pdf" TargetMode="External"/><Relationship Id="rId24" Type="http://schemas.openxmlformats.org/officeDocument/2006/relationships/hyperlink" Target="https://assets.publishing.service.gov.uk/media/5c2f6f8b40f0b66cf8298a70/Preventing_suicides_in_public_places.pdf" TargetMode="External"/><Relationship Id="rId5" Type="http://schemas.openxmlformats.org/officeDocument/2006/relationships/footnotes" Target="footnotes.xml"/><Relationship Id="rId15" Type="http://schemas.openxmlformats.org/officeDocument/2006/relationships/hyperlink" Target="https://www.gov.uk/government/publications/inclusive-mobility-making-transport-accessible-for-passengers-and-pedestrians" TargetMode="External"/><Relationship Id="rId23" Type="http://schemas.openxmlformats.org/officeDocument/2006/relationships/hyperlink" Target="https://journals.sagepub.com/doi/10.1177/2165079915612789" TargetMode="External"/><Relationship Id="rId28" Type="http://schemas.openxmlformats.org/officeDocument/2006/relationships/theme" Target="theme/theme1.xml"/><Relationship Id="rId10" Type="http://schemas.openxmlformats.org/officeDocument/2006/relationships/hyperlink" Target="https://www.playscotland.org/resources/print/Free-to-Play-Guide-to-Accessible-and-Inclusive-Play-Spaces-Casey-Harbottle-2018.pdf?plsctml_id=11211" TargetMode="External"/><Relationship Id="rId19" Type="http://schemas.openxmlformats.org/officeDocument/2006/relationships/hyperlink" Target="https://pmc.ncbi.nlm.nih.gov/articles/PMC5138085/" TargetMode="External"/><Relationship Id="rId4" Type="http://schemas.openxmlformats.org/officeDocument/2006/relationships/webSettings" Target="webSettings.xml"/><Relationship Id="rId9" Type="http://schemas.openxmlformats.org/officeDocument/2006/relationships/hyperlink" Target="https://www.ncbi.nlm.nih.gov/pmc/articles/PMC4556255/" TargetMode="External"/><Relationship Id="rId14" Type="http://schemas.openxmlformats.org/officeDocument/2006/relationships/hyperlink" Target="https://www.gov.uk/government/publications/manual-for-streets" TargetMode="External"/><Relationship Id="rId22" Type="http://schemas.openxmlformats.org/officeDocument/2006/relationships/hyperlink" Target="https://ehjournal.biomedcentral.com/articles/10.1186/1476-069X-8-S1-S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A1A5-9EC6-4C22-AEF9-0CFEFCC532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1339</Words>
  <Characters>7530</Characters>
  <Application>Microsoft Office Word</Application>
  <DocSecurity>0</DocSecurity>
  <Lines>418</Lines>
  <Paragraphs>57</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Guy</dc:creator>
  <cp:keywords/>
  <dc:description/>
  <cp:lastModifiedBy>Catherine Guy</cp:lastModifiedBy>
  <cp:revision>21</cp:revision>
  <dcterms:created xsi:type="dcterms:W3CDTF">2025-06-21T16:30:00Z</dcterms:created>
  <dcterms:modified xsi:type="dcterms:W3CDTF">2025-10-23T14:23:00Z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1794366013</vt:i4>
  </property>
  <property fmtid="{D5CDD505-2E9C-101B-9397-08002B2CF9AE}" pid="3" name="_NewReviewCycle">
    <vt:lpwstr/>
  </property>
  <property fmtid="{D5CDD505-2E9C-101B-9397-08002B2CF9AE}" pid="4" name="_EmailSubject">
    <vt:lpwstr>HIA docs for meeting</vt:lpwstr>
  </property>
  <property fmtid="{D5CDD505-2E9C-101B-9397-08002B2CF9AE}" pid="5" name="_AuthorEmail">
    <vt:lpwstr>Catherine.Guy@hartlepool.gov.uk</vt:lpwstr>
  </property>
  <property fmtid="{D5CDD505-2E9C-101B-9397-08002B2CF9AE}" pid="6" name="_AuthorEmailDisplayName">
    <vt:lpwstr>Catherine Guy</vt:lpwstr>
  </property>
  <property fmtid="{D5CDD505-2E9C-101B-9397-08002B2CF9AE}" pid="7" name="_ReviewingToolsShownOnce">
    <vt:lpwstr/>
  </property>
</Properties>
</file>