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E5D1F" w14:textId="005DDB57" w:rsidR="00EA01F1" w:rsidRPr="001E05F5" w:rsidRDefault="00EA01F1" w:rsidP="00EA01F1">
      <w:pPr>
        <w:pStyle w:val="Title"/>
      </w:pPr>
      <w:r w:rsidRPr="001E05F5">
        <w:t xml:space="preserve">Options </w:t>
      </w:r>
      <w:r w:rsidR="00302D0E" w:rsidRPr="001E05F5">
        <w:t>Appraisal</w:t>
      </w:r>
      <w:r w:rsidRPr="001E05F5">
        <w:t xml:space="preserve"> Report</w:t>
      </w:r>
    </w:p>
    <w:p w14:paraId="36774C26" w14:textId="77777777" w:rsidR="00EA01F1" w:rsidRPr="001E05F5" w:rsidRDefault="00EA01F1" w:rsidP="00EA01F1">
      <w:pPr>
        <w:pStyle w:val="Subtitle"/>
        <w:rPr>
          <w:sz w:val="22"/>
        </w:rPr>
      </w:pPr>
      <w:r w:rsidRPr="001E05F5">
        <w:rPr>
          <w:sz w:val="22"/>
        </w:rPr>
        <w:t xml:space="preserve">To </w:t>
      </w:r>
      <w:r w:rsidR="002C52BB" w:rsidRPr="001E05F5">
        <w:rPr>
          <w:sz w:val="22"/>
        </w:rPr>
        <w:t>i</w:t>
      </w:r>
      <w:r w:rsidRPr="001E05F5">
        <w:rPr>
          <w:sz w:val="22"/>
        </w:rPr>
        <w:t xml:space="preserve">nform </w:t>
      </w:r>
      <w:r w:rsidR="002C52BB" w:rsidRPr="001E05F5">
        <w:rPr>
          <w:sz w:val="22"/>
        </w:rPr>
        <w:t>the d</w:t>
      </w:r>
      <w:r w:rsidRPr="001E05F5">
        <w:rPr>
          <w:sz w:val="22"/>
        </w:rPr>
        <w:t>evelopment of the Joint Municipal Waste Strategy</w:t>
      </w:r>
    </w:p>
    <w:p w14:paraId="1D73C989" w14:textId="77777777" w:rsidR="00534FAF" w:rsidRDefault="00EA01F1">
      <w:pPr>
        <w:pStyle w:val="TOC1"/>
        <w:tabs>
          <w:tab w:val="right" w:leader="dot" w:pos="9040"/>
        </w:tabs>
        <w:rPr>
          <w:noProof/>
        </w:rPr>
      </w:pPr>
      <w:r w:rsidRPr="001E05F5">
        <w:br w:type="page"/>
      </w:r>
      <w:r w:rsidR="001A2BEF" w:rsidRPr="001E05F5">
        <w:fldChar w:fldCharType="begin"/>
      </w:r>
      <w:r w:rsidR="001A2BEF" w:rsidRPr="001E05F5">
        <w:instrText xml:space="preserve"> TOC \o "1-2" \h \z \u </w:instrText>
      </w:r>
      <w:r w:rsidR="001A2BEF" w:rsidRPr="001E05F5">
        <w:fldChar w:fldCharType="separate"/>
      </w:r>
    </w:p>
    <w:p w14:paraId="7E0745A3" w14:textId="71F32697"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490" w:history="1">
        <w:r w:rsidR="00534FAF" w:rsidRPr="0091608B">
          <w:rPr>
            <w:rStyle w:val="Hyperlink"/>
            <w:noProof/>
          </w:rPr>
          <w:t>1</w:t>
        </w:r>
        <w:r w:rsidR="00534FAF">
          <w:rPr>
            <w:rFonts w:asciiTheme="minorHAnsi" w:eastAsiaTheme="minorEastAsia" w:hAnsiTheme="minorHAnsi" w:cstheme="minorBidi"/>
            <w:b w:val="0"/>
            <w:caps w:val="0"/>
            <w:noProof/>
            <w:sz w:val="24"/>
            <w:szCs w:val="24"/>
          </w:rPr>
          <w:tab/>
        </w:r>
        <w:r w:rsidR="00534FAF" w:rsidRPr="0091608B">
          <w:rPr>
            <w:rStyle w:val="Hyperlink"/>
            <w:noProof/>
          </w:rPr>
          <w:t>Introduction</w:t>
        </w:r>
        <w:r w:rsidR="00534FAF">
          <w:rPr>
            <w:noProof/>
            <w:webHidden/>
          </w:rPr>
          <w:tab/>
        </w:r>
        <w:r w:rsidR="00534FAF">
          <w:rPr>
            <w:noProof/>
            <w:webHidden/>
          </w:rPr>
          <w:fldChar w:fldCharType="begin"/>
        </w:r>
        <w:r w:rsidR="00534FAF">
          <w:rPr>
            <w:noProof/>
            <w:webHidden/>
          </w:rPr>
          <w:instrText xml:space="preserve"> PAGEREF _Toc521426490 \h </w:instrText>
        </w:r>
        <w:r w:rsidR="00534FAF">
          <w:rPr>
            <w:noProof/>
            <w:webHidden/>
          </w:rPr>
        </w:r>
        <w:r w:rsidR="00534FAF">
          <w:rPr>
            <w:noProof/>
            <w:webHidden/>
          </w:rPr>
          <w:fldChar w:fldCharType="separate"/>
        </w:r>
        <w:r w:rsidR="00534FAF">
          <w:rPr>
            <w:noProof/>
            <w:webHidden/>
          </w:rPr>
          <w:t>1</w:t>
        </w:r>
        <w:r w:rsidR="00534FAF">
          <w:rPr>
            <w:noProof/>
            <w:webHidden/>
          </w:rPr>
          <w:fldChar w:fldCharType="end"/>
        </w:r>
      </w:hyperlink>
    </w:p>
    <w:p w14:paraId="7807793E" w14:textId="598B9735"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491" w:history="1">
        <w:r w:rsidR="00534FAF" w:rsidRPr="0091608B">
          <w:rPr>
            <w:rStyle w:val="Hyperlink"/>
            <w:noProof/>
          </w:rPr>
          <w:t>1.1</w:t>
        </w:r>
        <w:r w:rsidR="00534FAF">
          <w:rPr>
            <w:rFonts w:asciiTheme="minorHAnsi" w:eastAsiaTheme="minorEastAsia" w:hAnsiTheme="minorHAnsi" w:cstheme="minorBidi"/>
            <w:noProof/>
            <w:sz w:val="24"/>
            <w:szCs w:val="24"/>
          </w:rPr>
          <w:tab/>
        </w:r>
        <w:r w:rsidR="00534FAF" w:rsidRPr="0091608B">
          <w:rPr>
            <w:rStyle w:val="Hyperlink"/>
            <w:noProof/>
          </w:rPr>
          <w:t>Options Assessment Process</w:t>
        </w:r>
        <w:r w:rsidR="00534FAF">
          <w:rPr>
            <w:noProof/>
            <w:webHidden/>
          </w:rPr>
          <w:tab/>
        </w:r>
        <w:r w:rsidR="00534FAF">
          <w:rPr>
            <w:noProof/>
            <w:webHidden/>
          </w:rPr>
          <w:fldChar w:fldCharType="begin"/>
        </w:r>
        <w:r w:rsidR="00534FAF">
          <w:rPr>
            <w:noProof/>
            <w:webHidden/>
          </w:rPr>
          <w:instrText xml:space="preserve"> PAGEREF _Toc521426491 \h </w:instrText>
        </w:r>
        <w:r w:rsidR="00534FAF">
          <w:rPr>
            <w:noProof/>
            <w:webHidden/>
          </w:rPr>
        </w:r>
        <w:r w:rsidR="00534FAF">
          <w:rPr>
            <w:noProof/>
            <w:webHidden/>
          </w:rPr>
          <w:fldChar w:fldCharType="separate"/>
        </w:r>
        <w:r w:rsidR="00534FAF">
          <w:rPr>
            <w:noProof/>
            <w:webHidden/>
          </w:rPr>
          <w:t>1</w:t>
        </w:r>
        <w:r w:rsidR="00534FAF">
          <w:rPr>
            <w:noProof/>
            <w:webHidden/>
          </w:rPr>
          <w:fldChar w:fldCharType="end"/>
        </w:r>
      </w:hyperlink>
    </w:p>
    <w:p w14:paraId="51C3499E" w14:textId="6AF7B130"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492" w:history="1">
        <w:r w:rsidR="00534FAF" w:rsidRPr="0091608B">
          <w:rPr>
            <w:rStyle w:val="Hyperlink"/>
            <w:noProof/>
          </w:rPr>
          <w:t>2</w:t>
        </w:r>
        <w:r w:rsidR="00534FAF">
          <w:rPr>
            <w:rFonts w:asciiTheme="minorHAnsi" w:eastAsiaTheme="minorEastAsia" w:hAnsiTheme="minorHAnsi" w:cstheme="minorBidi"/>
            <w:b w:val="0"/>
            <w:caps w:val="0"/>
            <w:noProof/>
            <w:sz w:val="24"/>
            <w:szCs w:val="24"/>
          </w:rPr>
          <w:tab/>
        </w:r>
        <w:r w:rsidR="00534FAF" w:rsidRPr="0091608B">
          <w:rPr>
            <w:rStyle w:val="Hyperlink"/>
            <w:noProof/>
          </w:rPr>
          <w:t>Waste Strategy Objectives</w:t>
        </w:r>
        <w:r w:rsidR="00534FAF">
          <w:rPr>
            <w:noProof/>
            <w:webHidden/>
          </w:rPr>
          <w:tab/>
        </w:r>
        <w:r w:rsidR="00534FAF">
          <w:rPr>
            <w:noProof/>
            <w:webHidden/>
          </w:rPr>
          <w:fldChar w:fldCharType="begin"/>
        </w:r>
        <w:r w:rsidR="00534FAF">
          <w:rPr>
            <w:noProof/>
            <w:webHidden/>
          </w:rPr>
          <w:instrText xml:space="preserve"> PAGEREF _Toc521426492 \h </w:instrText>
        </w:r>
        <w:r w:rsidR="00534FAF">
          <w:rPr>
            <w:noProof/>
            <w:webHidden/>
          </w:rPr>
        </w:r>
        <w:r w:rsidR="00534FAF">
          <w:rPr>
            <w:noProof/>
            <w:webHidden/>
          </w:rPr>
          <w:fldChar w:fldCharType="separate"/>
        </w:r>
        <w:r w:rsidR="00534FAF">
          <w:rPr>
            <w:noProof/>
            <w:webHidden/>
          </w:rPr>
          <w:t>2</w:t>
        </w:r>
        <w:r w:rsidR="00534FAF">
          <w:rPr>
            <w:noProof/>
            <w:webHidden/>
          </w:rPr>
          <w:fldChar w:fldCharType="end"/>
        </w:r>
      </w:hyperlink>
    </w:p>
    <w:p w14:paraId="4BEC033F" w14:textId="0EEE2E58"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493" w:history="1">
        <w:r w:rsidR="00534FAF" w:rsidRPr="0091608B">
          <w:rPr>
            <w:rStyle w:val="Hyperlink"/>
            <w:noProof/>
          </w:rPr>
          <w:t>2.1</w:t>
        </w:r>
        <w:r w:rsidR="00534FAF">
          <w:rPr>
            <w:rFonts w:asciiTheme="minorHAnsi" w:eastAsiaTheme="minorEastAsia" w:hAnsiTheme="minorHAnsi" w:cstheme="minorBidi"/>
            <w:noProof/>
            <w:sz w:val="24"/>
            <w:szCs w:val="24"/>
          </w:rPr>
          <w:tab/>
        </w:r>
        <w:r w:rsidR="00534FAF" w:rsidRPr="0091608B">
          <w:rPr>
            <w:rStyle w:val="Hyperlink"/>
            <w:noProof/>
          </w:rPr>
          <w:t>Historical perspective</w:t>
        </w:r>
        <w:r w:rsidR="00534FAF">
          <w:rPr>
            <w:noProof/>
            <w:webHidden/>
          </w:rPr>
          <w:tab/>
        </w:r>
        <w:r w:rsidR="00534FAF">
          <w:rPr>
            <w:noProof/>
            <w:webHidden/>
          </w:rPr>
          <w:fldChar w:fldCharType="begin"/>
        </w:r>
        <w:r w:rsidR="00534FAF">
          <w:rPr>
            <w:noProof/>
            <w:webHidden/>
          </w:rPr>
          <w:instrText xml:space="preserve"> PAGEREF _Toc521426493 \h </w:instrText>
        </w:r>
        <w:r w:rsidR="00534FAF">
          <w:rPr>
            <w:noProof/>
            <w:webHidden/>
          </w:rPr>
        </w:r>
        <w:r w:rsidR="00534FAF">
          <w:rPr>
            <w:noProof/>
            <w:webHidden/>
          </w:rPr>
          <w:fldChar w:fldCharType="separate"/>
        </w:r>
        <w:r w:rsidR="00534FAF">
          <w:rPr>
            <w:noProof/>
            <w:webHidden/>
          </w:rPr>
          <w:t>2</w:t>
        </w:r>
        <w:r w:rsidR="00534FAF">
          <w:rPr>
            <w:noProof/>
            <w:webHidden/>
          </w:rPr>
          <w:fldChar w:fldCharType="end"/>
        </w:r>
      </w:hyperlink>
    </w:p>
    <w:p w14:paraId="3845615A" w14:textId="5C0FC8C2"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494" w:history="1">
        <w:r w:rsidR="00534FAF" w:rsidRPr="0091608B">
          <w:rPr>
            <w:rStyle w:val="Hyperlink"/>
            <w:noProof/>
          </w:rPr>
          <w:t>2.2</w:t>
        </w:r>
        <w:r w:rsidR="00534FAF">
          <w:rPr>
            <w:rFonts w:asciiTheme="minorHAnsi" w:eastAsiaTheme="minorEastAsia" w:hAnsiTheme="minorHAnsi" w:cstheme="minorBidi"/>
            <w:noProof/>
            <w:sz w:val="24"/>
            <w:szCs w:val="24"/>
          </w:rPr>
          <w:tab/>
        </w:r>
        <w:r w:rsidR="00534FAF" w:rsidRPr="0091608B">
          <w:rPr>
            <w:rStyle w:val="Hyperlink"/>
            <w:noProof/>
          </w:rPr>
          <w:t>Policy Driver Developments</w:t>
        </w:r>
        <w:r w:rsidR="00534FAF">
          <w:rPr>
            <w:noProof/>
            <w:webHidden/>
          </w:rPr>
          <w:tab/>
        </w:r>
        <w:r w:rsidR="00534FAF">
          <w:rPr>
            <w:noProof/>
            <w:webHidden/>
          </w:rPr>
          <w:fldChar w:fldCharType="begin"/>
        </w:r>
        <w:r w:rsidR="00534FAF">
          <w:rPr>
            <w:noProof/>
            <w:webHidden/>
          </w:rPr>
          <w:instrText xml:space="preserve"> PAGEREF _Toc521426494 \h </w:instrText>
        </w:r>
        <w:r w:rsidR="00534FAF">
          <w:rPr>
            <w:noProof/>
            <w:webHidden/>
          </w:rPr>
        </w:r>
        <w:r w:rsidR="00534FAF">
          <w:rPr>
            <w:noProof/>
            <w:webHidden/>
          </w:rPr>
          <w:fldChar w:fldCharType="separate"/>
        </w:r>
        <w:r w:rsidR="00534FAF">
          <w:rPr>
            <w:noProof/>
            <w:webHidden/>
          </w:rPr>
          <w:t>2</w:t>
        </w:r>
        <w:r w:rsidR="00534FAF">
          <w:rPr>
            <w:noProof/>
            <w:webHidden/>
          </w:rPr>
          <w:fldChar w:fldCharType="end"/>
        </w:r>
      </w:hyperlink>
    </w:p>
    <w:p w14:paraId="58B48EE3" w14:textId="13CD2136"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495" w:history="1">
        <w:r w:rsidR="00534FAF" w:rsidRPr="0091608B">
          <w:rPr>
            <w:rStyle w:val="Hyperlink"/>
            <w:noProof/>
          </w:rPr>
          <w:t>3</w:t>
        </w:r>
        <w:r w:rsidR="00534FAF">
          <w:rPr>
            <w:rFonts w:asciiTheme="minorHAnsi" w:eastAsiaTheme="minorEastAsia" w:hAnsiTheme="minorHAnsi" w:cstheme="minorBidi"/>
            <w:b w:val="0"/>
            <w:caps w:val="0"/>
            <w:noProof/>
            <w:sz w:val="24"/>
            <w:szCs w:val="24"/>
          </w:rPr>
          <w:tab/>
        </w:r>
        <w:r w:rsidR="00534FAF" w:rsidRPr="0091608B">
          <w:rPr>
            <w:rStyle w:val="Hyperlink"/>
            <w:noProof/>
          </w:rPr>
          <w:t>Options Appraisal Methodology</w:t>
        </w:r>
        <w:r w:rsidR="00534FAF">
          <w:rPr>
            <w:noProof/>
            <w:webHidden/>
          </w:rPr>
          <w:tab/>
        </w:r>
        <w:r w:rsidR="00534FAF">
          <w:rPr>
            <w:noProof/>
            <w:webHidden/>
          </w:rPr>
          <w:fldChar w:fldCharType="begin"/>
        </w:r>
        <w:r w:rsidR="00534FAF">
          <w:rPr>
            <w:noProof/>
            <w:webHidden/>
          </w:rPr>
          <w:instrText xml:space="preserve"> PAGEREF _Toc521426495 \h </w:instrText>
        </w:r>
        <w:r w:rsidR="00534FAF">
          <w:rPr>
            <w:noProof/>
            <w:webHidden/>
          </w:rPr>
        </w:r>
        <w:r w:rsidR="00534FAF">
          <w:rPr>
            <w:noProof/>
            <w:webHidden/>
          </w:rPr>
          <w:fldChar w:fldCharType="separate"/>
        </w:r>
        <w:r w:rsidR="00534FAF">
          <w:rPr>
            <w:noProof/>
            <w:webHidden/>
          </w:rPr>
          <w:t>6</w:t>
        </w:r>
        <w:r w:rsidR="00534FAF">
          <w:rPr>
            <w:noProof/>
            <w:webHidden/>
          </w:rPr>
          <w:fldChar w:fldCharType="end"/>
        </w:r>
      </w:hyperlink>
    </w:p>
    <w:p w14:paraId="21DA8876" w14:textId="3F2D2EA3"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496" w:history="1">
        <w:r w:rsidR="00534FAF" w:rsidRPr="0091608B">
          <w:rPr>
            <w:rStyle w:val="Hyperlink"/>
            <w:noProof/>
          </w:rPr>
          <w:t>3.1</w:t>
        </w:r>
        <w:r w:rsidR="00534FAF">
          <w:rPr>
            <w:rFonts w:asciiTheme="minorHAnsi" w:eastAsiaTheme="minorEastAsia" w:hAnsiTheme="minorHAnsi" w:cstheme="minorBidi"/>
            <w:noProof/>
            <w:sz w:val="24"/>
            <w:szCs w:val="24"/>
          </w:rPr>
          <w:tab/>
        </w:r>
        <w:r w:rsidR="00534FAF" w:rsidRPr="0091608B">
          <w:rPr>
            <w:rStyle w:val="Hyperlink"/>
            <w:noProof/>
          </w:rPr>
          <w:t>Evaluation Criteria</w:t>
        </w:r>
        <w:r w:rsidR="00534FAF">
          <w:rPr>
            <w:noProof/>
            <w:webHidden/>
          </w:rPr>
          <w:tab/>
        </w:r>
        <w:r w:rsidR="00534FAF">
          <w:rPr>
            <w:noProof/>
            <w:webHidden/>
          </w:rPr>
          <w:fldChar w:fldCharType="begin"/>
        </w:r>
        <w:r w:rsidR="00534FAF">
          <w:rPr>
            <w:noProof/>
            <w:webHidden/>
          </w:rPr>
          <w:instrText xml:space="preserve"> PAGEREF _Toc521426496 \h </w:instrText>
        </w:r>
        <w:r w:rsidR="00534FAF">
          <w:rPr>
            <w:noProof/>
            <w:webHidden/>
          </w:rPr>
        </w:r>
        <w:r w:rsidR="00534FAF">
          <w:rPr>
            <w:noProof/>
            <w:webHidden/>
          </w:rPr>
          <w:fldChar w:fldCharType="separate"/>
        </w:r>
        <w:r w:rsidR="00534FAF">
          <w:rPr>
            <w:noProof/>
            <w:webHidden/>
          </w:rPr>
          <w:t>6</w:t>
        </w:r>
        <w:r w:rsidR="00534FAF">
          <w:rPr>
            <w:noProof/>
            <w:webHidden/>
          </w:rPr>
          <w:fldChar w:fldCharType="end"/>
        </w:r>
      </w:hyperlink>
    </w:p>
    <w:p w14:paraId="57B1E338" w14:textId="5EE30728"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497" w:history="1">
        <w:r w:rsidR="00534FAF" w:rsidRPr="0091608B">
          <w:rPr>
            <w:rStyle w:val="Hyperlink"/>
            <w:noProof/>
          </w:rPr>
          <w:t>3.2</w:t>
        </w:r>
        <w:r w:rsidR="00534FAF">
          <w:rPr>
            <w:rFonts w:asciiTheme="minorHAnsi" w:eastAsiaTheme="minorEastAsia" w:hAnsiTheme="minorHAnsi" w:cstheme="minorBidi"/>
            <w:noProof/>
            <w:sz w:val="24"/>
            <w:szCs w:val="24"/>
          </w:rPr>
          <w:tab/>
        </w:r>
        <w:r w:rsidR="00534FAF" w:rsidRPr="0091608B">
          <w:rPr>
            <w:rStyle w:val="Hyperlink"/>
            <w:noProof/>
          </w:rPr>
          <w:t>Evaluation Criteria Scoring</w:t>
        </w:r>
        <w:r w:rsidR="00534FAF">
          <w:rPr>
            <w:noProof/>
            <w:webHidden/>
          </w:rPr>
          <w:tab/>
        </w:r>
        <w:r w:rsidR="00534FAF">
          <w:rPr>
            <w:noProof/>
            <w:webHidden/>
          </w:rPr>
          <w:fldChar w:fldCharType="begin"/>
        </w:r>
        <w:r w:rsidR="00534FAF">
          <w:rPr>
            <w:noProof/>
            <w:webHidden/>
          </w:rPr>
          <w:instrText xml:space="preserve"> PAGEREF _Toc521426497 \h </w:instrText>
        </w:r>
        <w:r w:rsidR="00534FAF">
          <w:rPr>
            <w:noProof/>
            <w:webHidden/>
          </w:rPr>
        </w:r>
        <w:r w:rsidR="00534FAF">
          <w:rPr>
            <w:noProof/>
            <w:webHidden/>
          </w:rPr>
          <w:fldChar w:fldCharType="separate"/>
        </w:r>
        <w:r w:rsidR="00534FAF">
          <w:rPr>
            <w:noProof/>
            <w:webHidden/>
          </w:rPr>
          <w:t>7</w:t>
        </w:r>
        <w:r w:rsidR="00534FAF">
          <w:rPr>
            <w:noProof/>
            <w:webHidden/>
          </w:rPr>
          <w:fldChar w:fldCharType="end"/>
        </w:r>
      </w:hyperlink>
    </w:p>
    <w:p w14:paraId="5E66B8B4" w14:textId="2657FF3D"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498" w:history="1">
        <w:r w:rsidR="00534FAF" w:rsidRPr="0091608B">
          <w:rPr>
            <w:rStyle w:val="Hyperlink"/>
            <w:noProof/>
          </w:rPr>
          <w:t>3.3</w:t>
        </w:r>
        <w:r w:rsidR="00534FAF">
          <w:rPr>
            <w:rFonts w:asciiTheme="minorHAnsi" w:eastAsiaTheme="minorEastAsia" w:hAnsiTheme="minorHAnsi" w:cstheme="minorBidi"/>
            <w:noProof/>
            <w:sz w:val="24"/>
            <w:szCs w:val="24"/>
          </w:rPr>
          <w:tab/>
        </w:r>
        <w:r w:rsidR="00534FAF" w:rsidRPr="0091608B">
          <w:rPr>
            <w:rStyle w:val="Hyperlink"/>
            <w:noProof/>
          </w:rPr>
          <w:t>Weighting of Evaluation Criteria</w:t>
        </w:r>
        <w:r w:rsidR="00534FAF">
          <w:rPr>
            <w:noProof/>
            <w:webHidden/>
          </w:rPr>
          <w:tab/>
        </w:r>
        <w:r w:rsidR="00534FAF">
          <w:rPr>
            <w:noProof/>
            <w:webHidden/>
          </w:rPr>
          <w:fldChar w:fldCharType="begin"/>
        </w:r>
        <w:r w:rsidR="00534FAF">
          <w:rPr>
            <w:noProof/>
            <w:webHidden/>
          </w:rPr>
          <w:instrText xml:space="preserve"> PAGEREF _Toc521426498 \h </w:instrText>
        </w:r>
        <w:r w:rsidR="00534FAF">
          <w:rPr>
            <w:noProof/>
            <w:webHidden/>
          </w:rPr>
        </w:r>
        <w:r w:rsidR="00534FAF">
          <w:rPr>
            <w:noProof/>
            <w:webHidden/>
          </w:rPr>
          <w:fldChar w:fldCharType="separate"/>
        </w:r>
        <w:r w:rsidR="00534FAF">
          <w:rPr>
            <w:noProof/>
            <w:webHidden/>
          </w:rPr>
          <w:t>10</w:t>
        </w:r>
        <w:r w:rsidR="00534FAF">
          <w:rPr>
            <w:noProof/>
            <w:webHidden/>
          </w:rPr>
          <w:fldChar w:fldCharType="end"/>
        </w:r>
      </w:hyperlink>
    </w:p>
    <w:p w14:paraId="25C8B7AB" w14:textId="3F1E911B"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499" w:history="1">
        <w:r w:rsidR="00534FAF" w:rsidRPr="0091608B">
          <w:rPr>
            <w:rStyle w:val="Hyperlink"/>
            <w:noProof/>
          </w:rPr>
          <w:t>4</w:t>
        </w:r>
        <w:r w:rsidR="00534FAF">
          <w:rPr>
            <w:rFonts w:asciiTheme="minorHAnsi" w:eastAsiaTheme="minorEastAsia" w:hAnsiTheme="minorHAnsi" w:cstheme="minorBidi"/>
            <w:b w:val="0"/>
            <w:caps w:val="0"/>
            <w:noProof/>
            <w:sz w:val="24"/>
            <w:szCs w:val="24"/>
          </w:rPr>
          <w:tab/>
        </w:r>
        <w:r w:rsidR="00534FAF" w:rsidRPr="0091608B">
          <w:rPr>
            <w:rStyle w:val="Hyperlink"/>
            <w:noProof/>
          </w:rPr>
          <w:t>Options Appraisal Scenarios</w:t>
        </w:r>
        <w:r w:rsidR="00534FAF">
          <w:rPr>
            <w:noProof/>
            <w:webHidden/>
          </w:rPr>
          <w:tab/>
        </w:r>
        <w:r w:rsidR="00534FAF">
          <w:rPr>
            <w:noProof/>
            <w:webHidden/>
          </w:rPr>
          <w:fldChar w:fldCharType="begin"/>
        </w:r>
        <w:r w:rsidR="00534FAF">
          <w:rPr>
            <w:noProof/>
            <w:webHidden/>
          </w:rPr>
          <w:instrText xml:space="preserve"> PAGEREF _Toc521426499 \h </w:instrText>
        </w:r>
        <w:r w:rsidR="00534FAF">
          <w:rPr>
            <w:noProof/>
            <w:webHidden/>
          </w:rPr>
        </w:r>
        <w:r w:rsidR="00534FAF">
          <w:rPr>
            <w:noProof/>
            <w:webHidden/>
          </w:rPr>
          <w:fldChar w:fldCharType="separate"/>
        </w:r>
        <w:r w:rsidR="00534FAF">
          <w:rPr>
            <w:noProof/>
            <w:webHidden/>
          </w:rPr>
          <w:t>11</w:t>
        </w:r>
        <w:r w:rsidR="00534FAF">
          <w:rPr>
            <w:noProof/>
            <w:webHidden/>
          </w:rPr>
          <w:fldChar w:fldCharType="end"/>
        </w:r>
      </w:hyperlink>
    </w:p>
    <w:p w14:paraId="203AF2A4" w14:textId="3E415BA7"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500" w:history="1">
        <w:r w:rsidR="00534FAF" w:rsidRPr="0091608B">
          <w:rPr>
            <w:rStyle w:val="Hyperlink"/>
            <w:noProof/>
          </w:rPr>
          <w:t>4.1</w:t>
        </w:r>
        <w:r w:rsidR="00534FAF">
          <w:rPr>
            <w:rFonts w:asciiTheme="minorHAnsi" w:eastAsiaTheme="minorEastAsia" w:hAnsiTheme="minorHAnsi" w:cstheme="minorBidi"/>
            <w:noProof/>
            <w:sz w:val="24"/>
            <w:szCs w:val="24"/>
          </w:rPr>
          <w:tab/>
        </w:r>
        <w:r w:rsidR="00534FAF" w:rsidRPr="0091608B">
          <w:rPr>
            <w:rStyle w:val="Hyperlink"/>
            <w:noProof/>
          </w:rPr>
          <w:t>Scenarios Assessment</w:t>
        </w:r>
        <w:r w:rsidR="00534FAF">
          <w:rPr>
            <w:noProof/>
            <w:webHidden/>
          </w:rPr>
          <w:tab/>
        </w:r>
        <w:r w:rsidR="00534FAF">
          <w:rPr>
            <w:noProof/>
            <w:webHidden/>
          </w:rPr>
          <w:fldChar w:fldCharType="begin"/>
        </w:r>
        <w:r w:rsidR="00534FAF">
          <w:rPr>
            <w:noProof/>
            <w:webHidden/>
          </w:rPr>
          <w:instrText xml:space="preserve"> PAGEREF _Toc521426500 \h </w:instrText>
        </w:r>
        <w:r w:rsidR="00534FAF">
          <w:rPr>
            <w:noProof/>
            <w:webHidden/>
          </w:rPr>
        </w:r>
        <w:r w:rsidR="00534FAF">
          <w:rPr>
            <w:noProof/>
            <w:webHidden/>
          </w:rPr>
          <w:fldChar w:fldCharType="separate"/>
        </w:r>
        <w:r w:rsidR="00534FAF">
          <w:rPr>
            <w:noProof/>
            <w:webHidden/>
          </w:rPr>
          <w:t>12</w:t>
        </w:r>
        <w:r w:rsidR="00534FAF">
          <w:rPr>
            <w:noProof/>
            <w:webHidden/>
          </w:rPr>
          <w:fldChar w:fldCharType="end"/>
        </w:r>
      </w:hyperlink>
    </w:p>
    <w:p w14:paraId="107B370D" w14:textId="7218B07A"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501" w:history="1">
        <w:r w:rsidR="00534FAF" w:rsidRPr="0091608B">
          <w:rPr>
            <w:rStyle w:val="Hyperlink"/>
            <w:noProof/>
          </w:rPr>
          <w:t>4.2</w:t>
        </w:r>
        <w:r w:rsidR="00534FAF">
          <w:rPr>
            <w:rFonts w:asciiTheme="minorHAnsi" w:eastAsiaTheme="minorEastAsia" w:hAnsiTheme="minorHAnsi" w:cstheme="minorBidi"/>
            <w:noProof/>
            <w:sz w:val="24"/>
            <w:szCs w:val="24"/>
          </w:rPr>
          <w:tab/>
        </w:r>
        <w:r w:rsidR="00534FAF" w:rsidRPr="0091608B">
          <w:rPr>
            <w:rStyle w:val="Hyperlink"/>
            <w:noProof/>
          </w:rPr>
          <w:t>Key Assumptions</w:t>
        </w:r>
        <w:r w:rsidR="00534FAF">
          <w:rPr>
            <w:noProof/>
            <w:webHidden/>
          </w:rPr>
          <w:tab/>
        </w:r>
        <w:r w:rsidR="00534FAF">
          <w:rPr>
            <w:noProof/>
            <w:webHidden/>
          </w:rPr>
          <w:fldChar w:fldCharType="begin"/>
        </w:r>
        <w:r w:rsidR="00534FAF">
          <w:rPr>
            <w:noProof/>
            <w:webHidden/>
          </w:rPr>
          <w:instrText xml:space="preserve"> PAGEREF _Toc521426501 \h </w:instrText>
        </w:r>
        <w:r w:rsidR="00534FAF">
          <w:rPr>
            <w:noProof/>
            <w:webHidden/>
          </w:rPr>
        </w:r>
        <w:r w:rsidR="00534FAF">
          <w:rPr>
            <w:noProof/>
            <w:webHidden/>
          </w:rPr>
          <w:fldChar w:fldCharType="separate"/>
        </w:r>
        <w:r w:rsidR="00534FAF">
          <w:rPr>
            <w:noProof/>
            <w:webHidden/>
          </w:rPr>
          <w:t>14</w:t>
        </w:r>
        <w:r w:rsidR="00534FAF">
          <w:rPr>
            <w:noProof/>
            <w:webHidden/>
          </w:rPr>
          <w:fldChar w:fldCharType="end"/>
        </w:r>
      </w:hyperlink>
    </w:p>
    <w:p w14:paraId="61FBAD69" w14:textId="22CB361B"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02" w:history="1">
        <w:r w:rsidR="00534FAF" w:rsidRPr="0091608B">
          <w:rPr>
            <w:rStyle w:val="Hyperlink"/>
            <w:noProof/>
          </w:rPr>
          <w:t>5</w:t>
        </w:r>
        <w:r w:rsidR="00534FAF">
          <w:rPr>
            <w:rFonts w:asciiTheme="minorHAnsi" w:eastAsiaTheme="minorEastAsia" w:hAnsiTheme="minorHAnsi" w:cstheme="minorBidi"/>
            <w:b w:val="0"/>
            <w:caps w:val="0"/>
            <w:noProof/>
            <w:sz w:val="24"/>
            <w:szCs w:val="24"/>
          </w:rPr>
          <w:tab/>
        </w:r>
        <w:r w:rsidR="00534FAF" w:rsidRPr="0091608B">
          <w:rPr>
            <w:rStyle w:val="Hyperlink"/>
            <w:noProof/>
          </w:rPr>
          <w:t>Assessment Results</w:t>
        </w:r>
        <w:r w:rsidR="00534FAF">
          <w:rPr>
            <w:noProof/>
            <w:webHidden/>
          </w:rPr>
          <w:tab/>
        </w:r>
        <w:r w:rsidR="00534FAF">
          <w:rPr>
            <w:noProof/>
            <w:webHidden/>
          </w:rPr>
          <w:fldChar w:fldCharType="begin"/>
        </w:r>
        <w:r w:rsidR="00534FAF">
          <w:rPr>
            <w:noProof/>
            <w:webHidden/>
          </w:rPr>
          <w:instrText xml:space="preserve"> PAGEREF _Toc521426502 \h </w:instrText>
        </w:r>
        <w:r w:rsidR="00534FAF">
          <w:rPr>
            <w:noProof/>
            <w:webHidden/>
          </w:rPr>
        </w:r>
        <w:r w:rsidR="00534FAF">
          <w:rPr>
            <w:noProof/>
            <w:webHidden/>
          </w:rPr>
          <w:fldChar w:fldCharType="separate"/>
        </w:r>
        <w:r w:rsidR="00534FAF">
          <w:rPr>
            <w:noProof/>
            <w:webHidden/>
          </w:rPr>
          <w:t>21</w:t>
        </w:r>
        <w:r w:rsidR="00534FAF">
          <w:rPr>
            <w:noProof/>
            <w:webHidden/>
          </w:rPr>
          <w:fldChar w:fldCharType="end"/>
        </w:r>
      </w:hyperlink>
    </w:p>
    <w:p w14:paraId="0F387E1F" w14:textId="2E26814B"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03" w:history="1">
        <w:r w:rsidR="00534FAF" w:rsidRPr="0091608B">
          <w:rPr>
            <w:rStyle w:val="Hyperlink"/>
            <w:noProof/>
          </w:rPr>
          <w:t>6</w:t>
        </w:r>
        <w:r w:rsidR="00534FAF">
          <w:rPr>
            <w:rFonts w:asciiTheme="minorHAnsi" w:eastAsiaTheme="minorEastAsia" w:hAnsiTheme="minorHAnsi" w:cstheme="minorBidi"/>
            <w:b w:val="0"/>
            <w:caps w:val="0"/>
            <w:noProof/>
            <w:sz w:val="24"/>
            <w:szCs w:val="24"/>
          </w:rPr>
          <w:tab/>
        </w:r>
        <w:r w:rsidR="00534FAF" w:rsidRPr="0091608B">
          <w:rPr>
            <w:rStyle w:val="Hyperlink"/>
            <w:noProof/>
          </w:rPr>
          <w:t>Discussion</w:t>
        </w:r>
        <w:r w:rsidR="00534FAF">
          <w:rPr>
            <w:noProof/>
            <w:webHidden/>
          </w:rPr>
          <w:tab/>
        </w:r>
        <w:r w:rsidR="00534FAF">
          <w:rPr>
            <w:noProof/>
            <w:webHidden/>
          </w:rPr>
          <w:fldChar w:fldCharType="begin"/>
        </w:r>
        <w:r w:rsidR="00534FAF">
          <w:rPr>
            <w:noProof/>
            <w:webHidden/>
          </w:rPr>
          <w:instrText xml:space="preserve"> PAGEREF _Toc521426503 \h </w:instrText>
        </w:r>
        <w:r w:rsidR="00534FAF">
          <w:rPr>
            <w:noProof/>
            <w:webHidden/>
          </w:rPr>
        </w:r>
        <w:r w:rsidR="00534FAF">
          <w:rPr>
            <w:noProof/>
            <w:webHidden/>
          </w:rPr>
          <w:fldChar w:fldCharType="separate"/>
        </w:r>
        <w:r w:rsidR="00534FAF">
          <w:rPr>
            <w:noProof/>
            <w:webHidden/>
          </w:rPr>
          <w:t>25</w:t>
        </w:r>
        <w:r w:rsidR="00534FAF">
          <w:rPr>
            <w:noProof/>
            <w:webHidden/>
          </w:rPr>
          <w:fldChar w:fldCharType="end"/>
        </w:r>
      </w:hyperlink>
    </w:p>
    <w:p w14:paraId="054B3119" w14:textId="447C5141"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504" w:history="1">
        <w:r w:rsidR="00534FAF" w:rsidRPr="0091608B">
          <w:rPr>
            <w:rStyle w:val="Hyperlink"/>
            <w:noProof/>
          </w:rPr>
          <w:t>6.1</w:t>
        </w:r>
        <w:r w:rsidR="00534FAF">
          <w:rPr>
            <w:rFonts w:asciiTheme="minorHAnsi" w:eastAsiaTheme="minorEastAsia" w:hAnsiTheme="minorHAnsi" w:cstheme="minorBidi"/>
            <w:noProof/>
            <w:sz w:val="24"/>
            <w:szCs w:val="24"/>
          </w:rPr>
          <w:tab/>
        </w:r>
        <w:r w:rsidR="00534FAF" w:rsidRPr="0091608B">
          <w:rPr>
            <w:rStyle w:val="Hyperlink"/>
            <w:noProof/>
          </w:rPr>
          <w:t>Collection Scenarios</w:t>
        </w:r>
        <w:r w:rsidR="00534FAF">
          <w:rPr>
            <w:noProof/>
            <w:webHidden/>
          </w:rPr>
          <w:tab/>
        </w:r>
        <w:r w:rsidR="00534FAF">
          <w:rPr>
            <w:noProof/>
            <w:webHidden/>
          </w:rPr>
          <w:fldChar w:fldCharType="begin"/>
        </w:r>
        <w:r w:rsidR="00534FAF">
          <w:rPr>
            <w:noProof/>
            <w:webHidden/>
          </w:rPr>
          <w:instrText xml:space="preserve"> PAGEREF _Toc521426504 \h </w:instrText>
        </w:r>
        <w:r w:rsidR="00534FAF">
          <w:rPr>
            <w:noProof/>
            <w:webHidden/>
          </w:rPr>
        </w:r>
        <w:r w:rsidR="00534FAF">
          <w:rPr>
            <w:noProof/>
            <w:webHidden/>
          </w:rPr>
          <w:fldChar w:fldCharType="separate"/>
        </w:r>
        <w:r w:rsidR="00534FAF">
          <w:rPr>
            <w:noProof/>
            <w:webHidden/>
          </w:rPr>
          <w:t>25</w:t>
        </w:r>
        <w:r w:rsidR="00534FAF">
          <w:rPr>
            <w:noProof/>
            <w:webHidden/>
          </w:rPr>
          <w:fldChar w:fldCharType="end"/>
        </w:r>
      </w:hyperlink>
    </w:p>
    <w:p w14:paraId="30A74AA6" w14:textId="2BEBE2F2"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505" w:history="1">
        <w:r w:rsidR="00534FAF" w:rsidRPr="0091608B">
          <w:rPr>
            <w:rStyle w:val="Hyperlink"/>
            <w:noProof/>
          </w:rPr>
          <w:t>6.2</w:t>
        </w:r>
        <w:r w:rsidR="00534FAF">
          <w:rPr>
            <w:rFonts w:asciiTheme="minorHAnsi" w:eastAsiaTheme="minorEastAsia" w:hAnsiTheme="minorHAnsi" w:cstheme="minorBidi"/>
            <w:noProof/>
            <w:sz w:val="24"/>
            <w:szCs w:val="24"/>
          </w:rPr>
          <w:tab/>
        </w:r>
        <w:r w:rsidR="00534FAF" w:rsidRPr="0091608B">
          <w:rPr>
            <w:rStyle w:val="Hyperlink"/>
            <w:noProof/>
          </w:rPr>
          <w:t>Prevention, reuse and recycling initiatives</w:t>
        </w:r>
        <w:r w:rsidR="00534FAF">
          <w:rPr>
            <w:noProof/>
            <w:webHidden/>
          </w:rPr>
          <w:tab/>
        </w:r>
        <w:r w:rsidR="00534FAF">
          <w:rPr>
            <w:noProof/>
            <w:webHidden/>
          </w:rPr>
          <w:fldChar w:fldCharType="begin"/>
        </w:r>
        <w:r w:rsidR="00534FAF">
          <w:rPr>
            <w:noProof/>
            <w:webHidden/>
          </w:rPr>
          <w:instrText xml:space="preserve"> PAGEREF _Toc521426505 \h </w:instrText>
        </w:r>
        <w:r w:rsidR="00534FAF">
          <w:rPr>
            <w:noProof/>
            <w:webHidden/>
          </w:rPr>
        </w:r>
        <w:r w:rsidR="00534FAF">
          <w:rPr>
            <w:noProof/>
            <w:webHidden/>
          </w:rPr>
          <w:fldChar w:fldCharType="separate"/>
        </w:r>
        <w:r w:rsidR="00534FAF">
          <w:rPr>
            <w:noProof/>
            <w:webHidden/>
          </w:rPr>
          <w:t>25</w:t>
        </w:r>
        <w:r w:rsidR="00534FAF">
          <w:rPr>
            <w:noProof/>
            <w:webHidden/>
          </w:rPr>
          <w:fldChar w:fldCharType="end"/>
        </w:r>
      </w:hyperlink>
    </w:p>
    <w:p w14:paraId="1CE78F7C" w14:textId="763FB86A" w:rsidR="00534FAF" w:rsidRDefault="00877210">
      <w:pPr>
        <w:pStyle w:val="TOC2"/>
        <w:tabs>
          <w:tab w:val="left" w:pos="720"/>
          <w:tab w:val="right" w:leader="dot" w:pos="9040"/>
        </w:tabs>
        <w:rPr>
          <w:rFonts w:asciiTheme="minorHAnsi" w:eastAsiaTheme="minorEastAsia" w:hAnsiTheme="minorHAnsi" w:cstheme="minorBidi"/>
          <w:noProof/>
          <w:sz w:val="24"/>
          <w:szCs w:val="24"/>
        </w:rPr>
      </w:pPr>
      <w:hyperlink w:anchor="_Toc521426506" w:history="1">
        <w:r w:rsidR="00534FAF" w:rsidRPr="0091608B">
          <w:rPr>
            <w:rStyle w:val="Hyperlink"/>
            <w:noProof/>
          </w:rPr>
          <w:t>6.3</w:t>
        </w:r>
        <w:r w:rsidR="00534FAF">
          <w:rPr>
            <w:rFonts w:asciiTheme="minorHAnsi" w:eastAsiaTheme="minorEastAsia" w:hAnsiTheme="minorHAnsi" w:cstheme="minorBidi"/>
            <w:noProof/>
            <w:sz w:val="24"/>
            <w:szCs w:val="24"/>
          </w:rPr>
          <w:tab/>
        </w:r>
        <w:r w:rsidR="00534FAF" w:rsidRPr="0091608B">
          <w:rPr>
            <w:rStyle w:val="Hyperlink"/>
            <w:noProof/>
          </w:rPr>
          <w:t>Waste treatment options</w:t>
        </w:r>
        <w:r w:rsidR="00534FAF">
          <w:rPr>
            <w:noProof/>
            <w:webHidden/>
          </w:rPr>
          <w:tab/>
        </w:r>
        <w:r w:rsidR="00534FAF">
          <w:rPr>
            <w:noProof/>
            <w:webHidden/>
          </w:rPr>
          <w:fldChar w:fldCharType="begin"/>
        </w:r>
        <w:r w:rsidR="00534FAF">
          <w:rPr>
            <w:noProof/>
            <w:webHidden/>
          </w:rPr>
          <w:instrText xml:space="preserve"> PAGEREF _Toc521426506 \h </w:instrText>
        </w:r>
        <w:r w:rsidR="00534FAF">
          <w:rPr>
            <w:noProof/>
            <w:webHidden/>
          </w:rPr>
        </w:r>
        <w:r w:rsidR="00534FAF">
          <w:rPr>
            <w:noProof/>
            <w:webHidden/>
          </w:rPr>
          <w:fldChar w:fldCharType="separate"/>
        </w:r>
        <w:r w:rsidR="00534FAF">
          <w:rPr>
            <w:noProof/>
            <w:webHidden/>
          </w:rPr>
          <w:t>25</w:t>
        </w:r>
        <w:r w:rsidR="00534FAF">
          <w:rPr>
            <w:noProof/>
            <w:webHidden/>
          </w:rPr>
          <w:fldChar w:fldCharType="end"/>
        </w:r>
      </w:hyperlink>
    </w:p>
    <w:p w14:paraId="7A783EF7" w14:textId="113CD196"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07" w:history="1">
        <w:r w:rsidR="00534FAF" w:rsidRPr="0091608B">
          <w:rPr>
            <w:rStyle w:val="Hyperlink"/>
            <w:noProof/>
          </w:rPr>
          <w:t>Appendix A: Waste Forecast</w:t>
        </w:r>
        <w:r w:rsidR="00534FAF">
          <w:rPr>
            <w:noProof/>
            <w:webHidden/>
          </w:rPr>
          <w:tab/>
        </w:r>
        <w:r w:rsidR="00534FAF">
          <w:rPr>
            <w:noProof/>
            <w:webHidden/>
          </w:rPr>
          <w:fldChar w:fldCharType="begin"/>
        </w:r>
        <w:r w:rsidR="00534FAF">
          <w:rPr>
            <w:noProof/>
            <w:webHidden/>
          </w:rPr>
          <w:instrText xml:space="preserve"> PAGEREF _Toc521426507 \h </w:instrText>
        </w:r>
        <w:r w:rsidR="00534FAF">
          <w:rPr>
            <w:noProof/>
            <w:webHidden/>
          </w:rPr>
        </w:r>
        <w:r w:rsidR="00534FAF">
          <w:rPr>
            <w:noProof/>
            <w:webHidden/>
          </w:rPr>
          <w:fldChar w:fldCharType="separate"/>
        </w:r>
        <w:r w:rsidR="00534FAF">
          <w:rPr>
            <w:noProof/>
            <w:webHidden/>
          </w:rPr>
          <w:t>26</w:t>
        </w:r>
        <w:r w:rsidR="00534FAF">
          <w:rPr>
            <w:noProof/>
            <w:webHidden/>
          </w:rPr>
          <w:fldChar w:fldCharType="end"/>
        </w:r>
      </w:hyperlink>
    </w:p>
    <w:p w14:paraId="72148F66" w14:textId="6AB26530" w:rsidR="00534FAF" w:rsidRDefault="00877210">
      <w:pPr>
        <w:pStyle w:val="TOC2"/>
        <w:tabs>
          <w:tab w:val="right" w:leader="dot" w:pos="9040"/>
        </w:tabs>
        <w:rPr>
          <w:rFonts w:asciiTheme="minorHAnsi" w:eastAsiaTheme="minorEastAsia" w:hAnsiTheme="minorHAnsi" w:cstheme="minorBidi"/>
          <w:noProof/>
          <w:sz w:val="24"/>
          <w:szCs w:val="24"/>
        </w:rPr>
      </w:pPr>
      <w:hyperlink w:anchor="_Toc521426508" w:history="1">
        <w:r w:rsidR="00534FAF" w:rsidRPr="0091608B">
          <w:rPr>
            <w:rStyle w:val="Hyperlink"/>
            <w:noProof/>
          </w:rPr>
          <w:t>Methodology</w:t>
        </w:r>
        <w:r w:rsidR="00534FAF">
          <w:rPr>
            <w:noProof/>
            <w:webHidden/>
          </w:rPr>
          <w:tab/>
        </w:r>
        <w:r w:rsidR="00534FAF">
          <w:rPr>
            <w:noProof/>
            <w:webHidden/>
          </w:rPr>
          <w:fldChar w:fldCharType="begin"/>
        </w:r>
        <w:r w:rsidR="00534FAF">
          <w:rPr>
            <w:noProof/>
            <w:webHidden/>
          </w:rPr>
          <w:instrText xml:space="preserve"> PAGEREF _Toc521426508 \h </w:instrText>
        </w:r>
        <w:r w:rsidR="00534FAF">
          <w:rPr>
            <w:noProof/>
            <w:webHidden/>
          </w:rPr>
        </w:r>
        <w:r w:rsidR="00534FAF">
          <w:rPr>
            <w:noProof/>
            <w:webHidden/>
          </w:rPr>
          <w:fldChar w:fldCharType="separate"/>
        </w:r>
        <w:r w:rsidR="00534FAF">
          <w:rPr>
            <w:noProof/>
            <w:webHidden/>
          </w:rPr>
          <w:t>26</w:t>
        </w:r>
        <w:r w:rsidR="00534FAF">
          <w:rPr>
            <w:noProof/>
            <w:webHidden/>
          </w:rPr>
          <w:fldChar w:fldCharType="end"/>
        </w:r>
      </w:hyperlink>
    </w:p>
    <w:p w14:paraId="19CE3E0F" w14:textId="65C276BC" w:rsidR="00534FAF" w:rsidRDefault="00877210">
      <w:pPr>
        <w:pStyle w:val="TOC2"/>
        <w:tabs>
          <w:tab w:val="right" w:leader="dot" w:pos="9040"/>
        </w:tabs>
        <w:rPr>
          <w:rFonts w:asciiTheme="minorHAnsi" w:eastAsiaTheme="minorEastAsia" w:hAnsiTheme="minorHAnsi" w:cstheme="minorBidi"/>
          <w:noProof/>
          <w:sz w:val="24"/>
          <w:szCs w:val="24"/>
        </w:rPr>
      </w:pPr>
      <w:hyperlink w:anchor="_Toc521426509" w:history="1">
        <w:r w:rsidR="00534FAF" w:rsidRPr="0091608B">
          <w:rPr>
            <w:rStyle w:val="Hyperlink"/>
            <w:noProof/>
          </w:rPr>
          <w:t>Housing data and forecasts</w:t>
        </w:r>
        <w:r w:rsidR="00534FAF">
          <w:rPr>
            <w:noProof/>
            <w:webHidden/>
          </w:rPr>
          <w:tab/>
        </w:r>
        <w:r w:rsidR="00534FAF">
          <w:rPr>
            <w:noProof/>
            <w:webHidden/>
          </w:rPr>
          <w:fldChar w:fldCharType="begin"/>
        </w:r>
        <w:r w:rsidR="00534FAF">
          <w:rPr>
            <w:noProof/>
            <w:webHidden/>
          </w:rPr>
          <w:instrText xml:space="preserve"> PAGEREF _Toc521426509 \h </w:instrText>
        </w:r>
        <w:r w:rsidR="00534FAF">
          <w:rPr>
            <w:noProof/>
            <w:webHidden/>
          </w:rPr>
        </w:r>
        <w:r w:rsidR="00534FAF">
          <w:rPr>
            <w:noProof/>
            <w:webHidden/>
          </w:rPr>
          <w:fldChar w:fldCharType="separate"/>
        </w:r>
        <w:r w:rsidR="00534FAF">
          <w:rPr>
            <w:noProof/>
            <w:webHidden/>
          </w:rPr>
          <w:t>26</w:t>
        </w:r>
        <w:r w:rsidR="00534FAF">
          <w:rPr>
            <w:noProof/>
            <w:webHidden/>
          </w:rPr>
          <w:fldChar w:fldCharType="end"/>
        </w:r>
      </w:hyperlink>
    </w:p>
    <w:p w14:paraId="182F7E9F" w14:textId="2416854D" w:rsidR="00534FAF" w:rsidRDefault="00877210">
      <w:pPr>
        <w:pStyle w:val="TOC2"/>
        <w:tabs>
          <w:tab w:val="right" w:leader="dot" w:pos="9040"/>
        </w:tabs>
        <w:rPr>
          <w:rFonts w:asciiTheme="minorHAnsi" w:eastAsiaTheme="minorEastAsia" w:hAnsiTheme="minorHAnsi" w:cstheme="minorBidi"/>
          <w:noProof/>
          <w:sz w:val="24"/>
          <w:szCs w:val="24"/>
        </w:rPr>
      </w:pPr>
      <w:hyperlink w:anchor="_Toc521426510" w:history="1">
        <w:r w:rsidR="00534FAF" w:rsidRPr="0091608B">
          <w:rPr>
            <w:rStyle w:val="Hyperlink"/>
            <w:noProof/>
          </w:rPr>
          <w:t>3 to 5 Year Trends</w:t>
        </w:r>
        <w:r w:rsidR="00534FAF">
          <w:rPr>
            <w:noProof/>
            <w:webHidden/>
          </w:rPr>
          <w:tab/>
        </w:r>
        <w:r w:rsidR="00534FAF">
          <w:rPr>
            <w:noProof/>
            <w:webHidden/>
          </w:rPr>
          <w:fldChar w:fldCharType="begin"/>
        </w:r>
        <w:r w:rsidR="00534FAF">
          <w:rPr>
            <w:noProof/>
            <w:webHidden/>
          </w:rPr>
          <w:instrText xml:space="preserve"> PAGEREF _Toc521426510 \h </w:instrText>
        </w:r>
        <w:r w:rsidR="00534FAF">
          <w:rPr>
            <w:noProof/>
            <w:webHidden/>
          </w:rPr>
        </w:r>
        <w:r w:rsidR="00534FAF">
          <w:rPr>
            <w:noProof/>
            <w:webHidden/>
          </w:rPr>
          <w:fldChar w:fldCharType="separate"/>
        </w:r>
        <w:r w:rsidR="00534FAF">
          <w:rPr>
            <w:noProof/>
            <w:webHidden/>
          </w:rPr>
          <w:t>27</w:t>
        </w:r>
        <w:r w:rsidR="00534FAF">
          <w:rPr>
            <w:noProof/>
            <w:webHidden/>
          </w:rPr>
          <w:fldChar w:fldCharType="end"/>
        </w:r>
      </w:hyperlink>
    </w:p>
    <w:p w14:paraId="711963F0" w14:textId="0732676C" w:rsidR="00534FAF" w:rsidRDefault="00877210">
      <w:pPr>
        <w:pStyle w:val="TOC2"/>
        <w:tabs>
          <w:tab w:val="right" w:leader="dot" w:pos="9040"/>
        </w:tabs>
        <w:rPr>
          <w:rFonts w:asciiTheme="minorHAnsi" w:eastAsiaTheme="minorEastAsia" w:hAnsiTheme="minorHAnsi" w:cstheme="minorBidi"/>
          <w:noProof/>
          <w:sz w:val="24"/>
          <w:szCs w:val="24"/>
        </w:rPr>
      </w:pPr>
      <w:hyperlink w:anchor="_Toc521426511" w:history="1">
        <w:r w:rsidR="00534FAF" w:rsidRPr="0091608B">
          <w:rPr>
            <w:rStyle w:val="Hyperlink"/>
            <w:noProof/>
          </w:rPr>
          <w:t>Economic growth and waste generation</w:t>
        </w:r>
        <w:r w:rsidR="00534FAF">
          <w:rPr>
            <w:noProof/>
            <w:webHidden/>
          </w:rPr>
          <w:tab/>
        </w:r>
        <w:r w:rsidR="00534FAF">
          <w:rPr>
            <w:noProof/>
            <w:webHidden/>
          </w:rPr>
          <w:fldChar w:fldCharType="begin"/>
        </w:r>
        <w:r w:rsidR="00534FAF">
          <w:rPr>
            <w:noProof/>
            <w:webHidden/>
          </w:rPr>
          <w:instrText xml:space="preserve"> PAGEREF _Toc521426511 \h </w:instrText>
        </w:r>
        <w:r w:rsidR="00534FAF">
          <w:rPr>
            <w:noProof/>
            <w:webHidden/>
          </w:rPr>
        </w:r>
        <w:r w:rsidR="00534FAF">
          <w:rPr>
            <w:noProof/>
            <w:webHidden/>
          </w:rPr>
          <w:fldChar w:fldCharType="separate"/>
        </w:r>
        <w:r w:rsidR="00534FAF">
          <w:rPr>
            <w:noProof/>
            <w:webHidden/>
          </w:rPr>
          <w:t>29</w:t>
        </w:r>
        <w:r w:rsidR="00534FAF">
          <w:rPr>
            <w:noProof/>
            <w:webHidden/>
          </w:rPr>
          <w:fldChar w:fldCharType="end"/>
        </w:r>
      </w:hyperlink>
    </w:p>
    <w:p w14:paraId="761BE7A5" w14:textId="7953CDE8"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12" w:history="1">
        <w:r w:rsidR="00534FAF" w:rsidRPr="0091608B">
          <w:rPr>
            <w:rStyle w:val="Hyperlink"/>
            <w:noProof/>
          </w:rPr>
          <w:t>Appendix B: Waste Prevention, Reuse and Recycling Initiatives Assumptions</w:t>
        </w:r>
        <w:r w:rsidR="00534FAF">
          <w:rPr>
            <w:noProof/>
            <w:webHidden/>
          </w:rPr>
          <w:tab/>
        </w:r>
        <w:r w:rsidR="00534FAF">
          <w:rPr>
            <w:noProof/>
            <w:webHidden/>
          </w:rPr>
          <w:fldChar w:fldCharType="begin"/>
        </w:r>
        <w:r w:rsidR="00534FAF">
          <w:rPr>
            <w:noProof/>
            <w:webHidden/>
          </w:rPr>
          <w:instrText xml:space="preserve"> PAGEREF _Toc521426512 \h </w:instrText>
        </w:r>
        <w:r w:rsidR="00534FAF">
          <w:rPr>
            <w:noProof/>
            <w:webHidden/>
          </w:rPr>
        </w:r>
        <w:r w:rsidR="00534FAF">
          <w:rPr>
            <w:noProof/>
            <w:webHidden/>
          </w:rPr>
          <w:fldChar w:fldCharType="separate"/>
        </w:r>
        <w:r w:rsidR="00534FAF">
          <w:rPr>
            <w:noProof/>
            <w:webHidden/>
          </w:rPr>
          <w:t>32</w:t>
        </w:r>
        <w:r w:rsidR="00534FAF">
          <w:rPr>
            <w:noProof/>
            <w:webHidden/>
          </w:rPr>
          <w:fldChar w:fldCharType="end"/>
        </w:r>
      </w:hyperlink>
    </w:p>
    <w:p w14:paraId="27928FB7" w14:textId="0269A0F2"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13" w:history="1">
        <w:r w:rsidR="00534FAF" w:rsidRPr="0091608B">
          <w:rPr>
            <w:rStyle w:val="Hyperlink"/>
            <w:noProof/>
          </w:rPr>
          <w:t>Appendix C: Tees Valley Waste Flow Model</w:t>
        </w:r>
        <w:r w:rsidR="00534FAF">
          <w:rPr>
            <w:noProof/>
            <w:webHidden/>
          </w:rPr>
          <w:tab/>
        </w:r>
        <w:r w:rsidR="00534FAF">
          <w:rPr>
            <w:noProof/>
            <w:webHidden/>
          </w:rPr>
          <w:fldChar w:fldCharType="begin"/>
        </w:r>
        <w:r w:rsidR="00534FAF">
          <w:rPr>
            <w:noProof/>
            <w:webHidden/>
          </w:rPr>
          <w:instrText xml:space="preserve"> PAGEREF _Toc521426513 \h </w:instrText>
        </w:r>
        <w:r w:rsidR="00534FAF">
          <w:rPr>
            <w:noProof/>
            <w:webHidden/>
          </w:rPr>
        </w:r>
        <w:r w:rsidR="00534FAF">
          <w:rPr>
            <w:noProof/>
            <w:webHidden/>
          </w:rPr>
          <w:fldChar w:fldCharType="separate"/>
        </w:r>
        <w:r w:rsidR="00534FAF">
          <w:rPr>
            <w:noProof/>
            <w:webHidden/>
          </w:rPr>
          <w:t>36</w:t>
        </w:r>
        <w:r w:rsidR="00534FAF">
          <w:rPr>
            <w:noProof/>
            <w:webHidden/>
          </w:rPr>
          <w:fldChar w:fldCharType="end"/>
        </w:r>
      </w:hyperlink>
    </w:p>
    <w:p w14:paraId="3CA0332D" w14:textId="14AC82AC"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14" w:history="1">
        <w:r w:rsidR="00534FAF" w:rsidRPr="0091608B">
          <w:rPr>
            <w:rStyle w:val="Hyperlink"/>
            <w:noProof/>
          </w:rPr>
          <w:t>Appendix D: Summary of KAT Modelling Assumptions</w:t>
        </w:r>
        <w:r w:rsidR="00534FAF">
          <w:rPr>
            <w:noProof/>
            <w:webHidden/>
          </w:rPr>
          <w:tab/>
        </w:r>
        <w:r w:rsidR="00534FAF">
          <w:rPr>
            <w:noProof/>
            <w:webHidden/>
          </w:rPr>
          <w:fldChar w:fldCharType="begin"/>
        </w:r>
        <w:r w:rsidR="00534FAF">
          <w:rPr>
            <w:noProof/>
            <w:webHidden/>
          </w:rPr>
          <w:instrText xml:space="preserve"> PAGEREF _Toc521426514 \h </w:instrText>
        </w:r>
        <w:r w:rsidR="00534FAF">
          <w:rPr>
            <w:noProof/>
            <w:webHidden/>
          </w:rPr>
        </w:r>
        <w:r w:rsidR="00534FAF">
          <w:rPr>
            <w:noProof/>
            <w:webHidden/>
          </w:rPr>
          <w:fldChar w:fldCharType="separate"/>
        </w:r>
        <w:r w:rsidR="00534FAF">
          <w:rPr>
            <w:noProof/>
            <w:webHidden/>
          </w:rPr>
          <w:t>37</w:t>
        </w:r>
        <w:r w:rsidR="00534FAF">
          <w:rPr>
            <w:noProof/>
            <w:webHidden/>
          </w:rPr>
          <w:fldChar w:fldCharType="end"/>
        </w:r>
      </w:hyperlink>
    </w:p>
    <w:p w14:paraId="68D81B10" w14:textId="54D2B3A6" w:rsidR="00534FAF" w:rsidRDefault="00877210">
      <w:pPr>
        <w:pStyle w:val="TOC2"/>
        <w:tabs>
          <w:tab w:val="right" w:leader="dot" w:pos="9040"/>
        </w:tabs>
        <w:rPr>
          <w:rFonts w:asciiTheme="minorHAnsi" w:eastAsiaTheme="minorEastAsia" w:hAnsiTheme="minorHAnsi" w:cstheme="minorBidi"/>
          <w:noProof/>
          <w:sz w:val="24"/>
          <w:szCs w:val="24"/>
        </w:rPr>
      </w:pPr>
      <w:hyperlink w:anchor="_Toc521426515" w:history="1">
        <w:r w:rsidR="00534FAF" w:rsidRPr="0091608B">
          <w:rPr>
            <w:rStyle w:val="Hyperlink"/>
            <w:noProof/>
          </w:rPr>
          <w:t>High efficiency collection scenario</w:t>
        </w:r>
        <w:r w:rsidR="00534FAF">
          <w:rPr>
            <w:noProof/>
            <w:webHidden/>
          </w:rPr>
          <w:tab/>
        </w:r>
        <w:r w:rsidR="00534FAF">
          <w:rPr>
            <w:noProof/>
            <w:webHidden/>
          </w:rPr>
          <w:fldChar w:fldCharType="begin"/>
        </w:r>
        <w:r w:rsidR="00534FAF">
          <w:rPr>
            <w:noProof/>
            <w:webHidden/>
          </w:rPr>
          <w:instrText xml:space="preserve"> PAGEREF _Toc521426515 \h </w:instrText>
        </w:r>
        <w:r w:rsidR="00534FAF">
          <w:rPr>
            <w:noProof/>
            <w:webHidden/>
          </w:rPr>
        </w:r>
        <w:r w:rsidR="00534FAF">
          <w:rPr>
            <w:noProof/>
            <w:webHidden/>
          </w:rPr>
          <w:fldChar w:fldCharType="separate"/>
        </w:r>
        <w:r w:rsidR="00534FAF">
          <w:rPr>
            <w:noProof/>
            <w:webHidden/>
          </w:rPr>
          <w:t>37</w:t>
        </w:r>
        <w:r w:rsidR="00534FAF">
          <w:rPr>
            <w:noProof/>
            <w:webHidden/>
          </w:rPr>
          <w:fldChar w:fldCharType="end"/>
        </w:r>
      </w:hyperlink>
    </w:p>
    <w:p w14:paraId="45932D39" w14:textId="391C4B17" w:rsidR="00534FAF" w:rsidRDefault="00877210">
      <w:pPr>
        <w:pStyle w:val="TOC2"/>
        <w:tabs>
          <w:tab w:val="right" w:leader="dot" w:pos="9040"/>
        </w:tabs>
        <w:rPr>
          <w:rFonts w:asciiTheme="minorHAnsi" w:eastAsiaTheme="minorEastAsia" w:hAnsiTheme="minorHAnsi" w:cstheme="minorBidi"/>
          <w:noProof/>
          <w:sz w:val="24"/>
          <w:szCs w:val="24"/>
        </w:rPr>
      </w:pPr>
      <w:hyperlink w:anchor="_Toc521426516" w:history="1">
        <w:r w:rsidR="00534FAF" w:rsidRPr="0091608B">
          <w:rPr>
            <w:rStyle w:val="Hyperlink"/>
            <w:noProof/>
          </w:rPr>
          <w:t>High recycling collection scenario</w:t>
        </w:r>
        <w:r w:rsidR="00534FAF">
          <w:rPr>
            <w:noProof/>
            <w:webHidden/>
          </w:rPr>
          <w:tab/>
        </w:r>
        <w:r w:rsidR="00534FAF">
          <w:rPr>
            <w:noProof/>
            <w:webHidden/>
          </w:rPr>
          <w:fldChar w:fldCharType="begin"/>
        </w:r>
        <w:r w:rsidR="00534FAF">
          <w:rPr>
            <w:noProof/>
            <w:webHidden/>
          </w:rPr>
          <w:instrText xml:space="preserve"> PAGEREF _Toc521426516 \h </w:instrText>
        </w:r>
        <w:r w:rsidR="00534FAF">
          <w:rPr>
            <w:noProof/>
            <w:webHidden/>
          </w:rPr>
        </w:r>
        <w:r w:rsidR="00534FAF">
          <w:rPr>
            <w:noProof/>
            <w:webHidden/>
          </w:rPr>
          <w:fldChar w:fldCharType="separate"/>
        </w:r>
        <w:r w:rsidR="00534FAF">
          <w:rPr>
            <w:noProof/>
            <w:webHidden/>
          </w:rPr>
          <w:t>37</w:t>
        </w:r>
        <w:r w:rsidR="00534FAF">
          <w:rPr>
            <w:noProof/>
            <w:webHidden/>
          </w:rPr>
          <w:fldChar w:fldCharType="end"/>
        </w:r>
      </w:hyperlink>
    </w:p>
    <w:p w14:paraId="3A3AB993" w14:textId="4D803C79"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17" w:history="1">
        <w:r w:rsidR="00534FAF" w:rsidRPr="0091608B">
          <w:rPr>
            <w:rStyle w:val="Hyperlink"/>
            <w:noProof/>
          </w:rPr>
          <w:t>Appendix E: Summary of KAT model outputs</w:t>
        </w:r>
        <w:r w:rsidR="00534FAF">
          <w:rPr>
            <w:noProof/>
            <w:webHidden/>
          </w:rPr>
          <w:tab/>
        </w:r>
        <w:r w:rsidR="00534FAF">
          <w:rPr>
            <w:noProof/>
            <w:webHidden/>
          </w:rPr>
          <w:fldChar w:fldCharType="begin"/>
        </w:r>
        <w:r w:rsidR="00534FAF">
          <w:rPr>
            <w:noProof/>
            <w:webHidden/>
          </w:rPr>
          <w:instrText xml:space="preserve"> PAGEREF _Toc521426517 \h </w:instrText>
        </w:r>
        <w:r w:rsidR="00534FAF">
          <w:rPr>
            <w:noProof/>
            <w:webHidden/>
          </w:rPr>
        </w:r>
        <w:r w:rsidR="00534FAF">
          <w:rPr>
            <w:noProof/>
            <w:webHidden/>
          </w:rPr>
          <w:fldChar w:fldCharType="separate"/>
        </w:r>
        <w:r w:rsidR="00534FAF">
          <w:rPr>
            <w:noProof/>
            <w:webHidden/>
          </w:rPr>
          <w:t>38</w:t>
        </w:r>
        <w:r w:rsidR="00534FAF">
          <w:rPr>
            <w:noProof/>
            <w:webHidden/>
          </w:rPr>
          <w:fldChar w:fldCharType="end"/>
        </w:r>
      </w:hyperlink>
    </w:p>
    <w:p w14:paraId="79EE1C62" w14:textId="78582700"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18" w:history="1">
        <w:r w:rsidR="00534FAF" w:rsidRPr="0091608B">
          <w:rPr>
            <w:rStyle w:val="Hyperlink"/>
            <w:noProof/>
          </w:rPr>
          <w:t>Appendix F: Summary of waste flow model outputs</w:t>
        </w:r>
        <w:r w:rsidR="00534FAF">
          <w:rPr>
            <w:noProof/>
            <w:webHidden/>
          </w:rPr>
          <w:tab/>
        </w:r>
        <w:r w:rsidR="00534FAF">
          <w:rPr>
            <w:noProof/>
            <w:webHidden/>
          </w:rPr>
          <w:fldChar w:fldCharType="begin"/>
        </w:r>
        <w:r w:rsidR="00534FAF">
          <w:rPr>
            <w:noProof/>
            <w:webHidden/>
          </w:rPr>
          <w:instrText xml:space="preserve"> PAGEREF _Toc521426518 \h </w:instrText>
        </w:r>
        <w:r w:rsidR="00534FAF">
          <w:rPr>
            <w:noProof/>
            <w:webHidden/>
          </w:rPr>
        </w:r>
        <w:r w:rsidR="00534FAF">
          <w:rPr>
            <w:noProof/>
            <w:webHidden/>
          </w:rPr>
          <w:fldChar w:fldCharType="separate"/>
        </w:r>
        <w:r w:rsidR="00534FAF">
          <w:rPr>
            <w:noProof/>
            <w:webHidden/>
          </w:rPr>
          <w:t>39</w:t>
        </w:r>
        <w:r w:rsidR="00534FAF">
          <w:rPr>
            <w:noProof/>
            <w:webHidden/>
          </w:rPr>
          <w:fldChar w:fldCharType="end"/>
        </w:r>
      </w:hyperlink>
    </w:p>
    <w:p w14:paraId="3EC3CF97" w14:textId="2C0196B5"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19" w:history="1">
        <w:r w:rsidR="00534FAF" w:rsidRPr="0091608B">
          <w:rPr>
            <w:rStyle w:val="Hyperlink"/>
            <w:noProof/>
          </w:rPr>
          <w:t>Appendix G: Summary of WRATE outputs</w:t>
        </w:r>
        <w:r w:rsidR="00534FAF">
          <w:rPr>
            <w:noProof/>
            <w:webHidden/>
          </w:rPr>
          <w:tab/>
        </w:r>
        <w:r w:rsidR="00534FAF">
          <w:rPr>
            <w:noProof/>
            <w:webHidden/>
          </w:rPr>
          <w:fldChar w:fldCharType="begin"/>
        </w:r>
        <w:r w:rsidR="00534FAF">
          <w:rPr>
            <w:noProof/>
            <w:webHidden/>
          </w:rPr>
          <w:instrText xml:space="preserve"> PAGEREF _Toc521426519 \h </w:instrText>
        </w:r>
        <w:r w:rsidR="00534FAF">
          <w:rPr>
            <w:noProof/>
            <w:webHidden/>
          </w:rPr>
        </w:r>
        <w:r w:rsidR="00534FAF">
          <w:rPr>
            <w:noProof/>
            <w:webHidden/>
          </w:rPr>
          <w:fldChar w:fldCharType="separate"/>
        </w:r>
        <w:r w:rsidR="00534FAF">
          <w:rPr>
            <w:noProof/>
            <w:webHidden/>
          </w:rPr>
          <w:t>44</w:t>
        </w:r>
        <w:r w:rsidR="00534FAF">
          <w:rPr>
            <w:noProof/>
            <w:webHidden/>
          </w:rPr>
          <w:fldChar w:fldCharType="end"/>
        </w:r>
      </w:hyperlink>
    </w:p>
    <w:p w14:paraId="78FFB496" w14:textId="4B8D3238" w:rsidR="00534FAF" w:rsidRDefault="00877210">
      <w:pPr>
        <w:pStyle w:val="TOC1"/>
        <w:tabs>
          <w:tab w:val="right" w:leader="dot" w:pos="9040"/>
        </w:tabs>
        <w:rPr>
          <w:rFonts w:asciiTheme="minorHAnsi" w:eastAsiaTheme="minorEastAsia" w:hAnsiTheme="minorHAnsi" w:cstheme="minorBidi"/>
          <w:b w:val="0"/>
          <w:caps w:val="0"/>
          <w:noProof/>
          <w:sz w:val="24"/>
          <w:szCs w:val="24"/>
        </w:rPr>
      </w:pPr>
      <w:hyperlink w:anchor="_Toc521426520" w:history="1">
        <w:r w:rsidR="00534FAF" w:rsidRPr="0091608B">
          <w:rPr>
            <w:rStyle w:val="Hyperlink"/>
            <w:noProof/>
          </w:rPr>
          <w:t>Appendix H: Detailed assessments of scenarios</w:t>
        </w:r>
        <w:r w:rsidR="00534FAF">
          <w:rPr>
            <w:noProof/>
            <w:webHidden/>
          </w:rPr>
          <w:tab/>
        </w:r>
        <w:r w:rsidR="00534FAF">
          <w:rPr>
            <w:noProof/>
            <w:webHidden/>
          </w:rPr>
          <w:fldChar w:fldCharType="begin"/>
        </w:r>
        <w:r w:rsidR="00534FAF">
          <w:rPr>
            <w:noProof/>
            <w:webHidden/>
          </w:rPr>
          <w:instrText xml:space="preserve"> PAGEREF _Toc521426520 \h </w:instrText>
        </w:r>
        <w:r w:rsidR="00534FAF">
          <w:rPr>
            <w:noProof/>
            <w:webHidden/>
          </w:rPr>
        </w:r>
        <w:r w:rsidR="00534FAF">
          <w:rPr>
            <w:noProof/>
            <w:webHidden/>
          </w:rPr>
          <w:fldChar w:fldCharType="separate"/>
        </w:r>
        <w:r w:rsidR="00534FAF">
          <w:rPr>
            <w:noProof/>
            <w:webHidden/>
          </w:rPr>
          <w:t>45</w:t>
        </w:r>
        <w:r w:rsidR="00534FAF">
          <w:rPr>
            <w:noProof/>
            <w:webHidden/>
          </w:rPr>
          <w:fldChar w:fldCharType="end"/>
        </w:r>
      </w:hyperlink>
    </w:p>
    <w:p w14:paraId="4D085B1C" w14:textId="77777777" w:rsidR="006D564C" w:rsidRPr="001E05F5" w:rsidRDefault="001A2BEF">
      <w:pPr>
        <w:spacing w:after="0" w:line="240" w:lineRule="auto"/>
        <w:sectPr w:rsidR="006D564C" w:rsidRPr="001E05F5" w:rsidSect="006D564C">
          <w:footerReference w:type="default" r:id="rId8"/>
          <w:pgSz w:w="11906" w:h="16838"/>
          <w:pgMar w:top="1440" w:right="1416" w:bottom="1440" w:left="1440" w:header="708" w:footer="708" w:gutter="0"/>
          <w:pgNumType w:start="1"/>
          <w:cols w:space="708"/>
          <w:docGrid w:linePitch="360"/>
        </w:sectPr>
      </w:pPr>
      <w:r w:rsidRPr="001E05F5">
        <w:fldChar w:fldCharType="end"/>
      </w:r>
    </w:p>
    <w:p w14:paraId="0F864277" w14:textId="77777777" w:rsidR="00297A75" w:rsidRPr="001E05F5" w:rsidRDefault="00631529" w:rsidP="009627B6">
      <w:pPr>
        <w:pStyle w:val="Heading1"/>
        <w:spacing w:before="0"/>
        <w:ind w:left="851" w:hanging="851"/>
      </w:pPr>
      <w:bookmarkStart w:id="0" w:name="_Toc521426490"/>
      <w:r w:rsidRPr="001E05F5">
        <w:lastRenderedPageBreak/>
        <w:t>Introduction</w:t>
      </w:r>
      <w:bookmarkEnd w:id="0"/>
    </w:p>
    <w:p w14:paraId="0B9B9F88" w14:textId="57F7FE60" w:rsidR="00B5013B" w:rsidRPr="001E05F5" w:rsidRDefault="006B2D09" w:rsidP="006B2D09">
      <w:pPr>
        <w:spacing w:line="264" w:lineRule="auto"/>
        <w:rPr>
          <w:rFonts w:cs="Arial"/>
          <w:szCs w:val="20"/>
        </w:rPr>
      </w:pPr>
      <w:r w:rsidRPr="001E05F5">
        <w:rPr>
          <w:rFonts w:cs="Arial"/>
          <w:szCs w:val="20"/>
        </w:rPr>
        <w:t xml:space="preserve">The current Tees Valley Joint Waste Management Strategy (JWMS) </w:t>
      </w:r>
      <w:r w:rsidR="00921B80" w:rsidRPr="001E05F5">
        <w:rPr>
          <w:rFonts w:cs="Arial"/>
          <w:szCs w:val="20"/>
        </w:rPr>
        <w:t>was developed to cover</w:t>
      </w:r>
      <w:r w:rsidRPr="001E05F5">
        <w:rPr>
          <w:rFonts w:cs="Arial"/>
          <w:szCs w:val="20"/>
        </w:rPr>
        <w:t xml:space="preserve"> the period </w:t>
      </w:r>
      <w:r w:rsidR="00921B80" w:rsidRPr="001E05F5">
        <w:rPr>
          <w:rFonts w:cs="Arial"/>
          <w:szCs w:val="20"/>
        </w:rPr>
        <w:t>between 2008 until</w:t>
      </w:r>
      <w:r w:rsidRPr="001E05F5">
        <w:rPr>
          <w:rFonts w:cs="Arial"/>
          <w:szCs w:val="20"/>
        </w:rPr>
        <w:t xml:space="preserve"> 2020. </w:t>
      </w:r>
      <w:r w:rsidR="00B840AD" w:rsidRPr="001E05F5">
        <w:rPr>
          <w:rFonts w:cs="Arial"/>
          <w:szCs w:val="20"/>
        </w:rPr>
        <w:t>Since then</w:t>
      </w:r>
      <w:r w:rsidR="00921B80" w:rsidRPr="001E05F5">
        <w:rPr>
          <w:rFonts w:cs="Arial"/>
          <w:szCs w:val="20"/>
        </w:rPr>
        <w:t xml:space="preserve"> there have been developments and changes to waste management policy that means</w:t>
      </w:r>
      <w:r w:rsidR="00B840AD" w:rsidRPr="001E05F5">
        <w:rPr>
          <w:rFonts w:cs="Arial"/>
          <w:szCs w:val="20"/>
        </w:rPr>
        <w:t xml:space="preserve"> that the existing strategy needs revision. This document refreshes the previous JWMS and extends it until 2035</w:t>
      </w:r>
      <w:r w:rsidR="002A622A" w:rsidRPr="001E05F5">
        <w:rPr>
          <w:rFonts w:cs="Arial"/>
          <w:szCs w:val="20"/>
        </w:rPr>
        <w:t xml:space="preserve"> with particular regard to:</w:t>
      </w:r>
    </w:p>
    <w:p w14:paraId="6C43DBED" w14:textId="5FE69EF6" w:rsidR="00B5013B" w:rsidRPr="001E05F5" w:rsidRDefault="002A622A" w:rsidP="00D17D3B">
      <w:pPr>
        <w:pStyle w:val="ListParagraph"/>
        <w:numPr>
          <w:ilvl w:val="0"/>
          <w:numId w:val="5"/>
        </w:numPr>
        <w:spacing w:line="264" w:lineRule="auto"/>
        <w:rPr>
          <w:szCs w:val="20"/>
        </w:rPr>
      </w:pPr>
      <w:r w:rsidRPr="001E05F5">
        <w:rPr>
          <w:szCs w:val="20"/>
        </w:rPr>
        <w:t>moving</w:t>
      </w:r>
      <w:r w:rsidR="00B5013B" w:rsidRPr="001E05F5">
        <w:rPr>
          <w:szCs w:val="20"/>
        </w:rPr>
        <w:t xml:space="preserve"> waste up the </w:t>
      </w:r>
      <w:r w:rsidR="00574F68" w:rsidRPr="001E05F5">
        <w:rPr>
          <w:szCs w:val="20"/>
        </w:rPr>
        <w:t xml:space="preserve">waste </w:t>
      </w:r>
      <w:r w:rsidR="00B5013B" w:rsidRPr="001E05F5">
        <w:rPr>
          <w:szCs w:val="20"/>
        </w:rPr>
        <w:t xml:space="preserve">hierarchy of options through prevention, reuse, recycling and composting activities; and </w:t>
      </w:r>
    </w:p>
    <w:p w14:paraId="025903CB" w14:textId="2D6D2766" w:rsidR="006B2D09" w:rsidRPr="001E05F5" w:rsidRDefault="00B5013B" w:rsidP="00D17D3B">
      <w:pPr>
        <w:pStyle w:val="ListParagraph"/>
        <w:numPr>
          <w:ilvl w:val="0"/>
          <w:numId w:val="5"/>
        </w:numPr>
        <w:spacing w:line="264" w:lineRule="auto"/>
        <w:rPr>
          <w:szCs w:val="20"/>
        </w:rPr>
      </w:pPr>
      <w:r w:rsidRPr="001E05F5">
        <w:rPr>
          <w:szCs w:val="20"/>
        </w:rPr>
        <w:t xml:space="preserve">the </w:t>
      </w:r>
      <w:r w:rsidR="002A622A" w:rsidRPr="001E05F5">
        <w:rPr>
          <w:szCs w:val="20"/>
        </w:rPr>
        <w:t xml:space="preserve">identification </w:t>
      </w:r>
      <w:r w:rsidRPr="001E05F5">
        <w:rPr>
          <w:szCs w:val="20"/>
        </w:rPr>
        <w:t>of</w:t>
      </w:r>
      <w:r w:rsidR="00E842D5" w:rsidRPr="001E05F5">
        <w:rPr>
          <w:szCs w:val="20"/>
        </w:rPr>
        <w:t xml:space="preserve"> a</w:t>
      </w:r>
      <w:r w:rsidRPr="001E05F5">
        <w:rPr>
          <w:szCs w:val="20"/>
        </w:rPr>
        <w:t xml:space="preserve"> long-term residual waste treatment solution</w:t>
      </w:r>
      <w:r w:rsidR="00E842D5" w:rsidRPr="001E05F5">
        <w:rPr>
          <w:szCs w:val="20"/>
        </w:rPr>
        <w:t xml:space="preserve"> for the region</w:t>
      </w:r>
      <w:r w:rsidRPr="001E05F5">
        <w:rPr>
          <w:szCs w:val="20"/>
        </w:rPr>
        <w:t>.</w:t>
      </w:r>
    </w:p>
    <w:p w14:paraId="2D87EDF8" w14:textId="2A3FC122" w:rsidR="006B2D09" w:rsidRPr="001E05F5" w:rsidRDefault="00796146" w:rsidP="00D136F2">
      <w:r w:rsidRPr="001E05F5">
        <w:rPr>
          <w:rFonts w:cs="Arial"/>
          <w:szCs w:val="20"/>
        </w:rPr>
        <w:t>This work is</w:t>
      </w:r>
      <w:r w:rsidR="00D136F2" w:rsidRPr="001E05F5">
        <w:t xml:space="preserve"> support</w:t>
      </w:r>
      <w:r w:rsidRPr="001E05F5">
        <w:t>ed</w:t>
      </w:r>
      <w:r w:rsidR="00D136F2" w:rsidRPr="001E05F5">
        <w:t xml:space="preserve"> </w:t>
      </w:r>
      <w:r w:rsidRPr="001E05F5">
        <w:t>by</w:t>
      </w:r>
      <w:r w:rsidR="00D136F2" w:rsidRPr="001E05F5">
        <w:t xml:space="preserve"> a series of supplementary reports </w:t>
      </w:r>
      <w:r w:rsidRPr="001E05F5">
        <w:t xml:space="preserve">that </w:t>
      </w:r>
      <w:r w:rsidR="00D136F2" w:rsidRPr="001E05F5">
        <w:t>provide</w:t>
      </w:r>
      <w:r w:rsidR="00B5013B" w:rsidRPr="001E05F5">
        <w:t xml:space="preserve"> </w:t>
      </w:r>
      <w:r w:rsidR="00D136F2" w:rsidRPr="001E05F5">
        <w:t>technical waste management information and discuss in further detail the considerations used</w:t>
      </w:r>
      <w:r w:rsidR="00857360" w:rsidRPr="001E05F5">
        <w:t xml:space="preserve"> </w:t>
      </w:r>
      <w:r w:rsidRPr="001E05F5">
        <w:t>in the preparation of</w:t>
      </w:r>
      <w:r w:rsidR="00D136F2" w:rsidRPr="001E05F5">
        <w:t xml:space="preserve"> the Strategy.</w:t>
      </w:r>
      <w:r w:rsidR="00EA01F1" w:rsidRPr="001E05F5">
        <w:t xml:space="preserve">  </w:t>
      </w:r>
      <w:r w:rsidR="00D136F2" w:rsidRPr="001E05F5">
        <w:t xml:space="preserve">This </w:t>
      </w:r>
      <w:r w:rsidR="00EA01F1" w:rsidRPr="001E05F5">
        <w:t xml:space="preserve">Options Assessment Report </w:t>
      </w:r>
      <w:r w:rsidRPr="001E05F5">
        <w:t xml:space="preserve">is one of the supporting documents and </w:t>
      </w:r>
      <w:r w:rsidR="00D136F2" w:rsidRPr="001E05F5">
        <w:t xml:space="preserve">describes the options </w:t>
      </w:r>
      <w:r w:rsidRPr="001E05F5">
        <w:t xml:space="preserve">appraisal </w:t>
      </w:r>
      <w:r w:rsidR="00D136F2" w:rsidRPr="001E05F5">
        <w:t xml:space="preserve">process </w:t>
      </w:r>
      <w:r w:rsidR="00A1514C" w:rsidRPr="001E05F5">
        <w:t xml:space="preserve">undertaken by the Tees Valley Councils </w:t>
      </w:r>
      <w:r w:rsidR="00D136F2" w:rsidRPr="001E05F5">
        <w:t xml:space="preserve">which </w:t>
      </w:r>
      <w:r w:rsidRPr="001E05F5">
        <w:t xml:space="preserve">resulted </w:t>
      </w:r>
      <w:r w:rsidR="00D136F2" w:rsidRPr="001E05F5">
        <w:t xml:space="preserve">in the selection of a </w:t>
      </w:r>
      <w:r w:rsidR="00867537" w:rsidRPr="001E05F5">
        <w:t xml:space="preserve">draft </w:t>
      </w:r>
      <w:r w:rsidR="00D136F2" w:rsidRPr="001E05F5">
        <w:t>Preferred Option.</w:t>
      </w:r>
    </w:p>
    <w:p w14:paraId="52C10122" w14:textId="77777777" w:rsidR="00FC6E14" w:rsidRPr="001E05F5" w:rsidRDefault="00FC6E14" w:rsidP="00FC6E14">
      <w:pPr>
        <w:pStyle w:val="Heading2"/>
      </w:pPr>
      <w:bookmarkStart w:id="1" w:name="_Toc521426491"/>
      <w:r w:rsidRPr="001E05F5">
        <w:t xml:space="preserve">Options Assessment </w:t>
      </w:r>
      <w:r w:rsidR="001F6489" w:rsidRPr="001E05F5">
        <w:t>Process</w:t>
      </w:r>
      <w:bookmarkEnd w:id="1"/>
    </w:p>
    <w:p w14:paraId="51555E7A" w14:textId="77777777" w:rsidR="00FC6E14" w:rsidRPr="001E05F5" w:rsidRDefault="00FC6E14" w:rsidP="00FC6E14">
      <w:r w:rsidRPr="001E05F5">
        <w:t>Key stages in the options appraisal process have included:</w:t>
      </w:r>
    </w:p>
    <w:p w14:paraId="53164217" w14:textId="66E908C4" w:rsidR="00FC6E14" w:rsidRPr="001E05F5" w:rsidRDefault="00867537" w:rsidP="00D17D3B">
      <w:pPr>
        <w:pStyle w:val="ListParagraph"/>
        <w:numPr>
          <w:ilvl w:val="0"/>
          <w:numId w:val="6"/>
        </w:numPr>
      </w:pPr>
      <w:r w:rsidRPr="001E05F5">
        <w:t>d</w:t>
      </w:r>
      <w:r w:rsidR="00FC6E14" w:rsidRPr="001E05F5">
        <w:t xml:space="preserve">eveloping the waste strategy </w:t>
      </w:r>
      <w:r w:rsidR="001F6489" w:rsidRPr="001E05F5">
        <w:t xml:space="preserve">objectives, through workshop sessions with officers and members from each of the representative </w:t>
      </w:r>
      <w:r w:rsidR="00A1514C" w:rsidRPr="001E05F5">
        <w:t>Councils</w:t>
      </w:r>
      <w:r w:rsidR="007A5A8D" w:rsidRPr="001E05F5">
        <w:t xml:space="preserve">, </w:t>
      </w:r>
      <w:r w:rsidR="00FC6E14" w:rsidRPr="001E05F5">
        <w:t xml:space="preserve">including </w:t>
      </w:r>
      <w:r w:rsidR="00A1514C" w:rsidRPr="001E05F5">
        <w:t xml:space="preserve">the </w:t>
      </w:r>
      <w:r w:rsidR="00FC6E14" w:rsidRPr="001E05F5">
        <w:t>identif</w:t>
      </w:r>
      <w:r w:rsidR="00A1514C" w:rsidRPr="001E05F5">
        <w:t>ication of the</w:t>
      </w:r>
      <w:r w:rsidR="00FC6E14" w:rsidRPr="001E05F5">
        <w:t xml:space="preserve"> key issues</w:t>
      </w:r>
      <w:r w:rsidR="00A1514C" w:rsidRPr="001E05F5">
        <w:t xml:space="preserve"> and </w:t>
      </w:r>
      <w:r w:rsidR="00FC6E14" w:rsidRPr="001E05F5">
        <w:t xml:space="preserve">drivers for the strategy by </w:t>
      </w:r>
      <w:r w:rsidR="00A1514C" w:rsidRPr="001E05F5">
        <w:t xml:space="preserve">reference to </w:t>
      </w:r>
      <w:r w:rsidRPr="001E05F5">
        <w:t xml:space="preserve">existing and proposed </w:t>
      </w:r>
      <w:r w:rsidR="00FC6E14" w:rsidRPr="001E05F5">
        <w:t>policy and legislati</w:t>
      </w:r>
      <w:r w:rsidRPr="001E05F5">
        <w:t>on</w:t>
      </w:r>
      <w:r w:rsidR="00FC6E14" w:rsidRPr="001E05F5">
        <w:t>.</w:t>
      </w:r>
    </w:p>
    <w:p w14:paraId="17F2490B" w14:textId="4A88D9D4" w:rsidR="00FC6E14" w:rsidRPr="001E05F5" w:rsidRDefault="00FC6E14" w:rsidP="00D17D3B">
      <w:pPr>
        <w:pStyle w:val="ListParagraph"/>
        <w:numPr>
          <w:ilvl w:val="0"/>
          <w:numId w:val="6"/>
        </w:numPr>
      </w:pPr>
      <w:r w:rsidRPr="001E05F5">
        <w:t xml:space="preserve">identifying options for delivering the waste strategy objectives </w:t>
      </w:r>
      <w:r w:rsidR="001F6489" w:rsidRPr="001E05F5">
        <w:t>with input from officers and members</w:t>
      </w:r>
      <w:r w:rsidRPr="001E05F5">
        <w:t>.</w:t>
      </w:r>
    </w:p>
    <w:p w14:paraId="44E8F8EC" w14:textId="77777777" w:rsidR="00FC6E14" w:rsidRPr="001E05F5" w:rsidRDefault="001F6489" w:rsidP="00D17D3B">
      <w:pPr>
        <w:pStyle w:val="ListParagraph"/>
        <w:numPr>
          <w:ilvl w:val="0"/>
          <w:numId w:val="6"/>
        </w:numPr>
      </w:pPr>
      <w:r w:rsidRPr="001E05F5">
        <w:t>agreeing the options appraisal process, i.e. the assessment method, scoring of evaluation criteria, weighting of evaluation criteria;</w:t>
      </w:r>
    </w:p>
    <w:p w14:paraId="1EA7F684" w14:textId="4FF71B18" w:rsidR="00A76F54" w:rsidRPr="001E05F5" w:rsidRDefault="00A76F54" w:rsidP="00A76F54">
      <w:pPr>
        <w:pStyle w:val="ListParagraph"/>
        <w:numPr>
          <w:ilvl w:val="0"/>
          <w:numId w:val="6"/>
        </w:numPr>
      </w:pPr>
      <w:r w:rsidRPr="001E05F5">
        <w:t>development of a waste flow model for the Tees Valley area which enables forecasts of future waste flows and types</w:t>
      </w:r>
      <w:r w:rsidR="00E536C8">
        <w:t>, and costs</w:t>
      </w:r>
      <w:r w:rsidRPr="001E05F5">
        <w:t xml:space="preserve"> (described in Appendix 3)</w:t>
      </w:r>
    </w:p>
    <w:p w14:paraId="38A24BFA" w14:textId="1A208592" w:rsidR="00FC6E14" w:rsidRPr="001E05F5" w:rsidRDefault="00FC6E14" w:rsidP="00D17D3B">
      <w:pPr>
        <w:pStyle w:val="ListParagraph"/>
        <w:numPr>
          <w:ilvl w:val="0"/>
          <w:numId w:val="6"/>
        </w:numPr>
      </w:pPr>
      <w:r w:rsidRPr="001E05F5">
        <w:t>undertaking a detailed appraisal of each of the options</w:t>
      </w:r>
      <w:r w:rsidR="001F6489" w:rsidRPr="001E05F5">
        <w:t xml:space="preserve"> based o</w:t>
      </w:r>
      <w:r w:rsidR="00E842D5" w:rsidRPr="001E05F5">
        <w:t>n</w:t>
      </w:r>
      <w:r w:rsidR="001F6489" w:rsidRPr="001E05F5">
        <w:t xml:space="preserve"> the agreed evaluation criteria to help identify a draft Preferred Option.</w:t>
      </w:r>
    </w:p>
    <w:p w14:paraId="0EC60F6E" w14:textId="77777777" w:rsidR="0066610A" w:rsidRPr="001E05F5" w:rsidRDefault="0066610A" w:rsidP="009C298C"/>
    <w:p w14:paraId="45499248" w14:textId="77777777" w:rsidR="00FC6E14" w:rsidRPr="001E05F5" w:rsidRDefault="00FC6E14" w:rsidP="00FC6E14">
      <w:pPr>
        <w:pStyle w:val="Heading1"/>
      </w:pPr>
      <w:bookmarkStart w:id="2" w:name="_Toc521426492"/>
      <w:r w:rsidRPr="001E05F5">
        <w:lastRenderedPageBreak/>
        <w:t>Waste Strategy Objectives</w:t>
      </w:r>
      <w:bookmarkEnd w:id="2"/>
    </w:p>
    <w:p w14:paraId="327DB38B" w14:textId="77777777" w:rsidR="001F6489" w:rsidRPr="001E05F5" w:rsidRDefault="001F6489" w:rsidP="009D77FB">
      <w:pPr>
        <w:pStyle w:val="Heading2"/>
      </w:pPr>
      <w:bookmarkStart w:id="3" w:name="_Toc521426493"/>
      <w:r w:rsidRPr="001E05F5">
        <w:t>Historical perspective</w:t>
      </w:r>
      <w:bookmarkEnd w:id="3"/>
    </w:p>
    <w:p w14:paraId="1B5D97BE" w14:textId="77777777" w:rsidR="001F6489" w:rsidRPr="001E05F5" w:rsidRDefault="001F6489" w:rsidP="001F6489">
      <w:r w:rsidRPr="001E05F5">
        <w:t xml:space="preserve">The 2008 JWMS had six key principles: </w:t>
      </w:r>
    </w:p>
    <w:p w14:paraId="709308FF" w14:textId="77777777" w:rsidR="009D77FB" w:rsidRPr="001E05F5" w:rsidRDefault="001F6489" w:rsidP="00D17D3B">
      <w:pPr>
        <w:pStyle w:val="ListParagraph"/>
        <w:numPr>
          <w:ilvl w:val="0"/>
          <w:numId w:val="7"/>
        </w:numPr>
      </w:pPr>
      <w:r w:rsidRPr="001E05F5">
        <w:t>to reduce waste generation</w:t>
      </w:r>
    </w:p>
    <w:p w14:paraId="53CD0896" w14:textId="77777777" w:rsidR="009D77FB" w:rsidRPr="001E05F5" w:rsidRDefault="001F6489" w:rsidP="00D17D3B">
      <w:pPr>
        <w:pStyle w:val="ListParagraph"/>
        <w:numPr>
          <w:ilvl w:val="0"/>
          <w:numId w:val="7"/>
        </w:numPr>
      </w:pPr>
      <w:r w:rsidRPr="001E05F5">
        <w:t>to work towards zero landfill</w:t>
      </w:r>
    </w:p>
    <w:p w14:paraId="7BCF3655" w14:textId="77777777" w:rsidR="001F6489" w:rsidRPr="001E05F5" w:rsidRDefault="001F6489" w:rsidP="00D17D3B">
      <w:pPr>
        <w:pStyle w:val="ListParagraph"/>
        <w:numPr>
          <w:ilvl w:val="0"/>
          <w:numId w:val="7"/>
        </w:numPr>
      </w:pPr>
      <w:r w:rsidRPr="001E05F5">
        <w:t>to be achievable and affordable</w:t>
      </w:r>
    </w:p>
    <w:p w14:paraId="576464E5" w14:textId="77777777" w:rsidR="009D77FB" w:rsidRPr="001E05F5" w:rsidRDefault="001F6489" w:rsidP="00D17D3B">
      <w:pPr>
        <w:pStyle w:val="ListParagraph"/>
        <w:numPr>
          <w:ilvl w:val="0"/>
          <w:numId w:val="7"/>
        </w:numPr>
      </w:pPr>
      <w:r w:rsidRPr="001E05F5">
        <w:t>to have an accountable and deliverable structure</w:t>
      </w:r>
      <w:r w:rsidRPr="001E05F5">
        <w:tab/>
      </w:r>
    </w:p>
    <w:p w14:paraId="417F9582" w14:textId="77777777" w:rsidR="009D77FB" w:rsidRPr="001E05F5" w:rsidRDefault="001F6489" w:rsidP="00D17D3B">
      <w:pPr>
        <w:pStyle w:val="ListParagraph"/>
        <w:numPr>
          <w:ilvl w:val="0"/>
          <w:numId w:val="7"/>
        </w:numPr>
      </w:pPr>
      <w:r w:rsidRPr="001E05F5">
        <w:t>to minimise the impact on climate change</w:t>
      </w:r>
    </w:p>
    <w:p w14:paraId="569780C7" w14:textId="77777777" w:rsidR="001F6489" w:rsidRPr="001E05F5" w:rsidRDefault="001F6489" w:rsidP="00D17D3B">
      <w:pPr>
        <w:pStyle w:val="ListParagraph"/>
        <w:numPr>
          <w:ilvl w:val="0"/>
          <w:numId w:val="7"/>
        </w:numPr>
      </w:pPr>
      <w:r w:rsidRPr="001E05F5">
        <w:t>to contribute towards economic regeneration</w:t>
      </w:r>
    </w:p>
    <w:p w14:paraId="0D34495C" w14:textId="6ADF7D43" w:rsidR="00FC6E14" w:rsidRPr="001E05F5" w:rsidRDefault="001F6489" w:rsidP="001F6489">
      <w:r w:rsidRPr="001E05F5">
        <w:t xml:space="preserve">There was also a number of </w:t>
      </w:r>
      <w:r w:rsidR="008429F4">
        <w:t xml:space="preserve">additional </w:t>
      </w:r>
      <w:r w:rsidR="008429F4" w:rsidRPr="001E05F5">
        <w:t xml:space="preserve">policy </w:t>
      </w:r>
      <w:r w:rsidR="00867537" w:rsidRPr="001E05F5">
        <w:t xml:space="preserve">commitments </w:t>
      </w:r>
      <w:r w:rsidRPr="001E05F5">
        <w:t>including</w:t>
      </w:r>
      <w:r w:rsidR="008429F4">
        <w:t>;</w:t>
      </w:r>
      <w:r w:rsidRPr="001E05F5">
        <w:t xml:space="preserve"> managing waste in line with the </w:t>
      </w:r>
      <w:r w:rsidR="00867537" w:rsidRPr="001E05F5">
        <w:t>w</w:t>
      </w:r>
      <w:r w:rsidRPr="001E05F5">
        <w:t xml:space="preserve">aste </w:t>
      </w:r>
      <w:r w:rsidR="00867537" w:rsidRPr="001E05F5">
        <w:t>h</w:t>
      </w:r>
      <w:r w:rsidRPr="001E05F5">
        <w:t>ierarchy, maximising the amount of material that is recycled, composted or recovered from the residual waste stream and minimising the amount of waste sent to landfill.</w:t>
      </w:r>
    </w:p>
    <w:p w14:paraId="29EEF397" w14:textId="48F7866A" w:rsidR="00FC6E14" w:rsidRPr="001E05F5" w:rsidRDefault="00FC6E14" w:rsidP="00FC6E14">
      <w:pPr>
        <w:pStyle w:val="Heading2"/>
      </w:pPr>
      <w:bookmarkStart w:id="4" w:name="_Toc521426494"/>
      <w:r w:rsidRPr="001E05F5">
        <w:t>Policy Driver</w:t>
      </w:r>
      <w:r w:rsidR="00112A53" w:rsidRPr="001E05F5">
        <w:t xml:space="preserve"> Developments</w:t>
      </w:r>
      <w:bookmarkEnd w:id="4"/>
    </w:p>
    <w:p w14:paraId="4F039EED" w14:textId="4F131E8D" w:rsidR="00FC6E14" w:rsidRPr="001E05F5" w:rsidRDefault="00FC6E14" w:rsidP="00FC6E14">
      <w:r w:rsidRPr="001E05F5">
        <w:t xml:space="preserve">The first </w:t>
      </w:r>
      <w:r w:rsidR="00112A53" w:rsidRPr="001E05F5">
        <w:t xml:space="preserve">step </w:t>
      </w:r>
      <w:r w:rsidRPr="001E05F5">
        <w:t xml:space="preserve">in </w:t>
      </w:r>
      <w:r w:rsidR="009D77FB" w:rsidRPr="001E05F5">
        <w:t xml:space="preserve">reviewing and refreshing the </w:t>
      </w:r>
      <w:r w:rsidRPr="001E05F5">
        <w:t xml:space="preserve">waste strategy objectives was </w:t>
      </w:r>
      <w:r w:rsidR="00C74BCC" w:rsidRPr="001E05F5">
        <w:t>the identification of</w:t>
      </w:r>
      <w:r w:rsidRPr="001E05F5">
        <w:t xml:space="preserve"> key policy drivers and related objectives within other relevant strategies and plans</w:t>
      </w:r>
      <w:r w:rsidR="00C74BCC" w:rsidRPr="001E05F5">
        <w:t>. This provided the means</w:t>
      </w:r>
      <w:r w:rsidRPr="001E05F5">
        <w:t xml:space="preserve"> </w:t>
      </w:r>
      <w:r w:rsidR="00C74BCC" w:rsidRPr="001E05F5">
        <w:t xml:space="preserve">to establish </w:t>
      </w:r>
      <w:r w:rsidRPr="001E05F5">
        <w:t>an initial set of potential strategic outcomes and allowed the outcomes to be</w:t>
      </w:r>
      <w:r w:rsidR="002767CE" w:rsidRPr="001E05F5">
        <w:t xml:space="preserve"> compared to</w:t>
      </w:r>
      <w:r w:rsidRPr="001E05F5">
        <w:t xml:space="preserve"> the current position. This information was also used as part of the Strategic Environmental Assessment (SEA</w:t>
      </w:r>
      <w:r w:rsidRPr="001E05F5">
        <w:rPr>
          <w:rStyle w:val="FootnoteReference"/>
        </w:rPr>
        <w:footnoteReference w:id="1"/>
      </w:r>
      <w:r w:rsidRPr="001E05F5">
        <w:t>).</w:t>
      </w:r>
    </w:p>
    <w:p w14:paraId="58F4D758" w14:textId="199626DE" w:rsidR="009D77FB" w:rsidRPr="001E05F5" w:rsidRDefault="009D77FB" w:rsidP="00FC6E14">
      <w:r w:rsidRPr="001E05F5">
        <w:t xml:space="preserve">The initial identification of </w:t>
      </w:r>
      <w:r w:rsidR="00C74BCC" w:rsidRPr="001E05F5">
        <w:t xml:space="preserve">policy drivers </w:t>
      </w:r>
      <w:r w:rsidRPr="001E05F5">
        <w:t>involved a desk-based assessment and review of current policy and strategy impacting on the way that waste is managed and is likely to be managed in Tees Valley up to 2035. This was carried out at</w:t>
      </w:r>
      <w:r w:rsidR="00C74BCC" w:rsidRPr="001E05F5">
        <w:t xml:space="preserve"> an</w:t>
      </w:r>
      <w:r w:rsidRPr="001E05F5">
        <w:t xml:space="preserve"> </w:t>
      </w:r>
      <w:r w:rsidR="006A2CB7" w:rsidRPr="001E05F5">
        <w:t xml:space="preserve">EU, </w:t>
      </w:r>
      <w:r w:rsidRPr="001E05F5">
        <w:t>national and local level and covered strategic waste</w:t>
      </w:r>
      <w:r w:rsidR="006A2CB7" w:rsidRPr="001E05F5">
        <w:t xml:space="preserve"> management</w:t>
      </w:r>
      <w:r w:rsidRPr="001E05F5">
        <w:t>, planning policy</w:t>
      </w:r>
      <w:r w:rsidR="006A2CB7" w:rsidRPr="001E05F5">
        <w:t xml:space="preserve">, </w:t>
      </w:r>
      <w:r w:rsidRPr="001E05F5">
        <w:t>climate change</w:t>
      </w:r>
      <w:r w:rsidR="006A2CB7" w:rsidRPr="001E05F5">
        <w:t xml:space="preserve"> and l</w:t>
      </w:r>
      <w:r w:rsidRPr="001E05F5">
        <w:t xml:space="preserve">ow carbon </w:t>
      </w:r>
      <w:r w:rsidR="006A2CB7" w:rsidRPr="001E05F5">
        <w:t>initiatives</w:t>
      </w:r>
      <w:r w:rsidRPr="001E05F5">
        <w:t>, e.g. Clean Growth Strategy</w:t>
      </w:r>
      <w:r w:rsidR="00C45420" w:rsidRPr="001E05F5">
        <w:t xml:space="preserve">, </w:t>
      </w:r>
      <w:r w:rsidRPr="001E05F5">
        <w:t>the Industrial Strategy White Paper</w:t>
      </w:r>
      <w:r w:rsidR="00C45420" w:rsidRPr="001E05F5">
        <w:t>, the Tees Valley Strategic Economic Plan 2016-2026</w:t>
      </w:r>
      <w:r w:rsidRPr="001E05F5">
        <w:t>.</w:t>
      </w:r>
    </w:p>
    <w:p w14:paraId="43F61E5D" w14:textId="77777777" w:rsidR="009D77FB" w:rsidRPr="001E05F5" w:rsidRDefault="009D77FB" w:rsidP="009D77FB">
      <w:r w:rsidRPr="001E05F5">
        <w:t>Other key proposals and consultations relating to future policy and legislative change that may impact on waste management policy and decision making were also reviewed. Such documents included Defra’s 25-Year Environment Plan</w:t>
      </w:r>
      <w:r w:rsidR="00C45420" w:rsidRPr="001E05F5">
        <w:t xml:space="preserve"> and the </w:t>
      </w:r>
      <w:r w:rsidRPr="001E05F5">
        <w:t>European Circular Economy Package.</w:t>
      </w:r>
    </w:p>
    <w:p w14:paraId="53F7B5FE" w14:textId="6025D5CD" w:rsidR="00C45420" w:rsidRPr="001E05F5" w:rsidRDefault="00C45420" w:rsidP="00C45420">
      <w:r w:rsidRPr="001E05F5">
        <w:t xml:space="preserve">The policy documents were reviewed </w:t>
      </w:r>
      <w:r w:rsidR="006A2CB7" w:rsidRPr="001E05F5">
        <w:t xml:space="preserve">and analysed </w:t>
      </w:r>
      <w:r w:rsidRPr="001E05F5">
        <w:t xml:space="preserve">for common </w:t>
      </w:r>
      <w:r w:rsidR="008429F4">
        <w:t>issues</w:t>
      </w:r>
      <w:r w:rsidRPr="001E05F5">
        <w:t xml:space="preserve"> </w:t>
      </w:r>
      <w:r w:rsidR="00EB77BF" w:rsidRPr="001E05F5">
        <w:t xml:space="preserve">resulting in the identification of </w:t>
      </w:r>
      <w:r w:rsidRPr="001E05F5">
        <w:t xml:space="preserve">a list of thirty policy and strategy </w:t>
      </w:r>
      <w:r w:rsidR="00EB77BF" w:rsidRPr="001E05F5">
        <w:t xml:space="preserve">themes </w:t>
      </w:r>
      <w:r w:rsidRPr="001E05F5">
        <w:t>related to waste management.  The detail</w:t>
      </w:r>
      <w:r w:rsidR="00D82A6F" w:rsidRPr="001E05F5">
        <w:t>ed</w:t>
      </w:r>
      <w:r w:rsidRPr="001E05F5">
        <w:t xml:space="preserve"> review is provided in Appendix </w:t>
      </w:r>
      <w:r w:rsidR="002767CE" w:rsidRPr="008429F4">
        <w:t>1</w:t>
      </w:r>
      <w:r w:rsidRPr="008429F4">
        <w:t xml:space="preserve"> </w:t>
      </w:r>
      <w:r w:rsidRPr="001E05F5">
        <w:t>of the Environmental Report prepared for the SEA.</w:t>
      </w:r>
    </w:p>
    <w:p w14:paraId="610DB3CD" w14:textId="538FE06B" w:rsidR="00C45420" w:rsidRPr="001E05F5" w:rsidRDefault="00EB77BF" w:rsidP="00C45420">
      <w:r w:rsidRPr="001E05F5">
        <w:t>As</w:t>
      </w:r>
      <w:r w:rsidR="00C45420" w:rsidRPr="001E05F5">
        <w:t xml:space="preserve"> a number of the themes </w:t>
      </w:r>
      <w:r w:rsidR="00F06FF4" w:rsidRPr="001E05F5">
        <w:t>overlapped</w:t>
      </w:r>
      <w:r w:rsidR="00C45420" w:rsidRPr="001E05F5">
        <w:t xml:space="preserve"> or use</w:t>
      </w:r>
      <w:r w:rsidRPr="001E05F5">
        <w:t xml:space="preserve">d </w:t>
      </w:r>
      <w:r w:rsidR="00C45420" w:rsidRPr="001E05F5">
        <w:t xml:space="preserve">different terminology </w:t>
      </w:r>
      <w:r w:rsidRPr="001E05F5">
        <w:t>to describe the same purpose</w:t>
      </w:r>
      <w:r w:rsidR="00C45420" w:rsidRPr="001E05F5">
        <w:t xml:space="preserve"> the themes were </w:t>
      </w:r>
      <w:r w:rsidR="00F06FF4" w:rsidRPr="001E05F5">
        <w:t xml:space="preserve">rationalised </w:t>
      </w:r>
      <w:r w:rsidR="00C45420" w:rsidRPr="001E05F5">
        <w:t>to provide a consolidated list of themes for consideration as part of developing the revised JWMS.</w:t>
      </w:r>
      <w:r w:rsidR="00453419" w:rsidRPr="001E05F5">
        <w:t xml:space="preserve">  The consolidated list of themes </w:t>
      </w:r>
      <w:r w:rsidR="00F06FF4" w:rsidRPr="001E05F5">
        <w:t xml:space="preserve">together with a commentary </w:t>
      </w:r>
      <w:r w:rsidR="00453419" w:rsidRPr="001E05F5">
        <w:t>is provided in Table 2.1.</w:t>
      </w:r>
    </w:p>
    <w:p w14:paraId="65B7BA34" w14:textId="77777777" w:rsidR="00453419" w:rsidRPr="001E05F5" w:rsidRDefault="00453419" w:rsidP="00453419">
      <w:pPr>
        <w:keepNext/>
        <w:jc w:val="both"/>
        <w:rPr>
          <w:b/>
        </w:rPr>
      </w:pPr>
      <w:r w:rsidRPr="001E05F5">
        <w:rPr>
          <w:b/>
        </w:rPr>
        <w:lastRenderedPageBreak/>
        <w:t>Table 2.1: Consolidated list of themes for the consideration in the revised JWMS</w:t>
      </w:r>
    </w:p>
    <w:tbl>
      <w:tblPr>
        <w:tblStyle w:val="TableGrid"/>
        <w:tblW w:w="0" w:type="auto"/>
        <w:tblLook w:val="04A0" w:firstRow="1" w:lastRow="0" w:firstColumn="1" w:lastColumn="0" w:noHBand="0" w:noVBand="1"/>
      </w:tblPr>
      <w:tblGrid>
        <w:gridCol w:w="3936"/>
        <w:gridCol w:w="4586"/>
      </w:tblGrid>
      <w:tr w:rsidR="00453419" w:rsidRPr="001E05F5" w14:paraId="0757432E" w14:textId="77777777" w:rsidTr="00453419">
        <w:tc>
          <w:tcPr>
            <w:tcW w:w="3936" w:type="dxa"/>
            <w:shd w:val="clear" w:color="auto" w:fill="007078"/>
          </w:tcPr>
          <w:p w14:paraId="546F4AF6" w14:textId="77777777" w:rsidR="00453419" w:rsidRPr="001E05F5" w:rsidRDefault="00453419" w:rsidP="00453419">
            <w:pPr>
              <w:spacing w:before="60" w:after="60"/>
              <w:jc w:val="both"/>
              <w:rPr>
                <w:rFonts w:cs="Arial"/>
                <w:b/>
                <w:color w:val="FFFFFF" w:themeColor="background1"/>
              </w:rPr>
            </w:pPr>
            <w:r w:rsidRPr="001E05F5">
              <w:rPr>
                <w:rFonts w:cs="Arial"/>
                <w:b/>
                <w:color w:val="FFFFFF" w:themeColor="background1"/>
              </w:rPr>
              <w:t xml:space="preserve">Key Themes </w:t>
            </w:r>
          </w:p>
        </w:tc>
        <w:tc>
          <w:tcPr>
            <w:tcW w:w="4586" w:type="dxa"/>
            <w:shd w:val="clear" w:color="auto" w:fill="007078"/>
          </w:tcPr>
          <w:p w14:paraId="4C9B92B0" w14:textId="77777777" w:rsidR="00453419" w:rsidRPr="001E05F5" w:rsidRDefault="00453419" w:rsidP="00453419">
            <w:pPr>
              <w:spacing w:before="60" w:after="60"/>
              <w:jc w:val="both"/>
              <w:rPr>
                <w:rFonts w:cs="Arial"/>
                <w:b/>
                <w:color w:val="FFFFFF" w:themeColor="background1"/>
              </w:rPr>
            </w:pPr>
            <w:r w:rsidRPr="001E05F5">
              <w:rPr>
                <w:rFonts w:cs="Arial"/>
                <w:b/>
                <w:color w:val="FFFFFF" w:themeColor="background1"/>
              </w:rPr>
              <w:t xml:space="preserve">Comments </w:t>
            </w:r>
          </w:p>
        </w:tc>
      </w:tr>
      <w:tr w:rsidR="00453419" w:rsidRPr="001E05F5" w14:paraId="3E7784DD" w14:textId="77777777" w:rsidTr="00453419">
        <w:trPr>
          <w:trHeight w:val="425"/>
        </w:trPr>
        <w:tc>
          <w:tcPr>
            <w:tcW w:w="3936" w:type="dxa"/>
            <w:vAlign w:val="center"/>
          </w:tcPr>
          <w:p w14:paraId="39B8FC00" w14:textId="77777777" w:rsidR="00453419" w:rsidRPr="001E05F5" w:rsidRDefault="00453419" w:rsidP="00453419">
            <w:pPr>
              <w:spacing w:before="60" w:after="60"/>
              <w:rPr>
                <w:rFonts w:cs="Arial"/>
              </w:rPr>
            </w:pPr>
            <w:r w:rsidRPr="001E05F5">
              <w:rPr>
                <w:rFonts w:cs="Arial"/>
              </w:rPr>
              <w:t xml:space="preserve">Waste prevention </w:t>
            </w:r>
          </w:p>
        </w:tc>
        <w:tc>
          <w:tcPr>
            <w:tcW w:w="4586" w:type="dxa"/>
            <w:vMerge w:val="restart"/>
          </w:tcPr>
          <w:p w14:paraId="08A86000" w14:textId="77777777" w:rsidR="00453419" w:rsidRPr="001E05F5" w:rsidRDefault="00453419" w:rsidP="00453419">
            <w:pPr>
              <w:spacing w:before="60" w:after="60"/>
              <w:rPr>
                <w:rFonts w:cs="Arial"/>
              </w:rPr>
            </w:pPr>
            <w:r w:rsidRPr="001E05F5">
              <w:rPr>
                <w:rFonts w:cs="Arial"/>
              </w:rPr>
              <w:t>Whilst these themes could be combined under the theme of the waste hierarchy, within a JWMS it is important that they are considered as individual themes.  The elements of waste hierarchy will also contribute to renewable energy generation and the emerging theme of zero avoidable waste</w:t>
            </w:r>
            <w:r w:rsidRPr="001E05F5">
              <w:rPr>
                <w:rFonts w:cs="Arial"/>
                <w:strike/>
              </w:rPr>
              <w:t>.</w:t>
            </w:r>
          </w:p>
        </w:tc>
      </w:tr>
      <w:tr w:rsidR="00453419" w:rsidRPr="001E05F5" w14:paraId="3C275572" w14:textId="77777777" w:rsidTr="00453419">
        <w:trPr>
          <w:trHeight w:val="425"/>
        </w:trPr>
        <w:tc>
          <w:tcPr>
            <w:tcW w:w="3936" w:type="dxa"/>
            <w:vAlign w:val="center"/>
          </w:tcPr>
          <w:p w14:paraId="0A30FA37" w14:textId="77777777" w:rsidR="00453419" w:rsidRPr="001E05F5" w:rsidRDefault="00453419" w:rsidP="00453419">
            <w:pPr>
              <w:spacing w:before="60" w:after="60"/>
              <w:rPr>
                <w:rFonts w:cs="Arial"/>
              </w:rPr>
            </w:pPr>
            <w:r w:rsidRPr="001E05F5">
              <w:rPr>
                <w:rFonts w:cs="Arial"/>
              </w:rPr>
              <w:t>Reuse, recycling and composting</w:t>
            </w:r>
          </w:p>
        </w:tc>
        <w:tc>
          <w:tcPr>
            <w:tcW w:w="4586" w:type="dxa"/>
            <w:vMerge/>
            <w:vAlign w:val="center"/>
          </w:tcPr>
          <w:p w14:paraId="13FBC0FD" w14:textId="77777777" w:rsidR="00453419" w:rsidRPr="001E05F5" w:rsidRDefault="00453419" w:rsidP="00453419">
            <w:pPr>
              <w:spacing w:before="60" w:after="60"/>
              <w:rPr>
                <w:rFonts w:cs="Arial"/>
              </w:rPr>
            </w:pPr>
          </w:p>
        </w:tc>
      </w:tr>
      <w:tr w:rsidR="00453419" w:rsidRPr="001E05F5" w14:paraId="02E7310B" w14:textId="77777777" w:rsidTr="00453419">
        <w:trPr>
          <w:trHeight w:val="425"/>
        </w:trPr>
        <w:tc>
          <w:tcPr>
            <w:tcW w:w="3936" w:type="dxa"/>
            <w:vAlign w:val="center"/>
          </w:tcPr>
          <w:p w14:paraId="4C05BE58" w14:textId="77777777" w:rsidR="00453419" w:rsidRPr="001E05F5" w:rsidRDefault="00453419" w:rsidP="00453419">
            <w:pPr>
              <w:spacing w:before="60" w:after="60"/>
              <w:rPr>
                <w:rFonts w:cs="Arial"/>
              </w:rPr>
            </w:pPr>
            <w:r w:rsidRPr="001E05F5">
              <w:rPr>
                <w:rFonts w:cs="Arial"/>
              </w:rPr>
              <w:t xml:space="preserve">Energy recovery from waste </w:t>
            </w:r>
          </w:p>
        </w:tc>
        <w:tc>
          <w:tcPr>
            <w:tcW w:w="4586" w:type="dxa"/>
            <w:vMerge/>
            <w:vAlign w:val="center"/>
          </w:tcPr>
          <w:p w14:paraId="13641E32" w14:textId="77777777" w:rsidR="00453419" w:rsidRPr="001E05F5" w:rsidRDefault="00453419" w:rsidP="00453419">
            <w:pPr>
              <w:spacing w:before="60" w:after="60"/>
              <w:rPr>
                <w:rFonts w:cs="Arial"/>
              </w:rPr>
            </w:pPr>
          </w:p>
        </w:tc>
      </w:tr>
      <w:tr w:rsidR="00453419" w:rsidRPr="001E05F5" w14:paraId="79631D9E" w14:textId="77777777" w:rsidTr="00453419">
        <w:trPr>
          <w:trHeight w:val="425"/>
        </w:trPr>
        <w:tc>
          <w:tcPr>
            <w:tcW w:w="3936" w:type="dxa"/>
            <w:vAlign w:val="center"/>
          </w:tcPr>
          <w:p w14:paraId="7A513468" w14:textId="77777777" w:rsidR="00453419" w:rsidRPr="001E05F5" w:rsidRDefault="00453419" w:rsidP="00453419">
            <w:pPr>
              <w:spacing w:before="60" w:after="60"/>
              <w:rPr>
                <w:rFonts w:cs="Arial"/>
              </w:rPr>
            </w:pPr>
            <w:r w:rsidRPr="001E05F5">
              <w:rPr>
                <w:rFonts w:cs="Arial"/>
              </w:rPr>
              <w:t>Landfill diversion</w:t>
            </w:r>
          </w:p>
        </w:tc>
        <w:tc>
          <w:tcPr>
            <w:tcW w:w="4586" w:type="dxa"/>
            <w:vMerge/>
            <w:vAlign w:val="center"/>
          </w:tcPr>
          <w:p w14:paraId="18546994" w14:textId="77777777" w:rsidR="00453419" w:rsidRPr="001E05F5" w:rsidRDefault="00453419" w:rsidP="00453419">
            <w:pPr>
              <w:spacing w:before="60" w:after="60"/>
              <w:rPr>
                <w:rFonts w:cs="Arial"/>
              </w:rPr>
            </w:pPr>
          </w:p>
        </w:tc>
      </w:tr>
      <w:tr w:rsidR="00453419" w:rsidRPr="001E05F5" w14:paraId="241E49D1" w14:textId="77777777" w:rsidTr="00453419">
        <w:tc>
          <w:tcPr>
            <w:tcW w:w="3936" w:type="dxa"/>
          </w:tcPr>
          <w:p w14:paraId="6A7421D8" w14:textId="77777777" w:rsidR="00453419" w:rsidRPr="001E05F5" w:rsidRDefault="00453419" w:rsidP="00453419">
            <w:pPr>
              <w:spacing w:before="60" w:after="60"/>
              <w:rPr>
                <w:rFonts w:cs="Arial"/>
              </w:rPr>
            </w:pPr>
            <w:r w:rsidRPr="001E05F5">
              <w:rPr>
                <w:rFonts w:cs="Arial"/>
              </w:rPr>
              <w:t>Reducing the carbon impact of waste management</w:t>
            </w:r>
          </w:p>
        </w:tc>
        <w:tc>
          <w:tcPr>
            <w:tcW w:w="4586" w:type="dxa"/>
          </w:tcPr>
          <w:p w14:paraId="04434798" w14:textId="77777777" w:rsidR="00453419" w:rsidRPr="001E05F5" w:rsidRDefault="00453419" w:rsidP="00453419">
            <w:pPr>
              <w:spacing w:before="60" w:after="60"/>
              <w:rPr>
                <w:rFonts w:cs="Arial"/>
              </w:rPr>
            </w:pPr>
            <w:r w:rsidRPr="001E05F5">
              <w:rPr>
                <w:rFonts w:cs="Arial"/>
              </w:rPr>
              <w:t>Covering climate change and including carbon / greenhouse gas emissions, low carbon economy, reducing transport impacts.</w:t>
            </w:r>
          </w:p>
        </w:tc>
      </w:tr>
      <w:tr w:rsidR="00453419" w:rsidRPr="001E05F5" w14:paraId="3052E33B" w14:textId="77777777" w:rsidTr="00453419">
        <w:tc>
          <w:tcPr>
            <w:tcW w:w="3936" w:type="dxa"/>
          </w:tcPr>
          <w:p w14:paraId="3902A839" w14:textId="77777777" w:rsidR="00453419" w:rsidRPr="001E05F5" w:rsidRDefault="00453419" w:rsidP="00453419">
            <w:pPr>
              <w:spacing w:before="60" w:after="60"/>
              <w:rPr>
                <w:rFonts w:cs="Arial"/>
              </w:rPr>
            </w:pPr>
            <w:r w:rsidRPr="001E05F5">
              <w:rPr>
                <w:rFonts w:cs="Arial"/>
              </w:rPr>
              <w:t>Affordability</w:t>
            </w:r>
          </w:p>
        </w:tc>
        <w:tc>
          <w:tcPr>
            <w:tcW w:w="4586" w:type="dxa"/>
          </w:tcPr>
          <w:p w14:paraId="35FC6F9E" w14:textId="77777777" w:rsidR="00453419" w:rsidRPr="001E05F5" w:rsidRDefault="00453419" w:rsidP="00453419">
            <w:pPr>
              <w:spacing w:before="60" w:after="60"/>
              <w:rPr>
                <w:rFonts w:cs="Arial"/>
              </w:rPr>
            </w:pPr>
            <w:r w:rsidRPr="001E05F5">
              <w:rPr>
                <w:rFonts w:cs="Arial"/>
              </w:rPr>
              <w:t>Including value for money and the potential for delivering cost savings.</w:t>
            </w:r>
          </w:p>
        </w:tc>
      </w:tr>
      <w:tr w:rsidR="00453419" w:rsidRPr="001E05F5" w14:paraId="4A57BF33" w14:textId="77777777" w:rsidTr="00453419">
        <w:tc>
          <w:tcPr>
            <w:tcW w:w="3936" w:type="dxa"/>
          </w:tcPr>
          <w:p w14:paraId="76E4184F" w14:textId="77777777" w:rsidR="00453419" w:rsidRPr="001E05F5" w:rsidRDefault="00453419" w:rsidP="00453419">
            <w:pPr>
              <w:spacing w:before="60" w:after="60"/>
              <w:rPr>
                <w:rFonts w:cs="Arial"/>
              </w:rPr>
            </w:pPr>
            <w:r w:rsidRPr="001E05F5">
              <w:rPr>
                <w:rFonts w:cs="Arial"/>
              </w:rPr>
              <w:t>Circular economy</w:t>
            </w:r>
          </w:p>
        </w:tc>
        <w:tc>
          <w:tcPr>
            <w:tcW w:w="4586" w:type="dxa"/>
          </w:tcPr>
          <w:p w14:paraId="278592A6" w14:textId="77777777" w:rsidR="00453419" w:rsidRPr="001E05F5" w:rsidRDefault="00453419" w:rsidP="00453419">
            <w:pPr>
              <w:spacing w:before="60" w:after="60"/>
              <w:rPr>
                <w:rFonts w:cs="Arial"/>
              </w:rPr>
            </w:pPr>
            <w:r w:rsidRPr="001E05F5">
              <w:rPr>
                <w:rFonts w:cs="Arial"/>
              </w:rPr>
              <w:t>Encompassing resource efficiency / productivity, industrial symbiosis, developing markets for recyclable materials and sustainable procurement as a means of completing the circle.</w:t>
            </w:r>
          </w:p>
        </w:tc>
      </w:tr>
      <w:tr w:rsidR="00453419" w:rsidRPr="001E05F5" w14:paraId="67F34AF0" w14:textId="77777777" w:rsidTr="00453419">
        <w:tc>
          <w:tcPr>
            <w:tcW w:w="3936" w:type="dxa"/>
          </w:tcPr>
          <w:p w14:paraId="234ED9A7" w14:textId="77777777" w:rsidR="00453419" w:rsidRPr="001E05F5" w:rsidRDefault="00453419" w:rsidP="00453419">
            <w:pPr>
              <w:spacing w:before="60" w:after="60"/>
              <w:rPr>
                <w:rFonts w:cs="Arial"/>
              </w:rPr>
            </w:pPr>
            <w:r w:rsidRPr="001E05F5">
              <w:rPr>
                <w:rFonts w:cs="Arial"/>
              </w:rPr>
              <w:t xml:space="preserve">Limiting environmental impacts and harm to human health </w:t>
            </w:r>
          </w:p>
        </w:tc>
        <w:tc>
          <w:tcPr>
            <w:tcW w:w="4586" w:type="dxa"/>
          </w:tcPr>
          <w:p w14:paraId="23009225" w14:textId="77777777" w:rsidR="00453419" w:rsidRPr="001E05F5" w:rsidRDefault="00453419" w:rsidP="00453419">
            <w:pPr>
              <w:spacing w:before="60" w:after="60"/>
              <w:rPr>
                <w:rFonts w:cs="Arial"/>
              </w:rPr>
            </w:pPr>
            <w:r w:rsidRPr="001E05F5">
              <w:rPr>
                <w:rFonts w:cs="Arial"/>
              </w:rPr>
              <w:t>Including environmental protection, sustainable communities.</w:t>
            </w:r>
          </w:p>
        </w:tc>
      </w:tr>
      <w:tr w:rsidR="00453419" w:rsidRPr="001E05F5" w14:paraId="65A2B5AA" w14:textId="77777777" w:rsidTr="00453419">
        <w:tc>
          <w:tcPr>
            <w:tcW w:w="3936" w:type="dxa"/>
          </w:tcPr>
          <w:p w14:paraId="7B8ECD8C" w14:textId="77777777" w:rsidR="00453419" w:rsidRPr="001E05F5" w:rsidRDefault="00453419" w:rsidP="00453419">
            <w:pPr>
              <w:spacing w:before="60" w:after="60"/>
              <w:rPr>
                <w:rFonts w:cs="Arial"/>
              </w:rPr>
            </w:pPr>
            <w:r w:rsidRPr="001E05F5">
              <w:rPr>
                <w:rFonts w:cs="Arial"/>
              </w:rPr>
              <w:t>Reducing fly-tipping and litter</w:t>
            </w:r>
          </w:p>
        </w:tc>
        <w:tc>
          <w:tcPr>
            <w:tcW w:w="4586" w:type="dxa"/>
          </w:tcPr>
          <w:p w14:paraId="3070776F" w14:textId="77777777" w:rsidR="00453419" w:rsidRPr="001E05F5" w:rsidRDefault="00453419" w:rsidP="00453419">
            <w:pPr>
              <w:spacing w:before="60" w:after="60"/>
              <w:rPr>
                <w:rFonts w:cs="Arial"/>
              </w:rPr>
            </w:pPr>
            <w:r w:rsidRPr="001E05F5">
              <w:rPr>
                <w:rFonts w:cs="Arial"/>
              </w:rPr>
              <w:t xml:space="preserve">Encompassing the quality of the local amenity and contributing to green infrastructure </w:t>
            </w:r>
          </w:p>
        </w:tc>
      </w:tr>
      <w:tr w:rsidR="00453419" w:rsidRPr="001E05F5" w14:paraId="1F1B5B5E" w14:textId="77777777" w:rsidTr="00453419">
        <w:trPr>
          <w:trHeight w:val="515"/>
        </w:trPr>
        <w:tc>
          <w:tcPr>
            <w:tcW w:w="3936" w:type="dxa"/>
          </w:tcPr>
          <w:p w14:paraId="2E201A85" w14:textId="77777777" w:rsidR="00453419" w:rsidRPr="001E05F5" w:rsidRDefault="00453419" w:rsidP="00453419">
            <w:pPr>
              <w:spacing w:before="60" w:after="60"/>
              <w:rPr>
                <w:rFonts w:cs="Arial"/>
              </w:rPr>
            </w:pPr>
            <w:r w:rsidRPr="001E05F5">
              <w:rPr>
                <w:rFonts w:cs="Arial"/>
              </w:rPr>
              <w:t xml:space="preserve">Managing the impact of food waste </w:t>
            </w:r>
          </w:p>
        </w:tc>
        <w:tc>
          <w:tcPr>
            <w:tcW w:w="4586" w:type="dxa"/>
            <w:vMerge w:val="restart"/>
          </w:tcPr>
          <w:p w14:paraId="20A6190A" w14:textId="16B8565C" w:rsidR="00453419" w:rsidRPr="001E05F5" w:rsidRDefault="00453419" w:rsidP="00453419">
            <w:pPr>
              <w:spacing w:before="60" w:after="60"/>
              <w:rPr>
                <w:rFonts w:cs="Arial"/>
              </w:rPr>
            </w:pPr>
            <w:r w:rsidRPr="001E05F5">
              <w:rPr>
                <w:rFonts w:cs="Arial"/>
              </w:rPr>
              <w:t>Two very topic</w:t>
            </w:r>
            <w:r w:rsidR="006A749C" w:rsidRPr="001E05F5">
              <w:rPr>
                <w:rFonts w:cs="Arial"/>
              </w:rPr>
              <w:t>al</w:t>
            </w:r>
            <w:r w:rsidRPr="001E05F5">
              <w:rPr>
                <w:rFonts w:cs="Arial"/>
              </w:rPr>
              <w:t xml:space="preserve"> themes, which could be considered under different elements of the waste hierarchy but could be specific themes within the JWMS.</w:t>
            </w:r>
          </w:p>
        </w:tc>
      </w:tr>
      <w:tr w:rsidR="00453419" w:rsidRPr="001E05F5" w14:paraId="50BC0868" w14:textId="77777777" w:rsidTr="00453419">
        <w:trPr>
          <w:trHeight w:val="515"/>
        </w:trPr>
        <w:tc>
          <w:tcPr>
            <w:tcW w:w="3936" w:type="dxa"/>
          </w:tcPr>
          <w:p w14:paraId="778CEA9B" w14:textId="77777777" w:rsidR="00453419" w:rsidRPr="001E05F5" w:rsidRDefault="00453419" w:rsidP="00453419">
            <w:pPr>
              <w:spacing w:before="60" w:after="60"/>
              <w:rPr>
                <w:rFonts w:cs="Arial"/>
              </w:rPr>
            </w:pPr>
            <w:r w:rsidRPr="001E05F5">
              <w:rPr>
                <w:rFonts w:cs="Arial"/>
              </w:rPr>
              <w:t xml:space="preserve">Managing the impact of plastic wastes </w:t>
            </w:r>
          </w:p>
        </w:tc>
        <w:tc>
          <w:tcPr>
            <w:tcW w:w="4586" w:type="dxa"/>
            <w:vMerge/>
          </w:tcPr>
          <w:p w14:paraId="741124C1" w14:textId="77777777" w:rsidR="00453419" w:rsidRPr="001E05F5" w:rsidRDefault="00453419" w:rsidP="00453419">
            <w:pPr>
              <w:spacing w:before="60" w:after="60"/>
              <w:rPr>
                <w:rFonts w:cs="Arial"/>
              </w:rPr>
            </w:pPr>
          </w:p>
        </w:tc>
      </w:tr>
      <w:tr w:rsidR="00453419" w:rsidRPr="001E05F5" w14:paraId="2B53C4F9" w14:textId="77777777" w:rsidTr="00453419">
        <w:tc>
          <w:tcPr>
            <w:tcW w:w="3936" w:type="dxa"/>
          </w:tcPr>
          <w:p w14:paraId="589B6734" w14:textId="77777777" w:rsidR="00453419" w:rsidRPr="001E05F5" w:rsidRDefault="00453419" w:rsidP="00453419">
            <w:pPr>
              <w:spacing w:before="60" w:after="60"/>
              <w:rPr>
                <w:rFonts w:cs="Arial"/>
              </w:rPr>
            </w:pPr>
            <w:r w:rsidRPr="001E05F5">
              <w:rPr>
                <w:rFonts w:cs="Arial"/>
              </w:rPr>
              <w:t>Management of all municipal waste</w:t>
            </w:r>
          </w:p>
        </w:tc>
        <w:tc>
          <w:tcPr>
            <w:tcW w:w="4586" w:type="dxa"/>
          </w:tcPr>
          <w:p w14:paraId="5CD32588" w14:textId="77777777" w:rsidR="00453419" w:rsidRPr="001E05F5" w:rsidRDefault="00453419" w:rsidP="00453419">
            <w:pPr>
              <w:spacing w:before="60" w:after="60"/>
              <w:rPr>
                <w:rFonts w:cs="Arial"/>
              </w:rPr>
            </w:pPr>
            <w:r w:rsidRPr="001E05F5">
              <w:rPr>
                <w:rFonts w:cs="Arial"/>
              </w:rPr>
              <w:t>With the emergence of municipal waste</w:t>
            </w:r>
            <w:r w:rsidR="00C97BAF" w:rsidRPr="001E05F5">
              <w:rPr>
                <w:rFonts w:cs="Arial"/>
              </w:rPr>
              <w:t>,</w:t>
            </w:r>
            <w:r w:rsidRPr="001E05F5">
              <w:rPr>
                <w:rFonts w:cs="Arial"/>
              </w:rPr>
              <w:t xml:space="preserve"> targets cover commercial wastes similar in nature to household waste.</w:t>
            </w:r>
          </w:p>
        </w:tc>
      </w:tr>
      <w:tr w:rsidR="00453419" w:rsidRPr="001E05F5" w14:paraId="39AD33BF" w14:textId="77777777" w:rsidTr="00453419">
        <w:tc>
          <w:tcPr>
            <w:tcW w:w="3936" w:type="dxa"/>
          </w:tcPr>
          <w:p w14:paraId="47B853E2" w14:textId="77777777" w:rsidR="00453419" w:rsidRPr="001E05F5" w:rsidRDefault="00453419" w:rsidP="00453419">
            <w:pPr>
              <w:spacing w:before="60" w:after="60"/>
              <w:rPr>
                <w:rFonts w:cs="Arial"/>
              </w:rPr>
            </w:pPr>
            <w:r w:rsidRPr="001E05F5">
              <w:rPr>
                <w:rFonts w:cs="Arial"/>
              </w:rPr>
              <w:t>Raising waste awareness and education</w:t>
            </w:r>
          </w:p>
        </w:tc>
        <w:tc>
          <w:tcPr>
            <w:tcW w:w="4586" w:type="dxa"/>
          </w:tcPr>
          <w:p w14:paraId="0576CD43" w14:textId="77777777" w:rsidR="00453419" w:rsidRPr="001E05F5" w:rsidRDefault="00453419" w:rsidP="00453419">
            <w:pPr>
              <w:spacing w:before="60" w:after="60"/>
              <w:rPr>
                <w:rFonts w:cs="Arial"/>
              </w:rPr>
            </w:pPr>
            <w:r w:rsidRPr="001E05F5">
              <w:rPr>
                <w:rFonts w:cs="Arial"/>
              </w:rPr>
              <w:t>On-going behaviour change.</w:t>
            </w:r>
          </w:p>
        </w:tc>
      </w:tr>
    </w:tbl>
    <w:p w14:paraId="44A6E6E6" w14:textId="77777777" w:rsidR="00453419" w:rsidRPr="001E05F5" w:rsidRDefault="00453419" w:rsidP="00453419">
      <w:pPr>
        <w:jc w:val="both"/>
      </w:pPr>
    </w:p>
    <w:p w14:paraId="51F4EE74" w14:textId="78E508BC" w:rsidR="00453419" w:rsidRPr="001E05F5" w:rsidRDefault="00453419" w:rsidP="00453419">
      <w:pPr>
        <w:jc w:val="both"/>
      </w:pPr>
      <w:r w:rsidRPr="001E05F5">
        <w:t xml:space="preserve">These themes were </w:t>
      </w:r>
      <w:r w:rsidR="00F06FF4" w:rsidRPr="001E05F5">
        <w:t xml:space="preserve">subsequently </w:t>
      </w:r>
      <w:r w:rsidRPr="001E05F5">
        <w:t xml:space="preserve">explored at a </w:t>
      </w:r>
      <w:r w:rsidR="00DD3F51" w:rsidRPr="001E05F5">
        <w:t>Members and Officers W</w:t>
      </w:r>
      <w:r w:rsidRPr="001E05F5">
        <w:t xml:space="preserve">orkshop </w:t>
      </w:r>
      <w:r w:rsidR="00F06FF4" w:rsidRPr="001E05F5">
        <w:t>which resulted</w:t>
      </w:r>
      <w:r w:rsidR="001450D0" w:rsidRPr="001E05F5">
        <w:t xml:space="preserve"> in</w:t>
      </w:r>
      <w:r w:rsidRPr="001E05F5">
        <w:t xml:space="preserve"> </w:t>
      </w:r>
      <w:r w:rsidR="001450D0" w:rsidRPr="001E05F5">
        <w:t xml:space="preserve">the addition of </w:t>
      </w:r>
      <w:r w:rsidRPr="001E05F5">
        <w:t xml:space="preserve">three additional </w:t>
      </w:r>
      <w:r w:rsidR="002767CE" w:rsidRPr="001E05F5">
        <w:t>themes</w:t>
      </w:r>
      <w:r w:rsidRPr="001E05F5">
        <w:t>:</w:t>
      </w:r>
    </w:p>
    <w:p w14:paraId="3C6CBD5F" w14:textId="72910E01" w:rsidR="00C01D7E" w:rsidRPr="001E05F5" w:rsidRDefault="00C01D7E" w:rsidP="00D17D3B">
      <w:pPr>
        <w:pStyle w:val="ListParagraph"/>
        <w:numPr>
          <w:ilvl w:val="0"/>
          <w:numId w:val="7"/>
        </w:numPr>
      </w:pPr>
      <w:r w:rsidRPr="001E05F5">
        <w:t>Economic regeneration and job creation</w:t>
      </w:r>
      <w:r w:rsidR="001450D0" w:rsidRPr="001E05F5">
        <w:t>: These</w:t>
      </w:r>
      <w:r w:rsidRPr="001E05F5">
        <w:t xml:space="preserve"> are a priority in Tees Valley; and whilst the circular economy theme incorporates an element of resource efficiency and economic benefit, ‘</w:t>
      </w:r>
      <w:r w:rsidR="001450D0" w:rsidRPr="001E05F5">
        <w:t xml:space="preserve">economic </w:t>
      </w:r>
      <w:r w:rsidRPr="001E05F5">
        <w:t>regeneration and job creation’ should be included as a standalone theme.</w:t>
      </w:r>
    </w:p>
    <w:p w14:paraId="32A9A833" w14:textId="2A63D07E" w:rsidR="00C01D7E" w:rsidRPr="001E05F5" w:rsidRDefault="001450D0" w:rsidP="00D17D3B">
      <w:pPr>
        <w:pStyle w:val="ListParagraph"/>
        <w:numPr>
          <w:ilvl w:val="0"/>
          <w:numId w:val="7"/>
        </w:numPr>
      </w:pPr>
      <w:r w:rsidRPr="001E05F5">
        <w:t xml:space="preserve">Income generation: </w:t>
      </w:r>
      <w:r w:rsidR="00C01D7E" w:rsidRPr="001E05F5">
        <w:t>The potential to generate income from waste management activities is an important consideration for Tees Valley and needs to be considered in the themes.  It was agreed that it was not a specific theme in its own right but formed an important element of ‘Affordability’ as options that can provide an income will contribute to the overall affordability of any solution.</w:t>
      </w:r>
    </w:p>
    <w:p w14:paraId="31A67954" w14:textId="432D928D" w:rsidR="00C01D7E" w:rsidRPr="001E05F5" w:rsidRDefault="00465FB1" w:rsidP="00D17D3B">
      <w:pPr>
        <w:pStyle w:val="ListParagraph"/>
        <w:numPr>
          <w:ilvl w:val="0"/>
          <w:numId w:val="7"/>
        </w:numPr>
      </w:pPr>
      <w:r w:rsidRPr="001E05F5">
        <w:t>Service Quality</w:t>
      </w:r>
      <w:r w:rsidR="00B53470" w:rsidRPr="001E05F5">
        <w:t xml:space="preserve"> and Customer Satisfaction</w:t>
      </w:r>
      <w:r w:rsidRPr="001E05F5">
        <w:t xml:space="preserve">: </w:t>
      </w:r>
      <w:r w:rsidR="00C01D7E" w:rsidRPr="001E05F5">
        <w:t xml:space="preserve">Whilst the themes identified covered the key policy areas, it was highlighted that a key priority for the Councils is to provide a high-quality </w:t>
      </w:r>
      <w:r w:rsidR="00C01D7E" w:rsidRPr="001E05F5">
        <w:lastRenderedPageBreak/>
        <w:t>service that encourages all residents to participate in recycling activities whilst delivering customer satisfaction.  Therefore ‘Service Quality / Customer Satisfaction’ was added as a separate theme.</w:t>
      </w:r>
    </w:p>
    <w:p w14:paraId="5A896C52" w14:textId="6688B14E" w:rsidR="00C01D7E" w:rsidRPr="001E05F5" w:rsidRDefault="0005473B" w:rsidP="00C01D7E">
      <w:pPr>
        <w:spacing w:line="264" w:lineRule="auto"/>
        <w:rPr>
          <w:szCs w:val="20"/>
        </w:rPr>
      </w:pPr>
      <w:r w:rsidRPr="001E05F5">
        <w:rPr>
          <w:szCs w:val="20"/>
        </w:rPr>
        <w:t>F</w:t>
      </w:r>
      <w:r w:rsidR="00C01D7E" w:rsidRPr="001E05F5">
        <w:rPr>
          <w:szCs w:val="20"/>
        </w:rPr>
        <w:t>uture recycling targets</w:t>
      </w:r>
      <w:r w:rsidR="00B53470" w:rsidRPr="001E05F5">
        <w:rPr>
          <w:szCs w:val="20"/>
        </w:rPr>
        <w:t xml:space="preserve"> </w:t>
      </w:r>
      <w:r w:rsidR="00CE01E6" w:rsidRPr="001E05F5">
        <w:rPr>
          <w:szCs w:val="20"/>
        </w:rPr>
        <w:t xml:space="preserve">and objectives </w:t>
      </w:r>
      <w:r w:rsidR="00C01D7E" w:rsidRPr="001E05F5">
        <w:rPr>
          <w:szCs w:val="20"/>
        </w:rPr>
        <w:t xml:space="preserve">were also discussed at the </w:t>
      </w:r>
      <w:r w:rsidR="00DD3F51" w:rsidRPr="001E05F5">
        <w:rPr>
          <w:szCs w:val="20"/>
        </w:rPr>
        <w:t>W</w:t>
      </w:r>
      <w:r w:rsidR="00C01D7E" w:rsidRPr="001E05F5">
        <w:rPr>
          <w:szCs w:val="20"/>
        </w:rPr>
        <w:t>orkshop</w:t>
      </w:r>
      <w:r w:rsidR="008165D3" w:rsidRPr="001E05F5">
        <w:rPr>
          <w:szCs w:val="20"/>
        </w:rPr>
        <w:t xml:space="preserve"> </w:t>
      </w:r>
      <w:r w:rsidR="00B53470" w:rsidRPr="001E05F5">
        <w:rPr>
          <w:szCs w:val="20"/>
        </w:rPr>
        <w:t>in order</w:t>
      </w:r>
      <w:r w:rsidR="00C01D7E" w:rsidRPr="001E05F5">
        <w:rPr>
          <w:szCs w:val="20"/>
        </w:rPr>
        <w:t xml:space="preserve"> to </w:t>
      </w:r>
      <w:r w:rsidR="008165D3" w:rsidRPr="001E05F5">
        <w:rPr>
          <w:szCs w:val="20"/>
        </w:rPr>
        <w:t xml:space="preserve">determine </w:t>
      </w:r>
      <w:r w:rsidR="00C01D7E" w:rsidRPr="001E05F5">
        <w:rPr>
          <w:szCs w:val="20"/>
        </w:rPr>
        <w:t>the level of ambition and commitment to recycling</w:t>
      </w:r>
      <w:r w:rsidR="00CE01E6" w:rsidRPr="001E05F5">
        <w:rPr>
          <w:szCs w:val="20"/>
        </w:rPr>
        <w:t>,</w:t>
      </w:r>
      <w:r w:rsidR="00C01D7E" w:rsidRPr="001E05F5">
        <w:rPr>
          <w:szCs w:val="20"/>
        </w:rPr>
        <w:t xml:space="preserve"> by the Councils</w:t>
      </w:r>
      <w:r w:rsidR="00CE01E6" w:rsidRPr="001E05F5">
        <w:rPr>
          <w:szCs w:val="20"/>
        </w:rPr>
        <w:t>,</w:t>
      </w:r>
      <w:r w:rsidR="00C01D7E" w:rsidRPr="001E05F5">
        <w:rPr>
          <w:szCs w:val="20"/>
        </w:rPr>
        <w:t xml:space="preserve"> as part of</w:t>
      </w:r>
      <w:r w:rsidR="00C01D7E" w:rsidRPr="001E05F5">
        <w:t xml:space="preserve"> the development </w:t>
      </w:r>
      <w:r w:rsidR="00C01D7E" w:rsidRPr="001E05F5">
        <w:rPr>
          <w:szCs w:val="20"/>
        </w:rPr>
        <w:t xml:space="preserve">of the revised JWMS.  </w:t>
      </w:r>
      <w:r w:rsidR="00CE01E6" w:rsidRPr="001E05F5">
        <w:rPr>
          <w:szCs w:val="20"/>
        </w:rPr>
        <w:t xml:space="preserve">It was accepted that the </w:t>
      </w:r>
      <w:r w:rsidR="009E2E7E" w:rsidRPr="001E05F5">
        <w:rPr>
          <w:szCs w:val="20"/>
        </w:rPr>
        <w:t>level</w:t>
      </w:r>
      <w:r w:rsidR="00C01D7E" w:rsidRPr="001E05F5">
        <w:rPr>
          <w:szCs w:val="20"/>
        </w:rPr>
        <w:t xml:space="preserve"> of recycling and composting </w:t>
      </w:r>
      <w:r w:rsidR="008165D3" w:rsidRPr="001E05F5">
        <w:rPr>
          <w:szCs w:val="20"/>
        </w:rPr>
        <w:t xml:space="preserve">achieved by the Councils </w:t>
      </w:r>
      <w:r w:rsidR="00CE01E6" w:rsidRPr="001E05F5">
        <w:rPr>
          <w:szCs w:val="20"/>
        </w:rPr>
        <w:t xml:space="preserve">would </w:t>
      </w:r>
      <w:r w:rsidR="00C01D7E" w:rsidRPr="001E05F5">
        <w:rPr>
          <w:szCs w:val="20"/>
        </w:rPr>
        <w:t xml:space="preserve">be </w:t>
      </w:r>
      <w:r w:rsidR="009E2E7E" w:rsidRPr="001E05F5">
        <w:rPr>
          <w:szCs w:val="20"/>
        </w:rPr>
        <w:t xml:space="preserve">largely </w:t>
      </w:r>
      <w:r w:rsidR="00C01D7E" w:rsidRPr="001E05F5">
        <w:rPr>
          <w:szCs w:val="20"/>
        </w:rPr>
        <w:t xml:space="preserve">dependent on </w:t>
      </w:r>
      <w:r w:rsidR="009E2E7E" w:rsidRPr="001E05F5">
        <w:rPr>
          <w:szCs w:val="20"/>
        </w:rPr>
        <w:t xml:space="preserve">a combination of the </w:t>
      </w:r>
      <w:r w:rsidR="00C01D7E" w:rsidRPr="001E05F5">
        <w:rPr>
          <w:szCs w:val="20"/>
        </w:rPr>
        <w:t xml:space="preserve">collection systems </w:t>
      </w:r>
      <w:r w:rsidR="009E2E7E" w:rsidRPr="001E05F5">
        <w:rPr>
          <w:szCs w:val="20"/>
        </w:rPr>
        <w:t xml:space="preserve">offered </w:t>
      </w:r>
      <w:r w:rsidR="00C01D7E" w:rsidRPr="001E05F5">
        <w:rPr>
          <w:szCs w:val="20"/>
        </w:rPr>
        <w:t>by each Council,</w:t>
      </w:r>
      <w:r w:rsidR="009E2E7E" w:rsidRPr="001E05F5">
        <w:rPr>
          <w:szCs w:val="20"/>
        </w:rPr>
        <w:t xml:space="preserve"> education and enforcement</w:t>
      </w:r>
      <w:r w:rsidR="00CE01E6" w:rsidRPr="001E05F5">
        <w:rPr>
          <w:szCs w:val="20"/>
        </w:rPr>
        <w:t xml:space="preserve"> over time</w:t>
      </w:r>
      <w:r w:rsidR="009E2E7E" w:rsidRPr="001E05F5">
        <w:rPr>
          <w:szCs w:val="20"/>
        </w:rPr>
        <w:t xml:space="preserve">. This is turn </w:t>
      </w:r>
      <w:r w:rsidR="00CE01E6" w:rsidRPr="001E05F5">
        <w:rPr>
          <w:szCs w:val="20"/>
        </w:rPr>
        <w:t xml:space="preserve">would </w:t>
      </w:r>
      <w:r w:rsidR="009E2E7E" w:rsidRPr="001E05F5">
        <w:rPr>
          <w:szCs w:val="20"/>
        </w:rPr>
        <w:t xml:space="preserve">determine the quantity of </w:t>
      </w:r>
      <w:r w:rsidR="00C01D7E" w:rsidRPr="001E05F5">
        <w:rPr>
          <w:szCs w:val="20"/>
        </w:rPr>
        <w:t xml:space="preserve">residual waste </w:t>
      </w:r>
      <w:r w:rsidR="00CE01E6" w:rsidRPr="001E05F5">
        <w:rPr>
          <w:szCs w:val="20"/>
        </w:rPr>
        <w:t>requiring</w:t>
      </w:r>
      <w:r w:rsidR="009E2E7E" w:rsidRPr="001E05F5">
        <w:rPr>
          <w:szCs w:val="20"/>
        </w:rPr>
        <w:t xml:space="preserve"> </w:t>
      </w:r>
      <w:r w:rsidR="00C01D7E" w:rsidRPr="001E05F5">
        <w:rPr>
          <w:szCs w:val="20"/>
        </w:rPr>
        <w:t>treat</w:t>
      </w:r>
      <w:r w:rsidR="00CE01E6" w:rsidRPr="001E05F5">
        <w:rPr>
          <w:szCs w:val="20"/>
        </w:rPr>
        <w:t>ment</w:t>
      </w:r>
      <w:r w:rsidR="00C01D7E" w:rsidRPr="001E05F5">
        <w:rPr>
          <w:szCs w:val="20"/>
        </w:rPr>
        <w:t xml:space="preserve"> post 2025.  </w:t>
      </w:r>
    </w:p>
    <w:p w14:paraId="650D79B4" w14:textId="0548368C" w:rsidR="00C01D7E" w:rsidRPr="001E05F5" w:rsidRDefault="00C01D7E" w:rsidP="00C01D7E">
      <w:r w:rsidRPr="001E05F5">
        <w:rPr>
          <w:szCs w:val="20"/>
        </w:rPr>
        <w:t xml:space="preserve">In this context, the ability of the Councils to achieve the recently agreed EU Circular Economy targets of 55% recycling by 2025, 60% recycling by 2030 and 65% recycling by 2035, was also discussed.  It was noted in the discussion that rural Councils typically </w:t>
      </w:r>
      <w:r w:rsidR="00E35976" w:rsidRPr="001E05F5">
        <w:rPr>
          <w:szCs w:val="20"/>
        </w:rPr>
        <w:t xml:space="preserve">achieve </w:t>
      </w:r>
      <w:r w:rsidRPr="001E05F5">
        <w:rPr>
          <w:szCs w:val="20"/>
        </w:rPr>
        <w:t xml:space="preserve">higher </w:t>
      </w:r>
      <w:r w:rsidR="00E35976" w:rsidRPr="001E05F5">
        <w:rPr>
          <w:szCs w:val="20"/>
        </w:rPr>
        <w:t xml:space="preserve">recycling rates than urban Councils due to the increased availability of green waste for </w:t>
      </w:r>
      <w:r w:rsidRPr="001E05F5">
        <w:rPr>
          <w:szCs w:val="20"/>
        </w:rPr>
        <w:t xml:space="preserve">composting and </w:t>
      </w:r>
      <w:r w:rsidR="00FB09C5" w:rsidRPr="001E05F5">
        <w:rPr>
          <w:szCs w:val="20"/>
        </w:rPr>
        <w:t xml:space="preserve">that </w:t>
      </w:r>
      <w:r w:rsidRPr="001E05F5">
        <w:rPr>
          <w:szCs w:val="20"/>
        </w:rPr>
        <w:t>those</w:t>
      </w:r>
      <w:r w:rsidR="00FB09C5" w:rsidRPr="001E05F5">
        <w:rPr>
          <w:szCs w:val="20"/>
        </w:rPr>
        <w:t xml:space="preserve"> Councils</w:t>
      </w:r>
      <w:r w:rsidRPr="001E05F5">
        <w:rPr>
          <w:szCs w:val="20"/>
        </w:rPr>
        <w:t xml:space="preserve"> with higher levels of deprivation are </w:t>
      </w:r>
      <w:r w:rsidR="00FB09C5" w:rsidRPr="001E05F5">
        <w:rPr>
          <w:szCs w:val="20"/>
        </w:rPr>
        <w:t xml:space="preserve">frequently </w:t>
      </w:r>
      <w:r w:rsidRPr="001E05F5">
        <w:rPr>
          <w:szCs w:val="20"/>
        </w:rPr>
        <w:t>associated with</w:t>
      </w:r>
      <w:r w:rsidR="00FB09C5" w:rsidRPr="001E05F5">
        <w:rPr>
          <w:szCs w:val="20"/>
        </w:rPr>
        <w:t xml:space="preserve"> </w:t>
      </w:r>
      <w:r w:rsidRPr="001E05F5">
        <w:rPr>
          <w:szCs w:val="20"/>
        </w:rPr>
        <w:t xml:space="preserve">lower recycling rates.  Therefore, </w:t>
      </w:r>
      <w:r w:rsidR="00FB09C5" w:rsidRPr="001E05F5">
        <w:rPr>
          <w:szCs w:val="20"/>
        </w:rPr>
        <w:t xml:space="preserve">it was concluded that </w:t>
      </w:r>
      <w:r w:rsidRPr="001E05F5">
        <w:rPr>
          <w:szCs w:val="20"/>
        </w:rPr>
        <w:t>for Tees Valley as a whole</w:t>
      </w:r>
      <w:r w:rsidR="00716773" w:rsidRPr="001E05F5">
        <w:rPr>
          <w:szCs w:val="20"/>
        </w:rPr>
        <w:t>,</w:t>
      </w:r>
      <w:r w:rsidRPr="001E05F5">
        <w:rPr>
          <w:szCs w:val="20"/>
        </w:rPr>
        <w:t xml:space="preserve"> to achieve a recycling rate in excess of 55% by 2025 would be challenging</w:t>
      </w:r>
      <w:r w:rsidR="002767CE" w:rsidRPr="001E05F5">
        <w:rPr>
          <w:szCs w:val="20"/>
        </w:rPr>
        <w:t xml:space="preserve">, even though there is an </w:t>
      </w:r>
      <w:r w:rsidR="002767CE" w:rsidRPr="001E05F5">
        <w:t>aspiration to reach such a target</w:t>
      </w:r>
      <w:r w:rsidRPr="001E05F5">
        <w:rPr>
          <w:szCs w:val="20"/>
        </w:rPr>
        <w:t>.</w:t>
      </w:r>
    </w:p>
    <w:p w14:paraId="5102C827" w14:textId="231FB6FC" w:rsidR="00C01D7E" w:rsidRPr="001E05F5" w:rsidRDefault="00C01D7E" w:rsidP="00C01D7E">
      <w:pPr>
        <w:jc w:val="both"/>
      </w:pPr>
      <w:r w:rsidRPr="001E05F5">
        <w:t>To</w:t>
      </w:r>
      <w:r w:rsidR="00453419" w:rsidRPr="001E05F5">
        <w:t xml:space="preserve"> develop a </w:t>
      </w:r>
      <w:r w:rsidR="00D46237" w:rsidRPr="001E05F5">
        <w:t xml:space="preserve">set of </w:t>
      </w:r>
      <w:r w:rsidR="00453419" w:rsidRPr="001E05F5">
        <w:t>refreshed aim</w:t>
      </w:r>
      <w:r w:rsidR="00D46237" w:rsidRPr="001E05F5">
        <w:t>s</w:t>
      </w:r>
      <w:r w:rsidR="00453419" w:rsidRPr="001E05F5">
        <w:t xml:space="preserve"> and objectives for the revised JWMS</w:t>
      </w:r>
      <w:r w:rsidRPr="001E05F5">
        <w:t xml:space="preserve">, </w:t>
      </w:r>
      <w:r w:rsidR="00716773" w:rsidRPr="001E05F5">
        <w:t>the themes identified above were</w:t>
      </w:r>
      <w:r w:rsidR="00453419" w:rsidRPr="001E05F5">
        <w:t xml:space="preserve"> prioritis</w:t>
      </w:r>
      <w:r w:rsidR="00716773" w:rsidRPr="001E05F5">
        <w:t>ed</w:t>
      </w:r>
      <w:r w:rsidR="00453419" w:rsidRPr="001E05F5">
        <w:t xml:space="preserve"> </w:t>
      </w:r>
      <w:r w:rsidRPr="001E05F5">
        <w:t>and the following order resulted</w:t>
      </w:r>
      <w:r w:rsidR="002767CE" w:rsidRPr="001E05F5">
        <w:t xml:space="preserve"> (highest </w:t>
      </w:r>
      <w:r w:rsidR="00716773" w:rsidRPr="001E05F5">
        <w:t xml:space="preserve">priority </w:t>
      </w:r>
      <w:r w:rsidR="002767CE" w:rsidRPr="001E05F5">
        <w:t>first)</w:t>
      </w:r>
      <w:r w:rsidRPr="001E05F5">
        <w:t xml:space="preserve">:   </w:t>
      </w:r>
    </w:p>
    <w:p w14:paraId="72C5713B" w14:textId="77777777" w:rsidR="00C01D7E" w:rsidRPr="001E05F5" w:rsidRDefault="00C01D7E" w:rsidP="00D17D3B">
      <w:pPr>
        <w:pStyle w:val="ListParagraph"/>
        <w:numPr>
          <w:ilvl w:val="0"/>
          <w:numId w:val="8"/>
        </w:numPr>
        <w:jc w:val="both"/>
      </w:pPr>
      <w:r w:rsidRPr="001E05F5">
        <w:t xml:space="preserve">Affordability / Income Generation </w:t>
      </w:r>
    </w:p>
    <w:p w14:paraId="1B95E84F" w14:textId="77777777" w:rsidR="00C01D7E" w:rsidRPr="001E05F5" w:rsidRDefault="00C01D7E" w:rsidP="00D17D3B">
      <w:pPr>
        <w:pStyle w:val="ListParagraph"/>
        <w:numPr>
          <w:ilvl w:val="0"/>
          <w:numId w:val="8"/>
        </w:numPr>
        <w:jc w:val="both"/>
      </w:pPr>
      <w:r w:rsidRPr="001E05F5">
        <w:t xml:space="preserve">Reuse, recycling and composting </w:t>
      </w:r>
    </w:p>
    <w:p w14:paraId="60FDEC8C" w14:textId="77777777" w:rsidR="00C01D7E" w:rsidRPr="001E05F5" w:rsidRDefault="00C01D7E" w:rsidP="00D17D3B">
      <w:pPr>
        <w:pStyle w:val="ListParagraph"/>
        <w:numPr>
          <w:ilvl w:val="0"/>
          <w:numId w:val="8"/>
        </w:numPr>
        <w:jc w:val="both"/>
      </w:pPr>
      <w:r w:rsidRPr="001E05F5">
        <w:t xml:space="preserve">Raising waste awareness and education </w:t>
      </w:r>
    </w:p>
    <w:p w14:paraId="0868AC80" w14:textId="77777777" w:rsidR="00C01D7E" w:rsidRPr="001E05F5" w:rsidRDefault="00C01D7E" w:rsidP="00D17D3B">
      <w:pPr>
        <w:pStyle w:val="ListParagraph"/>
        <w:numPr>
          <w:ilvl w:val="0"/>
          <w:numId w:val="8"/>
        </w:numPr>
        <w:jc w:val="both"/>
      </w:pPr>
      <w:r w:rsidRPr="001E05F5">
        <w:t xml:space="preserve">Service Quality / Customer Satisfaction </w:t>
      </w:r>
    </w:p>
    <w:p w14:paraId="32AE64B8" w14:textId="77777777" w:rsidR="00C01D7E" w:rsidRPr="001E05F5" w:rsidRDefault="00C01D7E" w:rsidP="00D17D3B">
      <w:pPr>
        <w:pStyle w:val="ListParagraph"/>
        <w:numPr>
          <w:ilvl w:val="0"/>
          <w:numId w:val="8"/>
        </w:numPr>
        <w:jc w:val="both"/>
      </w:pPr>
      <w:r w:rsidRPr="001E05F5">
        <w:t xml:space="preserve">Waste prevention </w:t>
      </w:r>
    </w:p>
    <w:p w14:paraId="675AC5DA" w14:textId="77777777" w:rsidR="00C01D7E" w:rsidRPr="001E05F5" w:rsidRDefault="00C01D7E" w:rsidP="00D17D3B">
      <w:pPr>
        <w:pStyle w:val="ListParagraph"/>
        <w:numPr>
          <w:ilvl w:val="0"/>
          <w:numId w:val="8"/>
        </w:numPr>
        <w:jc w:val="both"/>
      </w:pPr>
      <w:r w:rsidRPr="001E05F5">
        <w:t>Regeneration / Job Creation</w:t>
      </w:r>
    </w:p>
    <w:p w14:paraId="20652253" w14:textId="77777777" w:rsidR="00C01D7E" w:rsidRPr="001E05F5" w:rsidRDefault="00C01D7E" w:rsidP="00D17D3B">
      <w:pPr>
        <w:pStyle w:val="ListParagraph"/>
        <w:numPr>
          <w:ilvl w:val="0"/>
          <w:numId w:val="8"/>
        </w:numPr>
        <w:jc w:val="both"/>
      </w:pPr>
      <w:r w:rsidRPr="001E05F5">
        <w:t xml:space="preserve">Reducing fly-tipping and litter </w:t>
      </w:r>
    </w:p>
    <w:p w14:paraId="62E293BB" w14:textId="77777777" w:rsidR="00C01D7E" w:rsidRPr="001E05F5" w:rsidRDefault="00C01D7E" w:rsidP="00D17D3B">
      <w:pPr>
        <w:pStyle w:val="ListParagraph"/>
        <w:numPr>
          <w:ilvl w:val="0"/>
          <w:numId w:val="8"/>
        </w:numPr>
        <w:jc w:val="both"/>
      </w:pPr>
      <w:r w:rsidRPr="001E05F5">
        <w:t xml:space="preserve">Limiting environmental impacts and harm to human health </w:t>
      </w:r>
    </w:p>
    <w:p w14:paraId="294A5503" w14:textId="77777777" w:rsidR="00C01D7E" w:rsidRPr="001E05F5" w:rsidRDefault="00C01D7E" w:rsidP="00D17D3B">
      <w:pPr>
        <w:pStyle w:val="ListParagraph"/>
        <w:numPr>
          <w:ilvl w:val="0"/>
          <w:numId w:val="8"/>
        </w:numPr>
        <w:jc w:val="both"/>
      </w:pPr>
      <w:r w:rsidRPr="001E05F5">
        <w:t>Circular economy</w:t>
      </w:r>
    </w:p>
    <w:p w14:paraId="23AC1308" w14:textId="77777777" w:rsidR="00C01D7E" w:rsidRPr="001E05F5" w:rsidRDefault="00C01D7E" w:rsidP="00D17D3B">
      <w:pPr>
        <w:pStyle w:val="ListParagraph"/>
        <w:numPr>
          <w:ilvl w:val="0"/>
          <w:numId w:val="8"/>
        </w:numPr>
        <w:jc w:val="both"/>
      </w:pPr>
      <w:r w:rsidRPr="001E05F5">
        <w:t xml:space="preserve">Energy recovery from waste </w:t>
      </w:r>
    </w:p>
    <w:p w14:paraId="1B62E390" w14:textId="77777777" w:rsidR="00C01D7E" w:rsidRPr="001E05F5" w:rsidRDefault="00C01D7E" w:rsidP="00D17D3B">
      <w:pPr>
        <w:pStyle w:val="ListParagraph"/>
        <w:numPr>
          <w:ilvl w:val="0"/>
          <w:numId w:val="8"/>
        </w:numPr>
        <w:jc w:val="both"/>
      </w:pPr>
      <w:r w:rsidRPr="001E05F5">
        <w:t xml:space="preserve">Landfill diversion </w:t>
      </w:r>
    </w:p>
    <w:p w14:paraId="3BC0D3FE" w14:textId="77777777" w:rsidR="00C01D7E" w:rsidRPr="001E05F5" w:rsidRDefault="00C01D7E" w:rsidP="00D17D3B">
      <w:pPr>
        <w:pStyle w:val="ListParagraph"/>
        <w:numPr>
          <w:ilvl w:val="0"/>
          <w:numId w:val="8"/>
        </w:numPr>
        <w:jc w:val="both"/>
      </w:pPr>
      <w:r w:rsidRPr="001E05F5">
        <w:t xml:space="preserve">Reducing the carbon impact of waste management </w:t>
      </w:r>
    </w:p>
    <w:p w14:paraId="6F919874" w14:textId="77777777" w:rsidR="00C01D7E" w:rsidRPr="001E05F5" w:rsidRDefault="00C01D7E" w:rsidP="00D17D3B">
      <w:pPr>
        <w:pStyle w:val="ListParagraph"/>
        <w:numPr>
          <w:ilvl w:val="0"/>
          <w:numId w:val="8"/>
        </w:numPr>
        <w:jc w:val="both"/>
      </w:pPr>
      <w:r w:rsidRPr="001E05F5">
        <w:t xml:space="preserve">Managing the impact of plastic wastes </w:t>
      </w:r>
    </w:p>
    <w:p w14:paraId="3F928A89" w14:textId="77777777" w:rsidR="00C01D7E" w:rsidRPr="001E05F5" w:rsidRDefault="00C01D7E" w:rsidP="00D17D3B">
      <w:pPr>
        <w:pStyle w:val="ListParagraph"/>
        <w:numPr>
          <w:ilvl w:val="0"/>
          <w:numId w:val="8"/>
        </w:numPr>
        <w:jc w:val="both"/>
      </w:pPr>
      <w:r w:rsidRPr="001E05F5">
        <w:t xml:space="preserve">Management of all municipal waste </w:t>
      </w:r>
    </w:p>
    <w:p w14:paraId="73D96EED" w14:textId="77777777" w:rsidR="00C01D7E" w:rsidRPr="001E05F5" w:rsidRDefault="00C01D7E" w:rsidP="00D17D3B">
      <w:pPr>
        <w:pStyle w:val="ListParagraph"/>
        <w:numPr>
          <w:ilvl w:val="0"/>
          <w:numId w:val="8"/>
        </w:numPr>
        <w:jc w:val="both"/>
      </w:pPr>
      <w:r w:rsidRPr="001E05F5">
        <w:t>Managing the impact of food waste</w:t>
      </w:r>
    </w:p>
    <w:p w14:paraId="77816D09" w14:textId="5A2D1EE3" w:rsidR="00453419" w:rsidRPr="001E05F5" w:rsidRDefault="00C01D7E" w:rsidP="00453419">
      <w:pPr>
        <w:jc w:val="both"/>
      </w:pPr>
      <w:r w:rsidRPr="001E05F5">
        <w:t xml:space="preserve">The </w:t>
      </w:r>
      <w:r w:rsidR="00E65863" w:rsidRPr="001E05F5">
        <w:t xml:space="preserve">resulting </w:t>
      </w:r>
      <w:r w:rsidRPr="001E05F5">
        <w:t xml:space="preserve">ranking of the themes </w:t>
      </w:r>
      <w:r w:rsidR="00C8143F" w:rsidRPr="001E05F5">
        <w:t xml:space="preserve">was </w:t>
      </w:r>
      <w:r w:rsidRPr="001E05F5">
        <w:t xml:space="preserve">broadly consistent with the principles and policies within the existing JWMS.  </w:t>
      </w:r>
      <w:r w:rsidR="00C8143F" w:rsidRPr="001E05F5">
        <w:t xml:space="preserve">These were therefore </w:t>
      </w:r>
      <w:r w:rsidR="00DD3F51" w:rsidRPr="001E05F5">
        <w:t>revised</w:t>
      </w:r>
      <w:r w:rsidR="00F9542F" w:rsidRPr="001E05F5">
        <w:t xml:space="preserve"> </w:t>
      </w:r>
      <w:r w:rsidR="00C8143F" w:rsidRPr="001E05F5">
        <w:t xml:space="preserve">to reflect </w:t>
      </w:r>
      <w:r w:rsidRPr="001E05F5">
        <w:t xml:space="preserve">emerging waste management </w:t>
      </w:r>
      <w:r w:rsidR="00F9542F" w:rsidRPr="001E05F5">
        <w:t xml:space="preserve">policies </w:t>
      </w:r>
      <w:r w:rsidRPr="001E05F5">
        <w:t xml:space="preserve">and </w:t>
      </w:r>
      <w:r w:rsidR="00DD3F51" w:rsidRPr="001E05F5">
        <w:t xml:space="preserve">the </w:t>
      </w:r>
      <w:r w:rsidR="0043425F" w:rsidRPr="001E05F5">
        <w:t>comments from members and officers</w:t>
      </w:r>
      <w:r w:rsidR="00DD3F51" w:rsidRPr="001E05F5">
        <w:t>.</w:t>
      </w:r>
      <w:r w:rsidRPr="001E05F5">
        <w:t xml:space="preserve"> </w:t>
      </w:r>
      <w:r w:rsidR="00DD3F51" w:rsidRPr="001E05F5">
        <w:t>T</w:t>
      </w:r>
      <w:r w:rsidRPr="001E05F5">
        <w:t>he following draft aims</w:t>
      </w:r>
      <w:r w:rsidR="00DD3F51" w:rsidRPr="001E05F5">
        <w:t xml:space="preserve"> and </w:t>
      </w:r>
      <w:r w:rsidRPr="001E05F5">
        <w:t xml:space="preserve">objectives, </w:t>
      </w:r>
      <w:r w:rsidR="002767CE" w:rsidRPr="001E05F5">
        <w:t>were</w:t>
      </w:r>
      <w:r w:rsidRPr="001E05F5">
        <w:t xml:space="preserve"> proposed for the revised JWMS</w:t>
      </w:r>
      <w:r w:rsidR="00DD3F51" w:rsidRPr="001E05F5">
        <w:t>:</w:t>
      </w:r>
    </w:p>
    <w:p w14:paraId="19582F69" w14:textId="77777777" w:rsidR="0043447D" w:rsidRPr="001E05F5" w:rsidRDefault="0043447D" w:rsidP="00453419">
      <w:pPr>
        <w:jc w:val="both"/>
      </w:pPr>
    </w:p>
    <w:p w14:paraId="671F987F" w14:textId="6383944D" w:rsidR="0043447D" w:rsidRPr="001E05F5" w:rsidRDefault="0043447D" w:rsidP="00453419">
      <w:pPr>
        <w:jc w:val="both"/>
        <w:rPr>
          <w:rFonts w:cs="Arial"/>
          <w:szCs w:val="20"/>
        </w:rPr>
      </w:pPr>
    </w:p>
    <w:tbl>
      <w:tblPr>
        <w:tblStyle w:val="TableGrid"/>
        <w:tblW w:w="9403" w:type="dxa"/>
        <w:shd w:val="clear" w:color="auto" w:fill="D9D9D9" w:themeFill="background1" w:themeFillShade="D9"/>
        <w:tblLook w:val="04A0" w:firstRow="1" w:lastRow="0" w:firstColumn="1" w:lastColumn="0" w:noHBand="0" w:noVBand="1"/>
      </w:tblPr>
      <w:tblGrid>
        <w:gridCol w:w="9403"/>
      </w:tblGrid>
      <w:tr w:rsidR="0043447D" w:rsidRPr="001E05F5" w14:paraId="4D1EBBDD" w14:textId="77777777" w:rsidTr="00FE0151">
        <w:tc>
          <w:tcPr>
            <w:tcW w:w="9403" w:type="dxa"/>
            <w:shd w:val="clear" w:color="auto" w:fill="D9D9D9" w:themeFill="background1" w:themeFillShade="D9"/>
          </w:tcPr>
          <w:p w14:paraId="422A39AC" w14:textId="77777777" w:rsidR="0043447D" w:rsidRPr="001E05F5" w:rsidRDefault="0043447D" w:rsidP="00FE0151">
            <w:pPr>
              <w:tabs>
                <w:tab w:val="left" w:pos="2074"/>
              </w:tabs>
              <w:spacing w:before="60" w:after="60"/>
              <w:rPr>
                <w:rFonts w:eastAsia="Calibri" w:cs="Arial"/>
                <w:szCs w:val="20"/>
              </w:rPr>
            </w:pPr>
            <w:r w:rsidRPr="001E05F5">
              <w:rPr>
                <w:rFonts w:eastAsia="Calibri" w:cs="Arial"/>
                <w:szCs w:val="20"/>
              </w:rPr>
              <w:t>To deliver a high quality, accessible and affordable waste management service that contributes to:</w:t>
            </w:r>
          </w:p>
          <w:p w14:paraId="68F346C9" w14:textId="77777777" w:rsidR="0043447D" w:rsidRPr="001E05F5" w:rsidRDefault="0043447D" w:rsidP="00D17D3B">
            <w:pPr>
              <w:numPr>
                <w:ilvl w:val="0"/>
                <w:numId w:val="10"/>
              </w:numPr>
              <w:spacing w:after="60" w:line="240" w:lineRule="auto"/>
              <w:rPr>
                <w:rFonts w:eastAsia="Calibri" w:cs="Arial"/>
                <w:szCs w:val="20"/>
              </w:rPr>
            </w:pPr>
            <w:r w:rsidRPr="001E05F5">
              <w:rPr>
                <w:rFonts w:eastAsia="Calibri" w:cs="Arial"/>
                <w:szCs w:val="20"/>
              </w:rPr>
              <w:t xml:space="preserve">economic regeneration, including employment and a more circular economy; </w:t>
            </w:r>
          </w:p>
          <w:p w14:paraId="57EF7BEA" w14:textId="77777777" w:rsidR="0043447D" w:rsidRPr="001E05F5" w:rsidRDefault="0043447D" w:rsidP="00D17D3B">
            <w:pPr>
              <w:numPr>
                <w:ilvl w:val="0"/>
                <w:numId w:val="10"/>
              </w:numPr>
              <w:spacing w:after="60" w:line="240" w:lineRule="auto"/>
              <w:rPr>
                <w:rFonts w:eastAsia="Calibri" w:cs="Arial"/>
                <w:szCs w:val="20"/>
              </w:rPr>
            </w:pPr>
            <w:r w:rsidRPr="001E05F5">
              <w:rPr>
                <w:rFonts w:eastAsia="Calibri" w:cs="Arial"/>
                <w:szCs w:val="20"/>
              </w:rPr>
              <w:t xml:space="preserve">the protection of the environment and natural resources; and </w:t>
            </w:r>
          </w:p>
          <w:p w14:paraId="19719341" w14:textId="77777777" w:rsidR="0043447D" w:rsidRPr="001E05F5" w:rsidRDefault="0043447D" w:rsidP="00D17D3B">
            <w:pPr>
              <w:numPr>
                <w:ilvl w:val="0"/>
                <w:numId w:val="9"/>
              </w:numPr>
              <w:spacing w:after="60" w:line="240" w:lineRule="auto"/>
              <w:rPr>
                <w:rFonts w:eastAsia="Calibri" w:cs="Arial"/>
                <w:szCs w:val="20"/>
              </w:rPr>
            </w:pPr>
            <w:r w:rsidRPr="001E05F5">
              <w:rPr>
                <w:rFonts w:eastAsia="Calibri" w:cs="Arial"/>
                <w:szCs w:val="20"/>
              </w:rPr>
              <w:t>reducing the carbon impact of waste management.</w:t>
            </w:r>
          </w:p>
          <w:p w14:paraId="352AF6E3" w14:textId="77777777" w:rsidR="0043447D" w:rsidRPr="001E05F5" w:rsidRDefault="0043447D" w:rsidP="00FE0151">
            <w:pPr>
              <w:spacing w:after="60"/>
              <w:rPr>
                <w:rFonts w:eastAsia="Calibri" w:cs="Arial"/>
                <w:szCs w:val="20"/>
              </w:rPr>
            </w:pPr>
            <w:r w:rsidRPr="001E05F5">
              <w:rPr>
                <w:rFonts w:eastAsia="Calibri" w:cs="Arial"/>
                <w:szCs w:val="20"/>
              </w:rPr>
              <w:t>and:</w:t>
            </w:r>
          </w:p>
          <w:p w14:paraId="4C4E26E0" w14:textId="77777777" w:rsidR="0043447D" w:rsidRPr="001E05F5" w:rsidRDefault="0043447D" w:rsidP="00D17D3B">
            <w:pPr>
              <w:numPr>
                <w:ilvl w:val="0"/>
                <w:numId w:val="9"/>
              </w:numPr>
              <w:spacing w:after="60" w:line="240" w:lineRule="auto"/>
              <w:rPr>
                <w:rFonts w:eastAsia="Calibri" w:cs="Arial"/>
                <w:szCs w:val="20"/>
              </w:rPr>
            </w:pPr>
            <w:r w:rsidRPr="001E05F5">
              <w:rPr>
                <w:rFonts w:eastAsia="Calibri" w:cs="Arial"/>
                <w:szCs w:val="20"/>
              </w:rPr>
              <w:t xml:space="preserve">delivers customer satisfaction; </w:t>
            </w:r>
          </w:p>
          <w:p w14:paraId="6D3632FE" w14:textId="77777777" w:rsidR="0043447D" w:rsidRPr="001E05F5" w:rsidRDefault="0043447D" w:rsidP="00D17D3B">
            <w:pPr>
              <w:numPr>
                <w:ilvl w:val="0"/>
                <w:numId w:val="9"/>
              </w:numPr>
              <w:spacing w:after="60" w:line="240" w:lineRule="auto"/>
              <w:rPr>
                <w:rFonts w:eastAsia="Calibri" w:cs="Arial"/>
                <w:szCs w:val="20"/>
              </w:rPr>
            </w:pPr>
            <w:r w:rsidRPr="001E05F5">
              <w:rPr>
                <w:rFonts w:eastAsia="Calibri" w:cs="Arial"/>
                <w:szCs w:val="20"/>
              </w:rPr>
              <w:t>reduces the amount of waste generated by householders and the Councils;</w:t>
            </w:r>
          </w:p>
          <w:p w14:paraId="534F2F63" w14:textId="77777777" w:rsidR="0043447D" w:rsidRPr="001E05F5" w:rsidRDefault="0043447D" w:rsidP="00D17D3B">
            <w:pPr>
              <w:numPr>
                <w:ilvl w:val="0"/>
                <w:numId w:val="9"/>
              </w:numPr>
              <w:spacing w:after="60" w:line="240" w:lineRule="auto"/>
              <w:rPr>
                <w:rFonts w:eastAsia="Calibri" w:cs="Arial"/>
                <w:szCs w:val="20"/>
              </w:rPr>
            </w:pPr>
            <w:r w:rsidRPr="001E05F5">
              <w:rPr>
                <w:rFonts w:eastAsia="Calibri" w:cs="Arial"/>
                <w:szCs w:val="20"/>
              </w:rPr>
              <w:t>increases reuse and recycling;</w:t>
            </w:r>
          </w:p>
          <w:p w14:paraId="1FD9BF36" w14:textId="77777777" w:rsidR="0043447D" w:rsidRPr="001E05F5" w:rsidRDefault="0043447D" w:rsidP="00D17D3B">
            <w:pPr>
              <w:numPr>
                <w:ilvl w:val="0"/>
                <w:numId w:val="9"/>
              </w:numPr>
              <w:spacing w:after="60" w:line="240" w:lineRule="auto"/>
              <w:rPr>
                <w:rFonts w:eastAsia="Calibri" w:cs="Arial"/>
                <w:szCs w:val="20"/>
              </w:rPr>
            </w:pPr>
            <w:r w:rsidRPr="001E05F5">
              <w:rPr>
                <w:rFonts w:eastAsia="Calibri" w:cs="Arial"/>
                <w:szCs w:val="20"/>
              </w:rPr>
              <w:t>then maximises recovery of waste, and;</w:t>
            </w:r>
          </w:p>
          <w:p w14:paraId="7F8930B6" w14:textId="77777777" w:rsidR="0043447D" w:rsidRPr="001E05F5" w:rsidRDefault="0043447D" w:rsidP="00D17D3B">
            <w:pPr>
              <w:numPr>
                <w:ilvl w:val="0"/>
                <w:numId w:val="9"/>
              </w:numPr>
              <w:spacing w:after="60" w:line="240" w:lineRule="auto"/>
              <w:rPr>
                <w:rFonts w:eastAsia="Calibri" w:cs="Arial"/>
                <w:szCs w:val="20"/>
              </w:rPr>
            </w:pPr>
            <w:r w:rsidRPr="001E05F5">
              <w:rPr>
                <w:rFonts w:eastAsia="Calibri" w:cs="Arial"/>
                <w:szCs w:val="20"/>
              </w:rPr>
              <w:t>works towards zero waste to landfill;</w:t>
            </w:r>
          </w:p>
        </w:tc>
      </w:tr>
    </w:tbl>
    <w:p w14:paraId="2F19EFF8" w14:textId="77777777" w:rsidR="0043447D" w:rsidRPr="001E05F5" w:rsidRDefault="0043447D" w:rsidP="00453419">
      <w:pPr>
        <w:jc w:val="both"/>
      </w:pPr>
    </w:p>
    <w:p w14:paraId="1117B90A" w14:textId="77777777" w:rsidR="00010F07" w:rsidRPr="001E05F5" w:rsidRDefault="00010F07" w:rsidP="00010F07">
      <w:pPr>
        <w:pStyle w:val="Heading1"/>
      </w:pPr>
      <w:bookmarkStart w:id="5" w:name="_Toc521426495"/>
      <w:r w:rsidRPr="001E05F5">
        <w:lastRenderedPageBreak/>
        <w:t>Options Appraisal Methodology</w:t>
      </w:r>
      <w:bookmarkEnd w:id="5"/>
    </w:p>
    <w:p w14:paraId="56227419" w14:textId="77777777" w:rsidR="0043447D" w:rsidRPr="001E05F5" w:rsidRDefault="0098552C" w:rsidP="0098552C">
      <w:pPr>
        <w:pStyle w:val="Heading2"/>
      </w:pPr>
      <w:bookmarkStart w:id="6" w:name="_Toc521426496"/>
      <w:r w:rsidRPr="001E05F5">
        <w:t>Evaluation Criteria</w:t>
      </w:r>
      <w:bookmarkEnd w:id="6"/>
    </w:p>
    <w:p w14:paraId="5DEF4362" w14:textId="5512C660" w:rsidR="00315159" w:rsidRPr="001E05F5" w:rsidRDefault="00574DEC" w:rsidP="00E113B9">
      <w:pPr>
        <w:spacing w:line="240" w:lineRule="auto"/>
        <w:rPr>
          <w:rFonts w:cs="Arial"/>
          <w:szCs w:val="20"/>
        </w:rPr>
      </w:pPr>
      <w:r w:rsidRPr="001E05F5">
        <w:t xml:space="preserve">The evaluation criteria for assessing potential options were </w:t>
      </w:r>
      <w:r w:rsidR="008375A0" w:rsidRPr="001E05F5">
        <w:t xml:space="preserve">developed </w:t>
      </w:r>
      <w:r w:rsidRPr="001E05F5">
        <w:t xml:space="preserve">from the draft aims and objectives of the JWMS.  </w:t>
      </w:r>
      <w:r w:rsidR="00E113B9" w:rsidRPr="001E05F5">
        <w:t xml:space="preserve">The draft evaluation criteria and potential assessment methods, Table </w:t>
      </w:r>
      <w:r w:rsidR="00010F07" w:rsidRPr="001E05F5">
        <w:t>3</w:t>
      </w:r>
      <w:r w:rsidR="00E113B9" w:rsidRPr="001E05F5">
        <w:t>.</w:t>
      </w:r>
      <w:r w:rsidR="00010F07" w:rsidRPr="001E05F5">
        <w:t>1</w:t>
      </w:r>
      <w:r w:rsidR="00862FE9" w:rsidRPr="001E05F5">
        <w:t>,</w:t>
      </w:r>
      <w:r w:rsidR="00010F07" w:rsidRPr="001E05F5">
        <w:rPr>
          <w:highlight w:val="yellow"/>
        </w:rPr>
        <w:t xml:space="preserve"> </w:t>
      </w:r>
      <w:r w:rsidR="00E113B9" w:rsidRPr="001E05F5">
        <w:t>were presented to officers, from each of the representative Councils, at an Options Appraisal Workshop.   Following d</w:t>
      </w:r>
      <w:r w:rsidRPr="001E05F5">
        <w:t>iscuss</w:t>
      </w:r>
      <w:r w:rsidR="00E113B9" w:rsidRPr="001E05F5">
        <w:t>ion of the criteria</w:t>
      </w:r>
      <w:r w:rsidR="00E3532B" w:rsidRPr="001E05F5">
        <w:t>,</w:t>
      </w:r>
      <w:r w:rsidR="00E113B9" w:rsidRPr="001E05F5">
        <w:t xml:space="preserve"> </w:t>
      </w:r>
      <w:r w:rsidRPr="001E05F5">
        <w:t xml:space="preserve">officers </w:t>
      </w:r>
      <w:r w:rsidR="00E113B9" w:rsidRPr="001E05F5">
        <w:rPr>
          <w:rFonts w:cs="Arial"/>
          <w:szCs w:val="20"/>
        </w:rPr>
        <w:t>agreed that Criterion 1 (Delivers engagement and customer satisfaction) and Criterion 9 (Accessible) should be combined into a single criterion because their assessment</w:t>
      </w:r>
      <w:r w:rsidR="00E3532B" w:rsidRPr="001E05F5">
        <w:rPr>
          <w:rFonts w:cs="Arial"/>
          <w:szCs w:val="20"/>
        </w:rPr>
        <w:t>s are</w:t>
      </w:r>
      <w:r w:rsidR="00E113B9" w:rsidRPr="001E05F5">
        <w:rPr>
          <w:rFonts w:cs="Arial"/>
          <w:szCs w:val="20"/>
        </w:rPr>
        <w:t xml:space="preserve"> very closely linked.  The revised </w:t>
      </w:r>
      <w:r w:rsidR="005F75E2" w:rsidRPr="001E05F5">
        <w:rPr>
          <w:rFonts w:cs="Arial"/>
          <w:szCs w:val="20"/>
        </w:rPr>
        <w:t xml:space="preserve">list of 10 </w:t>
      </w:r>
      <w:r w:rsidR="00E113B9" w:rsidRPr="001E05F5">
        <w:rPr>
          <w:rFonts w:cs="Arial"/>
          <w:szCs w:val="20"/>
        </w:rPr>
        <w:t xml:space="preserve">criteria and </w:t>
      </w:r>
      <w:r w:rsidR="005F75E2" w:rsidRPr="001E05F5">
        <w:rPr>
          <w:rFonts w:cs="Arial"/>
          <w:szCs w:val="20"/>
        </w:rPr>
        <w:t xml:space="preserve">their method of </w:t>
      </w:r>
      <w:r w:rsidR="00E113B9" w:rsidRPr="001E05F5">
        <w:rPr>
          <w:rFonts w:cs="Arial"/>
          <w:szCs w:val="20"/>
        </w:rPr>
        <w:t xml:space="preserve">assessment are set out in Table </w:t>
      </w:r>
      <w:r w:rsidR="00010F07" w:rsidRPr="001E05F5">
        <w:rPr>
          <w:rFonts w:cs="Arial"/>
          <w:szCs w:val="20"/>
        </w:rPr>
        <w:t>3</w:t>
      </w:r>
      <w:r w:rsidR="00E113B9" w:rsidRPr="001E05F5">
        <w:rPr>
          <w:rFonts w:cs="Arial"/>
          <w:szCs w:val="20"/>
        </w:rPr>
        <w:t>.</w:t>
      </w:r>
      <w:r w:rsidR="00010F07" w:rsidRPr="001E05F5">
        <w:rPr>
          <w:rFonts w:cs="Arial"/>
          <w:szCs w:val="20"/>
        </w:rPr>
        <w:t>2</w:t>
      </w:r>
    </w:p>
    <w:p w14:paraId="02CCB728" w14:textId="5B9C77F6" w:rsidR="00E113B9" w:rsidRPr="001E05F5" w:rsidRDefault="00E113B9" w:rsidP="00E113B9">
      <w:pPr>
        <w:spacing w:line="240" w:lineRule="auto"/>
        <w:rPr>
          <w:rFonts w:cs="Arial"/>
          <w:szCs w:val="20"/>
        </w:rPr>
      </w:pPr>
      <w:r w:rsidRPr="001E05F5">
        <w:rPr>
          <w:rFonts w:cs="Arial"/>
          <w:szCs w:val="20"/>
        </w:rPr>
        <w:t xml:space="preserve">It was also agreed that the assessment of Criterion 7 (Protection of the environment and natural resources) should include the total </w:t>
      </w:r>
      <w:r w:rsidR="003B36EC">
        <w:rPr>
          <w:rFonts w:cs="Arial"/>
          <w:szCs w:val="20"/>
        </w:rPr>
        <w:t xml:space="preserve">waste transport </w:t>
      </w:r>
      <w:r w:rsidRPr="001E05F5">
        <w:rPr>
          <w:rFonts w:cs="Arial"/>
          <w:szCs w:val="20"/>
        </w:rPr>
        <w:t xml:space="preserve">mileage, as a means of considering local air quality.  </w:t>
      </w:r>
    </w:p>
    <w:p w14:paraId="029B255E" w14:textId="77777777" w:rsidR="00E113B9" w:rsidRPr="001E05F5" w:rsidRDefault="00E113B9" w:rsidP="00E113B9">
      <w:pPr>
        <w:spacing w:line="240" w:lineRule="auto"/>
        <w:rPr>
          <w:rFonts w:cs="Arial"/>
          <w:b/>
          <w:szCs w:val="20"/>
        </w:rPr>
      </w:pPr>
      <w:r w:rsidRPr="001E05F5">
        <w:rPr>
          <w:rFonts w:cs="Arial"/>
          <w:b/>
          <w:szCs w:val="20"/>
        </w:rPr>
        <w:t xml:space="preserve">Table </w:t>
      </w:r>
      <w:r w:rsidR="00010F07" w:rsidRPr="001E05F5">
        <w:rPr>
          <w:rFonts w:cs="Arial"/>
          <w:b/>
          <w:szCs w:val="20"/>
        </w:rPr>
        <w:t>3</w:t>
      </w:r>
      <w:r w:rsidRPr="001E05F5">
        <w:rPr>
          <w:rFonts w:cs="Arial"/>
          <w:b/>
          <w:szCs w:val="20"/>
        </w:rPr>
        <w:t>.</w:t>
      </w:r>
      <w:r w:rsidR="00010F07" w:rsidRPr="001E05F5">
        <w:rPr>
          <w:rFonts w:cs="Arial"/>
          <w:b/>
          <w:szCs w:val="20"/>
        </w:rPr>
        <w:t>1</w:t>
      </w:r>
      <w:r w:rsidRPr="001E05F5">
        <w:rPr>
          <w:rFonts w:cs="Arial"/>
          <w:b/>
          <w:szCs w:val="20"/>
        </w:rPr>
        <w:t xml:space="preserve">: Proposed </w:t>
      </w:r>
      <w:bookmarkStart w:id="7" w:name="_Hlk518912672"/>
      <w:r w:rsidRPr="001E05F5">
        <w:rPr>
          <w:rFonts w:cs="Arial"/>
          <w:b/>
          <w:szCs w:val="20"/>
        </w:rPr>
        <w:t>criteria and potential assessment method</w:t>
      </w:r>
      <w:bookmarkEnd w:id="7"/>
    </w:p>
    <w:tbl>
      <w:tblPr>
        <w:tblStyle w:val="TableGrid"/>
        <w:tblW w:w="9464" w:type="dxa"/>
        <w:tblLook w:val="04A0" w:firstRow="1" w:lastRow="0" w:firstColumn="1" w:lastColumn="0" w:noHBand="0" w:noVBand="1"/>
      </w:tblPr>
      <w:tblGrid>
        <w:gridCol w:w="675"/>
        <w:gridCol w:w="3544"/>
        <w:gridCol w:w="5245"/>
      </w:tblGrid>
      <w:tr w:rsidR="00E113B9" w:rsidRPr="001E05F5" w14:paraId="14D6CF7C" w14:textId="77777777" w:rsidTr="00010F07">
        <w:trPr>
          <w:tblHeader/>
        </w:trPr>
        <w:tc>
          <w:tcPr>
            <w:tcW w:w="675" w:type="dxa"/>
            <w:shd w:val="clear" w:color="auto" w:fill="D9D9D9" w:themeFill="background1" w:themeFillShade="D9"/>
          </w:tcPr>
          <w:p w14:paraId="14F54498" w14:textId="77777777" w:rsidR="00E113B9" w:rsidRPr="001E05F5" w:rsidRDefault="00E113B9" w:rsidP="00FE0151">
            <w:pPr>
              <w:pStyle w:val="Default"/>
              <w:spacing w:before="60" w:after="60"/>
              <w:rPr>
                <w:rFonts w:eastAsia="Calibri"/>
                <w:b/>
                <w:sz w:val="20"/>
                <w:szCs w:val="20"/>
              </w:rPr>
            </w:pPr>
            <w:r w:rsidRPr="001E05F5">
              <w:rPr>
                <w:rFonts w:eastAsia="Calibri"/>
                <w:b/>
                <w:sz w:val="20"/>
                <w:szCs w:val="20"/>
              </w:rPr>
              <w:t>No.</w:t>
            </w:r>
          </w:p>
        </w:tc>
        <w:tc>
          <w:tcPr>
            <w:tcW w:w="3544" w:type="dxa"/>
            <w:shd w:val="clear" w:color="auto" w:fill="D9D9D9" w:themeFill="background1" w:themeFillShade="D9"/>
          </w:tcPr>
          <w:p w14:paraId="20554399" w14:textId="77777777" w:rsidR="00E113B9" w:rsidRPr="001E05F5" w:rsidRDefault="00E113B9" w:rsidP="00FE0151">
            <w:pPr>
              <w:pStyle w:val="Default"/>
              <w:spacing w:before="60" w:after="60"/>
              <w:rPr>
                <w:rFonts w:eastAsia="Calibri"/>
                <w:b/>
                <w:sz w:val="20"/>
                <w:szCs w:val="20"/>
              </w:rPr>
            </w:pPr>
            <w:r w:rsidRPr="001E05F5">
              <w:rPr>
                <w:rFonts w:eastAsia="Calibri"/>
                <w:b/>
                <w:sz w:val="20"/>
                <w:szCs w:val="20"/>
              </w:rPr>
              <w:t>Criterion</w:t>
            </w:r>
          </w:p>
        </w:tc>
        <w:tc>
          <w:tcPr>
            <w:tcW w:w="5245" w:type="dxa"/>
            <w:shd w:val="clear" w:color="auto" w:fill="D9D9D9" w:themeFill="background1" w:themeFillShade="D9"/>
          </w:tcPr>
          <w:p w14:paraId="020F0245" w14:textId="77777777" w:rsidR="00E113B9" w:rsidRPr="001E05F5" w:rsidRDefault="00E113B9" w:rsidP="00FE0151">
            <w:pPr>
              <w:pStyle w:val="Default"/>
              <w:spacing w:before="60" w:after="60"/>
              <w:rPr>
                <w:rFonts w:eastAsia="Calibri"/>
                <w:b/>
                <w:sz w:val="20"/>
                <w:szCs w:val="20"/>
              </w:rPr>
            </w:pPr>
            <w:r w:rsidRPr="001E05F5">
              <w:rPr>
                <w:rFonts w:eastAsia="Calibri"/>
                <w:b/>
                <w:sz w:val="20"/>
                <w:szCs w:val="20"/>
              </w:rPr>
              <w:t>Potential assessment method</w:t>
            </w:r>
          </w:p>
        </w:tc>
      </w:tr>
      <w:tr w:rsidR="00E113B9" w:rsidRPr="001E05F5" w14:paraId="71CA817C" w14:textId="77777777" w:rsidTr="00FE0151">
        <w:tc>
          <w:tcPr>
            <w:tcW w:w="675" w:type="dxa"/>
          </w:tcPr>
          <w:p w14:paraId="0FE2874B"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1</w:t>
            </w:r>
          </w:p>
        </w:tc>
        <w:tc>
          <w:tcPr>
            <w:tcW w:w="3544" w:type="dxa"/>
          </w:tcPr>
          <w:p w14:paraId="006CF80E"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Delivers engagement and customer satisfaction</w:t>
            </w:r>
          </w:p>
        </w:tc>
        <w:tc>
          <w:tcPr>
            <w:tcW w:w="5245" w:type="dxa"/>
          </w:tcPr>
          <w:p w14:paraId="6F74E037"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Qualitative assessment of levels of engagement e.g. promotional/educational activity to encourage behavioural change and/or deemed levels of householder acceptability of the option</w:t>
            </w:r>
          </w:p>
        </w:tc>
      </w:tr>
      <w:tr w:rsidR="00E113B9" w:rsidRPr="001E05F5" w14:paraId="5150DA53" w14:textId="77777777" w:rsidTr="00FE0151">
        <w:tc>
          <w:tcPr>
            <w:tcW w:w="675" w:type="dxa"/>
          </w:tcPr>
          <w:p w14:paraId="00D65FD2"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2</w:t>
            </w:r>
          </w:p>
        </w:tc>
        <w:tc>
          <w:tcPr>
            <w:tcW w:w="3544" w:type="dxa"/>
          </w:tcPr>
          <w:p w14:paraId="3B26B2D0"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Reduces the amount of waste generated by the householder and the Councils</w:t>
            </w:r>
          </w:p>
        </w:tc>
        <w:tc>
          <w:tcPr>
            <w:tcW w:w="5245" w:type="dxa"/>
          </w:tcPr>
          <w:p w14:paraId="56A69FE4"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Qualitative assessment of the reduction in the waste arisings</w:t>
            </w:r>
          </w:p>
        </w:tc>
      </w:tr>
      <w:tr w:rsidR="00E113B9" w:rsidRPr="001E05F5" w14:paraId="48EE992F" w14:textId="77777777" w:rsidTr="00FE0151">
        <w:tc>
          <w:tcPr>
            <w:tcW w:w="675" w:type="dxa"/>
          </w:tcPr>
          <w:p w14:paraId="25D47C98"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3</w:t>
            </w:r>
          </w:p>
        </w:tc>
        <w:tc>
          <w:tcPr>
            <w:tcW w:w="3544" w:type="dxa"/>
          </w:tcPr>
          <w:p w14:paraId="63BC8FE9"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Increases reuse and recycling</w:t>
            </w:r>
          </w:p>
        </w:tc>
        <w:tc>
          <w:tcPr>
            <w:tcW w:w="5245" w:type="dxa"/>
          </w:tcPr>
          <w:p w14:paraId="53E9BC6E"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Change in reuse and recycling performance from base position</w:t>
            </w:r>
          </w:p>
        </w:tc>
      </w:tr>
      <w:tr w:rsidR="00E113B9" w:rsidRPr="001E05F5" w14:paraId="0C1F22B4" w14:textId="77777777" w:rsidTr="00FE0151">
        <w:tc>
          <w:tcPr>
            <w:tcW w:w="675" w:type="dxa"/>
          </w:tcPr>
          <w:p w14:paraId="04777605"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4</w:t>
            </w:r>
          </w:p>
        </w:tc>
        <w:tc>
          <w:tcPr>
            <w:tcW w:w="3544" w:type="dxa"/>
          </w:tcPr>
          <w:p w14:paraId="75F75E67"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Maximises recovery of waste</w:t>
            </w:r>
          </w:p>
        </w:tc>
        <w:tc>
          <w:tcPr>
            <w:tcW w:w="5245" w:type="dxa"/>
          </w:tcPr>
          <w:p w14:paraId="2DED854A"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 xml:space="preserve">Change in the percentage of non-recycled waste which is recovered </w:t>
            </w:r>
          </w:p>
        </w:tc>
      </w:tr>
      <w:tr w:rsidR="00E113B9" w:rsidRPr="001E05F5" w14:paraId="4CCE1AF8" w14:textId="77777777" w:rsidTr="00FE0151">
        <w:tc>
          <w:tcPr>
            <w:tcW w:w="675" w:type="dxa"/>
          </w:tcPr>
          <w:p w14:paraId="21831D6C"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5</w:t>
            </w:r>
          </w:p>
        </w:tc>
        <w:tc>
          <w:tcPr>
            <w:tcW w:w="3544" w:type="dxa"/>
          </w:tcPr>
          <w:p w14:paraId="3E0C7D65"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Zero waste to landfill</w:t>
            </w:r>
          </w:p>
        </w:tc>
        <w:tc>
          <w:tcPr>
            <w:tcW w:w="5245" w:type="dxa"/>
          </w:tcPr>
          <w:p w14:paraId="00335846"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Change in percentage of waste diverted from landfill compared to base position</w:t>
            </w:r>
          </w:p>
        </w:tc>
      </w:tr>
      <w:tr w:rsidR="00E113B9" w:rsidRPr="001E05F5" w14:paraId="7C0BFC7A" w14:textId="77777777" w:rsidTr="00FE0151">
        <w:tc>
          <w:tcPr>
            <w:tcW w:w="675" w:type="dxa"/>
          </w:tcPr>
          <w:p w14:paraId="19ED7603"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6</w:t>
            </w:r>
          </w:p>
        </w:tc>
        <w:tc>
          <w:tcPr>
            <w:tcW w:w="3544" w:type="dxa"/>
          </w:tcPr>
          <w:p w14:paraId="45D511C1"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Economic regeneration, including employment and a more circular economy</w:t>
            </w:r>
          </w:p>
        </w:tc>
        <w:tc>
          <w:tcPr>
            <w:tcW w:w="5245" w:type="dxa"/>
          </w:tcPr>
          <w:p w14:paraId="1A16E997"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Semi-qualitative assessment of employment (jobs created and type of employment) using case studies / waste industry reports for likely employment &amp; training opportunities, combined with the ‘Resource use’ factor as a</w:t>
            </w:r>
            <w:r w:rsidRPr="001E05F5">
              <w:rPr>
                <w:sz w:val="20"/>
                <w:szCs w:val="20"/>
              </w:rPr>
              <w:t xml:space="preserve"> </w:t>
            </w:r>
            <w:r w:rsidRPr="001E05F5">
              <w:rPr>
                <w:rFonts w:eastAsia="Calibri"/>
                <w:sz w:val="20"/>
                <w:szCs w:val="20"/>
              </w:rPr>
              <w:t>European person – Equivalent, which can be extracted from WRATE</w:t>
            </w:r>
          </w:p>
        </w:tc>
      </w:tr>
      <w:tr w:rsidR="00E113B9" w:rsidRPr="001E05F5" w14:paraId="4D23415F" w14:textId="77777777" w:rsidTr="00FE0151">
        <w:tc>
          <w:tcPr>
            <w:tcW w:w="675" w:type="dxa"/>
          </w:tcPr>
          <w:p w14:paraId="72E1BE1E"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7</w:t>
            </w:r>
          </w:p>
        </w:tc>
        <w:tc>
          <w:tcPr>
            <w:tcW w:w="3544" w:type="dxa"/>
          </w:tcPr>
          <w:p w14:paraId="59477105"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Protection of the environment and natural resources</w:t>
            </w:r>
          </w:p>
        </w:tc>
        <w:tc>
          <w:tcPr>
            <w:tcW w:w="5245" w:type="dxa"/>
          </w:tcPr>
          <w:p w14:paraId="24C7AADA"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 xml:space="preserve">Semi-qualitative assessment using the following </w:t>
            </w:r>
            <w:r w:rsidR="00D039DE" w:rsidRPr="001E05F5">
              <w:rPr>
                <w:rFonts w:eastAsia="Calibri"/>
                <w:sz w:val="20"/>
                <w:szCs w:val="20"/>
              </w:rPr>
              <w:t xml:space="preserve">(quantified) </w:t>
            </w:r>
            <w:r w:rsidRPr="001E05F5">
              <w:rPr>
                <w:rFonts w:eastAsia="Calibri"/>
                <w:sz w:val="20"/>
                <w:szCs w:val="20"/>
              </w:rPr>
              <w:t>outputs from WRATE:</w:t>
            </w:r>
          </w:p>
          <w:p w14:paraId="1AF24577" w14:textId="77777777"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Acidification (kg SO</w:t>
            </w:r>
            <w:r w:rsidRPr="001E05F5">
              <w:rPr>
                <w:rFonts w:eastAsia="Calibri"/>
                <w:sz w:val="20"/>
                <w:szCs w:val="20"/>
                <w:vertAlign w:val="subscript"/>
              </w:rPr>
              <w:t>2</w:t>
            </w:r>
            <w:r w:rsidRPr="001E05F5">
              <w:rPr>
                <w:rFonts w:eastAsia="Calibri"/>
                <w:sz w:val="20"/>
                <w:szCs w:val="20"/>
              </w:rPr>
              <w:t>)</w:t>
            </w:r>
          </w:p>
          <w:p w14:paraId="5B5F98A8" w14:textId="77777777"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 xml:space="preserve">Human Toxicity (kg 1, 4 – DCB eq.) </w:t>
            </w:r>
          </w:p>
          <w:p w14:paraId="7D70483C" w14:textId="77777777"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Freshwater Aquatic Toxicity (kg 1, 4 – DCB eq.)</w:t>
            </w:r>
          </w:p>
          <w:p w14:paraId="57901284" w14:textId="77777777"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Eutrophication (PO4 kg eq.)</w:t>
            </w:r>
          </w:p>
        </w:tc>
      </w:tr>
      <w:tr w:rsidR="00E113B9" w:rsidRPr="001E05F5" w14:paraId="1C7C06B4" w14:textId="77777777" w:rsidTr="00FE0151">
        <w:tc>
          <w:tcPr>
            <w:tcW w:w="675" w:type="dxa"/>
            <w:tcBorders>
              <w:top w:val="single" w:sz="4" w:space="0" w:color="auto"/>
            </w:tcBorders>
          </w:tcPr>
          <w:p w14:paraId="5C8FB72C"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8</w:t>
            </w:r>
          </w:p>
        </w:tc>
        <w:tc>
          <w:tcPr>
            <w:tcW w:w="3544" w:type="dxa"/>
            <w:tcBorders>
              <w:top w:val="single" w:sz="4" w:space="0" w:color="auto"/>
            </w:tcBorders>
          </w:tcPr>
          <w:p w14:paraId="1072EEC6"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Reducing the carbon impact of waste management</w:t>
            </w:r>
          </w:p>
        </w:tc>
        <w:tc>
          <w:tcPr>
            <w:tcW w:w="5245" w:type="dxa"/>
            <w:tcBorders>
              <w:top w:val="single" w:sz="4" w:space="0" w:color="auto"/>
            </w:tcBorders>
          </w:tcPr>
          <w:p w14:paraId="243EE8F7"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Change in tonnes of CO</w:t>
            </w:r>
            <w:r w:rsidRPr="001E05F5">
              <w:rPr>
                <w:rFonts w:eastAsia="Calibri"/>
                <w:sz w:val="20"/>
                <w:szCs w:val="20"/>
                <w:vertAlign w:val="subscript"/>
              </w:rPr>
              <w:t xml:space="preserve">2 </w:t>
            </w:r>
            <w:r w:rsidRPr="001E05F5">
              <w:rPr>
                <w:rFonts w:eastAsia="Calibri"/>
                <w:sz w:val="20"/>
                <w:szCs w:val="20"/>
              </w:rPr>
              <w:t>equivalent emissions from base position</w:t>
            </w:r>
          </w:p>
        </w:tc>
      </w:tr>
      <w:tr w:rsidR="00E113B9" w:rsidRPr="001E05F5" w14:paraId="55321CDE" w14:textId="77777777" w:rsidTr="00FE0151">
        <w:tc>
          <w:tcPr>
            <w:tcW w:w="675" w:type="dxa"/>
            <w:tcBorders>
              <w:top w:val="single" w:sz="4" w:space="0" w:color="auto"/>
            </w:tcBorders>
          </w:tcPr>
          <w:p w14:paraId="5D19D8FE"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9</w:t>
            </w:r>
          </w:p>
        </w:tc>
        <w:tc>
          <w:tcPr>
            <w:tcW w:w="3544" w:type="dxa"/>
            <w:tcBorders>
              <w:top w:val="single" w:sz="4" w:space="0" w:color="auto"/>
            </w:tcBorders>
          </w:tcPr>
          <w:p w14:paraId="43A66B8E"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Accessible</w:t>
            </w:r>
          </w:p>
        </w:tc>
        <w:tc>
          <w:tcPr>
            <w:tcW w:w="5245" w:type="dxa"/>
            <w:tcBorders>
              <w:top w:val="single" w:sz="4" w:space="0" w:color="auto"/>
            </w:tcBorders>
          </w:tcPr>
          <w:p w14:paraId="6278F3E9"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Qualitative assessment of how easy it was for householders to use/access the service.</w:t>
            </w:r>
          </w:p>
        </w:tc>
      </w:tr>
      <w:tr w:rsidR="00E113B9" w:rsidRPr="001E05F5" w14:paraId="2014A06A" w14:textId="77777777" w:rsidTr="00FE0151">
        <w:tc>
          <w:tcPr>
            <w:tcW w:w="675" w:type="dxa"/>
          </w:tcPr>
          <w:p w14:paraId="7E8A47B6"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10</w:t>
            </w:r>
          </w:p>
        </w:tc>
        <w:tc>
          <w:tcPr>
            <w:tcW w:w="3544" w:type="dxa"/>
          </w:tcPr>
          <w:p w14:paraId="19EE13DF"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Long-term affordable</w:t>
            </w:r>
          </w:p>
        </w:tc>
        <w:tc>
          <w:tcPr>
            <w:tcW w:w="5245" w:type="dxa"/>
          </w:tcPr>
          <w:p w14:paraId="5D7D0423"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 xml:space="preserve">Percentage change in </w:t>
            </w:r>
            <w:r w:rsidR="00F47F21" w:rsidRPr="001E05F5">
              <w:rPr>
                <w:rFonts w:eastAsia="Calibri"/>
                <w:sz w:val="20"/>
                <w:szCs w:val="20"/>
              </w:rPr>
              <w:t>Net Present Value (</w:t>
            </w:r>
            <w:r w:rsidRPr="001E05F5">
              <w:rPr>
                <w:rFonts w:eastAsia="Calibri"/>
                <w:sz w:val="20"/>
                <w:szCs w:val="20"/>
              </w:rPr>
              <w:t>NPV</w:t>
            </w:r>
            <w:r w:rsidR="00F47F21" w:rsidRPr="001E05F5">
              <w:rPr>
                <w:rFonts w:eastAsia="Calibri"/>
                <w:sz w:val="20"/>
                <w:szCs w:val="20"/>
              </w:rPr>
              <w:t>)</w:t>
            </w:r>
            <w:r w:rsidRPr="001E05F5">
              <w:rPr>
                <w:rFonts w:eastAsia="Calibri"/>
                <w:sz w:val="20"/>
                <w:szCs w:val="20"/>
              </w:rPr>
              <w:t xml:space="preserve"> from baseline position </w:t>
            </w:r>
          </w:p>
        </w:tc>
      </w:tr>
      <w:tr w:rsidR="00E113B9" w:rsidRPr="001E05F5" w14:paraId="1AE7217D" w14:textId="77777777" w:rsidTr="00FE0151">
        <w:tc>
          <w:tcPr>
            <w:tcW w:w="675" w:type="dxa"/>
          </w:tcPr>
          <w:p w14:paraId="525AB2FC"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11</w:t>
            </w:r>
          </w:p>
        </w:tc>
        <w:tc>
          <w:tcPr>
            <w:tcW w:w="3544" w:type="dxa"/>
          </w:tcPr>
          <w:p w14:paraId="7C915B63"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Deliverability</w:t>
            </w:r>
          </w:p>
        </w:tc>
        <w:tc>
          <w:tcPr>
            <w:tcW w:w="5245" w:type="dxa"/>
          </w:tcPr>
          <w:p w14:paraId="6F6BF01B" w14:textId="77777777" w:rsidR="00E113B9" w:rsidRPr="001E05F5" w:rsidRDefault="00E113B9" w:rsidP="00FE0151">
            <w:pPr>
              <w:pStyle w:val="Default"/>
              <w:spacing w:before="60" w:after="60"/>
              <w:rPr>
                <w:rFonts w:eastAsia="Calibri"/>
                <w:sz w:val="20"/>
                <w:szCs w:val="20"/>
                <w:highlight w:val="yellow"/>
              </w:rPr>
            </w:pPr>
            <w:r w:rsidRPr="001E05F5">
              <w:rPr>
                <w:rFonts w:eastAsia="Calibri"/>
                <w:sz w:val="20"/>
                <w:szCs w:val="20"/>
              </w:rPr>
              <w:t xml:space="preserve">Qualitative assessment of procurement risk, planning, technology risk, etc. </w:t>
            </w:r>
          </w:p>
        </w:tc>
      </w:tr>
    </w:tbl>
    <w:p w14:paraId="2FFC7E9F" w14:textId="77777777" w:rsidR="00E113B9" w:rsidRPr="001E05F5" w:rsidRDefault="00E113B9" w:rsidP="00E113B9">
      <w:pPr>
        <w:pStyle w:val="Default"/>
        <w:spacing w:after="240"/>
        <w:rPr>
          <w:rFonts w:eastAsia="Calibri"/>
          <w:sz w:val="20"/>
          <w:szCs w:val="20"/>
        </w:rPr>
      </w:pPr>
    </w:p>
    <w:p w14:paraId="049254CF" w14:textId="77777777" w:rsidR="00E113B9" w:rsidRPr="001E05F5" w:rsidRDefault="00E113B9" w:rsidP="00010F07">
      <w:pPr>
        <w:keepNext/>
        <w:spacing w:line="240" w:lineRule="auto"/>
        <w:rPr>
          <w:rFonts w:cs="Arial"/>
          <w:b/>
          <w:szCs w:val="20"/>
        </w:rPr>
      </w:pPr>
      <w:r w:rsidRPr="001E05F5">
        <w:rPr>
          <w:rFonts w:cs="Arial"/>
          <w:b/>
          <w:szCs w:val="20"/>
        </w:rPr>
        <w:lastRenderedPageBreak/>
        <w:t xml:space="preserve">Table </w:t>
      </w:r>
      <w:r w:rsidR="00010F07" w:rsidRPr="001E05F5">
        <w:rPr>
          <w:rFonts w:cs="Arial"/>
          <w:b/>
          <w:szCs w:val="20"/>
        </w:rPr>
        <w:t>3.2</w:t>
      </w:r>
      <w:r w:rsidRPr="001E05F5">
        <w:rPr>
          <w:rFonts w:cs="Arial"/>
          <w:b/>
          <w:szCs w:val="20"/>
        </w:rPr>
        <w:t>: Revised criteria and assessment method</w:t>
      </w:r>
    </w:p>
    <w:tbl>
      <w:tblPr>
        <w:tblStyle w:val="TableGrid"/>
        <w:tblW w:w="9464" w:type="dxa"/>
        <w:tblLook w:val="04A0" w:firstRow="1" w:lastRow="0" w:firstColumn="1" w:lastColumn="0" w:noHBand="0" w:noVBand="1"/>
      </w:tblPr>
      <w:tblGrid>
        <w:gridCol w:w="562"/>
        <w:gridCol w:w="3402"/>
        <w:gridCol w:w="5500"/>
      </w:tblGrid>
      <w:tr w:rsidR="00E113B9" w:rsidRPr="001E05F5" w14:paraId="5473A082" w14:textId="77777777" w:rsidTr="00010F07">
        <w:trPr>
          <w:tblHeader/>
        </w:trPr>
        <w:tc>
          <w:tcPr>
            <w:tcW w:w="562" w:type="dxa"/>
            <w:shd w:val="clear" w:color="auto" w:fill="D9D9D9" w:themeFill="background1" w:themeFillShade="D9"/>
          </w:tcPr>
          <w:p w14:paraId="7CCC41C4" w14:textId="77777777" w:rsidR="00E113B9" w:rsidRPr="001E05F5" w:rsidRDefault="00E113B9" w:rsidP="00FE0151">
            <w:pPr>
              <w:pStyle w:val="Default"/>
              <w:spacing w:before="60" w:after="60"/>
              <w:rPr>
                <w:rFonts w:eastAsia="Calibri"/>
                <w:b/>
                <w:sz w:val="20"/>
                <w:szCs w:val="20"/>
              </w:rPr>
            </w:pPr>
            <w:r w:rsidRPr="001E05F5">
              <w:rPr>
                <w:rFonts w:eastAsia="Calibri"/>
                <w:b/>
                <w:sz w:val="20"/>
                <w:szCs w:val="20"/>
              </w:rPr>
              <w:t>No.</w:t>
            </w:r>
          </w:p>
        </w:tc>
        <w:tc>
          <w:tcPr>
            <w:tcW w:w="3402" w:type="dxa"/>
            <w:shd w:val="clear" w:color="auto" w:fill="D9D9D9" w:themeFill="background1" w:themeFillShade="D9"/>
          </w:tcPr>
          <w:p w14:paraId="430401BA" w14:textId="77777777" w:rsidR="00E113B9" w:rsidRPr="001E05F5" w:rsidRDefault="00E113B9" w:rsidP="00FE0151">
            <w:pPr>
              <w:pStyle w:val="Default"/>
              <w:spacing w:before="60" w:after="60"/>
              <w:rPr>
                <w:rFonts w:eastAsia="Calibri"/>
                <w:b/>
                <w:sz w:val="20"/>
                <w:szCs w:val="20"/>
              </w:rPr>
            </w:pPr>
            <w:r w:rsidRPr="001E05F5">
              <w:rPr>
                <w:rFonts w:eastAsia="Calibri"/>
                <w:b/>
                <w:sz w:val="20"/>
                <w:szCs w:val="20"/>
              </w:rPr>
              <w:t>Criterion</w:t>
            </w:r>
          </w:p>
        </w:tc>
        <w:tc>
          <w:tcPr>
            <w:tcW w:w="5500" w:type="dxa"/>
            <w:shd w:val="clear" w:color="auto" w:fill="D9D9D9" w:themeFill="background1" w:themeFillShade="D9"/>
          </w:tcPr>
          <w:p w14:paraId="0BC30A6D" w14:textId="77777777" w:rsidR="00E113B9" w:rsidRPr="001E05F5" w:rsidRDefault="00E113B9" w:rsidP="00FE0151">
            <w:pPr>
              <w:pStyle w:val="Default"/>
              <w:spacing w:before="60" w:after="60"/>
              <w:rPr>
                <w:rFonts w:eastAsia="Calibri"/>
                <w:b/>
                <w:sz w:val="20"/>
                <w:szCs w:val="20"/>
              </w:rPr>
            </w:pPr>
            <w:r w:rsidRPr="001E05F5">
              <w:rPr>
                <w:rFonts w:eastAsia="Calibri"/>
                <w:b/>
                <w:sz w:val="20"/>
                <w:szCs w:val="20"/>
              </w:rPr>
              <w:t>Potential assessment method</w:t>
            </w:r>
          </w:p>
        </w:tc>
      </w:tr>
      <w:tr w:rsidR="00E113B9" w:rsidRPr="001E05F5" w14:paraId="29E0FF2F" w14:textId="77777777" w:rsidTr="00E113B9">
        <w:tc>
          <w:tcPr>
            <w:tcW w:w="562" w:type="dxa"/>
          </w:tcPr>
          <w:p w14:paraId="72E17BCE"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1</w:t>
            </w:r>
          </w:p>
        </w:tc>
        <w:tc>
          <w:tcPr>
            <w:tcW w:w="3402" w:type="dxa"/>
          </w:tcPr>
          <w:p w14:paraId="4F579335"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Delivers an accessible service with engagement and customer satisfaction</w:t>
            </w:r>
          </w:p>
        </w:tc>
        <w:tc>
          <w:tcPr>
            <w:tcW w:w="5500" w:type="dxa"/>
          </w:tcPr>
          <w:p w14:paraId="6DB73E61"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Qualitative assessment of how easy it is for householders to use/access the service taking account of the levels of engagement e.g. promotional/educational activity to encourage behavioural change and/or deemed levels of householder acceptability of the option</w:t>
            </w:r>
          </w:p>
        </w:tc>
      </w:tr>
      <w:tr w:rsidR="00E113B9" w:rsidRPr="001E05F5" w14:paraId="052A724A" w14:textId="77777777" w:rsidTr="00E113B9">
        <w:tc>
          <w:tcPr>
            <w:tcW w:w="562" w:type="dxa"/>
          </w:tcPr>
          <w:p w14:paraId="37AA6FF0"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2</w:t>
            </w:r>
          </w:p>
        </w:tc>
        <w:tc>
          <w:tcPr>
            <w:tcW w:w="3402" w:type="dxa"/>
          </w:tcPr>
          <w:p w14:paraId="20951711"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Reduces the amount of waste generated by the householder and the Councils</w:t>
            </w:r>
          </w:p>
        </w:tc>
        <w:tc>
          <w:tcPr>
            <w:tcW w:w="5500" w:type="dxa"/>
          </w:tcPr>
          <w:p w14:paraId="12A2A897"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Qualitative assessment of the reduction in the waste arisings</w:t>
            </w:r>
          </w:p>
        </w:tc>
      </w:tr>
      <w:tr w:rsidR="00E113B9" w:rsidRPr="001E05F5" w14:paraId="26466249" w14:textId="77777777" w:rsidTr="00E113B9">
        <w:tc>
          <w:tcPr>
            <w:tcW w:w="562" w:type="dxa"/>
          </w:tcPr>
          <w:p w14:paraId="486F34A8"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3</w:t>
            </w:r>
          </w:p>
        </w:tc>
        <w:tc>
          <w:tcPr>
            <w:tcW w:w="3402" w:type="dxa"/>
          </w:tcPr>
          <w:p w14:paraId="6D43FE93"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Increases reuse and recycling</w:t>
            </w:r>
          </w:p>
        </w:tc>
        <w:tc>
          <w:tcPr>
            <w:tcW w:w="5500" w:type="dxa"/>
          </w:tcPr>
          <w:p w14:paraId="648A3CAB"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Change in reuse and recycling performance from base position</w:t>
            </w:r>
          </w:p>
        </w:tc>
      </w:tr>
      <w:tr w:rsidR="00E113B9" w:rsidRPr="001E05F5" w14:paraId="391A47E3" w14:textId="77777777" w:rsidTr="00E113B9">
        <w:tc>
          <w:tcPr>
            <w:tcW w:w="562" w:type="dxa"/>
          </w:tcPr>
          <w:p w14:paraId="75354F27"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4</w:t>
            </w:r>
          </w:p>
        </w:tc>
        <w:tc>
          <w:tcPr>
            <w:tcW w:w="3402" w:type="dxa"/>
          </w:tcPr>
          <w:p w14:paraId="192A73B2"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Maximises recovery of waste</w:t>
            </w:r>
          </w:p>
        </w:tc>
        <w:tc>
          <w:tcPr>
            <w:tcW w:w="5500" w:type="dxa"/>
          </w:tcPr>
          <w:p w14:paraId="0CA53621"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 xml:space="preserve">Change in the percentage of non-recycled waste which is recovered </w:t>
            </w:r>
          </w:p>
        </w:tc>
      </w:tr>
      <w:tr w:rsidR="00E113B9" w:rsidRPr="001E05F5" w14:paraId="295BE69F" w14:textId="77777777" w:rsidTr="00E113B9">
        <w:tc>
          <w:tcPr>
            <w:tcW w:w="562" w:type="dxa"/>
          </w:tcPr>
          <w:p w14:paraId="40449646"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5</w:t>
            </w:r>
          </w:p>
        </w:tc>
        <w:tc>
          <w:tcPr>
            <w:tcW w:w="3402" w:type="dxa"/>
          </w:tcPr>
          <w:p w14:paraId="2245C7DC"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Working towards zero waste to landfill</w:t>
            </w:r>
          </w:p>
        </w:tc>
        <w:tc>
          <w:tcPr>
            <w:tcW w:w="5500" w:type="dxa"/>
          </w:tcPr>
          <w:p w14:paraId="6A1100E3"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Change in percentage of waste diverted from landfill compared to base position</w:t>
            </w:r>
          </w:p>
        </w:tc>
      </w:tr>
      <w:tr w:rsidR="00E113B9" w:rsidRPr="001E05F5" w14:paraId="7B439055" w14:textId="77777777" w:rsidTr="00E113B9">
        <w:tc>
          <w:tcPr>
            <w:tcW w:w="562" w:type="dxa"/>
          </w:tcPr>
          <w:p w14:paraId="45AB39A7"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6</w:t>
            </w:r>
          </w:p>
        </w:tc>
        <w:tc>
          <w:tcPr>
            <w:tcW w:w="3402" w:type="dxa"/>
          </w:tcPr>
          <w:p w14:paraId="54CF97FB"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Economic regeneration, including employment and a more circular economy</w:t>
            </w:r>
          </w:p>
        </w:tc>
        <w:tc>
          <w:tcPr>
            <w:tcW w:w="5500" w:type="dxa"/>
          </w:tcPr>
          <w:p w14:paraId="3B0649A2"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Semi-qualitative assessment of employment (jobs created and type of employment) using case studies / waste industry reports for likely employment &amp; training opportunities, combined with the ‘Resource use’ factor as a</w:t>
            </w:r>
            <w:r w:rsidRPr="001E05F5">
              <w:rPr>
                <w:sz w:val="20"/>
                <w:szCs w:val="20"/>
              </w:rPr>
              <w:t xml:space="preserve"> </w:t>
            </w:r>
            <w:r w:rsidRPr="001E05F5">
              <w:rPr>
                <w:rFonts w:eastAsia="Calibri"/>
                <w:sz w:val="20"/>
                <w:szCs w:val="20"/>
              </w:rPr>
              <w:t>European person – Equivalent, which can be extracted from WRATE</w:t>
            </w:r>
          </w:p>
        </w:tc>
      </w:tr>
      <w:tr w:rsidR="00E113B9" w:rsidRPr="001E05F5" w14:paraId="7DF412A1" w14:textId="77777777" w:rsidTr="00E113B9">
        <w:tc>
          <w:tcPr>
            <w:tcW w:w="562" w:type="dxa"/>
          </w:tcPr>
          <w:p w14:paraId="6A050DD4"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7</w:t>
            </w:r>
          </w:p>
        </w:tc>
        <w:tc>
          <w:tcPr>
            <w:tcW w:w="3402" w:type="dxa"/>
          </w:tcPr>
          <w:p w14:paraId="5EF06F15"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Protection of the environment and natural resources</w:t>
            </w:r>
          </w:p>
        </w:tc>
        <w:tc>
          <w:tcPr>
            <w:tcW w:w="5500" w:type="dxa"/>
          </w:tcPr>
          <w:p w14:paraId="48E25624" w14:textId="0AF41E23" w:rsidR="00E113B9" w:rsidRPr="001E05F5" w:rsidRDefault="00E113B9" w:rsidP="00FE0151">
            <w:pPr>
              <w:pStyle w:val="Default"/>
              <w:spacing w:before="60" w:after="60"/>
              <w:rPr>
                <w:rFonts w:eastAsia="Calibri"/>
                <w:sz w:val="20"/>
                <w:szCs w:val="20"/>
              </w:rPr>
            </w:pPr>
            <w:r w:rsidRPr="001E05F5">
              <w:rPr>
                <w:rFonts w:eastAsia="Calibri"/>
                <w:sz w:val="20"/>
                <w:szCs w:val="20"/>
              </w:rPr>
              <w:t xml:space="preserve">Semi-qualitative assessment </w:t>
            </w:r>
            <w:r w:rsidR="00D039DE" w:rsidRPr="001E05F5">
              <w:rPr>
                <w:rFonts w:eastAsia="Calibri"/>
                <w:sz w:val="20"/>
                <w:szCs w:val="20"/>
              </w:rPr>
              <w:t>informed by</w:t>
            </w:r>
            <w:r w:rsidRPr="001E05F5">
              <w:rPr>
                <w:rFonts w:eastAsia="Calibri"/>
                <w:sz w:val="20"/>
                <w:szCs w:val="20"/>
              </w:rPr>
              <w:t xml:space="preserve"> the following </w:t>
            </w:r>
            <w:r w:rsidR="00D039DE" w:rsidRPr="001E05F5">
              <w:rPr>
                <w:rFonts w:eastAsia="Calibri"/>
                <w:sz w:val="20"/>
                <w:szCs w:val="20"/>
              </w:rPr>
              <w:t xml:space="preserve">(quantitative) </w:t>
            </w:r>
            <w:r w:rsidRPr="001E05F5">
              <w:rPr>
                <w:rFonts w:eastAsia="Calibri"/>
                <w:sz w:val="20"/>
                <w:szCs w:val="20"/>
              </w:rPr>
              <w:t>outputs from WRATE:</w:t>
            </w:r>
          </w:p>
          <w:p w14:paraId="2E0F70EE" w14:textId="77777777"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Resource use (kg Sb eq.)</w:t>
            </w:r>
          </w:p>
          <w:p w14:paraId="216C29BD" w14:textId="77777777"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Acidification (kg SO</w:t>
            </w:r>
            <w:r w:rsidRPr="001E05F5">
              <w:rPr>
                <w:rFonts w:eastAsia="Calibri"/>
                <w:sz w:val="20"/>
                <w:szCs w:val="20"/>
                <w:vertAlign w:val="subscript"/>
              </w:rPr>
              <w:t>2</w:t>
            </w:r>
            <w:r w:rsidRPr="001E05F5">
              <w:rPr>
                <w:rFonts w:eastAsia="Calibri"/>
                <w:sz w:val="20"/>
                <w:szCs w:val="20"/>
              </w:rPr>
              <w:t>)</w:t>
            </w:r>
          </w:p>
          <w:p w14:paraId="4D89F1E1" w14:textId="77777777"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 xml:space="preserve">Human Toxicity (kg 1, 4 – DCB eq.) </w:t>
            </w:r>
          </w:p>
          <w:p w14:paraId="401123BF" w14:textId="77777777"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Freshwater Aquatic Toxicity (kg 1, 4 – DCB eq.)</w:t>
            </w:r>
          </w:p>
          <w:p w14:paraId="6C953C83" w14:textId="77777777"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Eutrophication (PO4 kg eq.)</w:t>
            </w:r>
          </w:p>
          <w:p w14:paraId="343F5D89" w14:textId="0E31D105" w:rsidR="00E113B9" w:rsidRPr="001E05F5" w:rsidRDefault="00E113B9" w:rsidP="00D17D3B">
            <w:pPr>
              <w:pStyle w:val="Default"/>
              <w:numPr>
                <w:ilvl w:val="0"/>
                <w:numId w:val="11"/>
              </w:numPr>
              <w:spacing w:before="60" w:after="60"/>
              <w:ind w:left="317" w:hanging="283"/>
              <w:rPr>
                <w:rFonts w:eastAsia="Calibri"/>
                <w:sz w:val="20"/>
                <w:szCs w:val="20"/>
              </w:rPr>
            </w:pPr>
            <w:r w:rsidRPr="001E05F5">
              <w:rPr>
                <w:rFonts w:eastAsia="Calibri"/>
                <w:sz w:val="20"/>
                <w:szCs w:val="20"/>
              </w:rPr>
              <w:t xml:space="preserve">Total </w:t>
            </w:r>
            <w:r w:rsidR="008339D7">
              <w:rPr>
                <w:rFonts w:eastAsia="Calibri"/>
                <w:sz w:val="20"/>
                <w:szCs w:val="20"/>
              </w:rPr>
              <w:t xml:space="preserve">waste transport </w:t>
            </w:r>
            <w:r w:rsidRPr="001E05F5">
              <w:rPr>
                <w:rFonts w:eastAsia="Calibri"/>
                <w:sz w:val="20"/>
                <w:szCs w:val="20"/>
              </w:rPr>
              <w:t>mileage</w:t>
            </w:r>
          </w:p>
        </w:tc>
      </w:tr>
      <w:tr w:rsidR="00E113B9" w:rsidRPr="001E05F5" w14:paraId="06CF79EA" w14:textId="77777777" w:rsidTr="00E113B9">
        <w:tc>
          <w:tcPr>
            <w:tcW w:w="562" w:type="dxa"/>
            <w:tcBorders>
              <w:top w:val="single" w:sz="4" w:space="0" w:color="auto"/>
            </w:tcBorders>
          </w:tcPr>
          <w:p w14:paraId="177B9DBB"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8</w:t>
            </w:r>
          </w:p>
        </w:tc>
        <w:tc>
          <w:tcPr>
            <w:tcW w:w="3402" w:type="dxa"/>
            <w:tcBorders>
              <w:top w:val="single" w:sz="4" w:space="0" w:color="auto"/>
            </w:tcBorders>
          </w:tcPr>
          <w:p w14:paraId="7C5ED07E"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Reducing the carbon impact of waste management</w:t>
            </w:r>
          </w:p>
        </w:tc>
        <w:tc>
          <w:tcPr>
            <w:tcW w:w="5500" w:type="dxa"/>
            <w:tcBorders>
              <w:top w:val="single" w:sz="4" w:space="0" w:color="auto"/>
            </w:tcBorders>
          </w:tcPr>
          <w:p w14:paraId="5C716F80"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Change in tonnes of CO</w:t>
            </w:r>
            <w:r w:rsidRPr="001E05F5">
              <w:rPr>
                <w:rFonts w:eastAsia="Calibri"/>
                <w:sz w:val="20"/>
                <w:szCs w:val="20"/>
                <w:vertAlign w:val="subscript"/>
              </w:rPr>
              <w:t xml:space="preserve">2 </w:t>
            </w:r>
            <w:r w:rsidRPr="001E05F5">
              <w:rPr>
                <w:rFonts w:eastAsia="Calibri"/>
                <w:sz w:val="20"/>
                <w:szCs w:val="20"/>
              </w:rPr>
              <w:t>equivalent emissions from base position</w:t>
            </w:r>
          </w:p>
        </w:tc>
      </w:tr>
      <w:tr w:rsidR="00E113B9" w:rsidRPr="001E05F5" w14:paraId="6C152046" w14:textId="77777777" w:rsidTr="00E113B9">
        <w:tc>
          <w:tcPr>
            <w:tcW w:w="562" w:type="dxa"/>
          </w:tcPr>
          <w:p w14:paraId="6084B583"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9</w:t>
            </w:r>
          </w:p>
        </w:tc>
        <w:tc>
          <w:tcPr>
            <w:tcW w:w="3402" w:type="dxa"/>
          </w:tcPr>
          <w:p w14:paraId="5E344292"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Long-term affordable</w:t>
            </w:r>
          </w:p>
        </w:tc>
        <w:tc>
          <w:tcPr>
            <w:tcW w:w="5500" w:type="dxa"/>
          </w:tcPr>
          <w:p w14:paraId="15EACF08"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 xml:space="preserve">Percentage change in NPV from baseline position </w:t>
            </w:r>
          </w:p>
        </w:tc>
      </w:tr>
      <w:tr w:rsidR="00E113B9" w:rsidRPr="001E05F5" w14:paraId="265EBAE7" w14:textId="77777777" w:rsidTr="00E113B9">
        <w:tc>
          <w:tcPr>
            <w:tcW w:w="562" w:type="dxa"/>
          </w:tcPr>
          <w:p w14:paraId="01840A61"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10</w:t>
            </w:r>
          </w:p>
        </w:tc>
        <w:tc>
          <w:tcPr>
            <w:tcW w:w="3402" w:type="dxa"/>
          </w:tcPr>
          <w:p w14:paraId="418EE2E9" w14:textId="77777777" w:rsidR="00E113B9" w:rsidRPr="001E05F5" w:rsidRDefault="00E113B9" w:rsidP="00FE0151">
            <w:pPr>
              <w:pStyle w:val="Default"/>
              <w:spacing w:before="60" w:after="60"/>
              <w:rPr>
                <w:rFonts w:eastAsia="Calibri"/>
                <w:sz w:val="20"/>
                <w:szCs w:val="20"/>
              </w:rPr>
            </w:pPr>
            <w:r w:rsidRPr="001E05F5">
              <w:rPr>
                <w:rFonts w:eastAsia="Calibri"/>
                <w:sz w:val="20"/>
                <w:szCs w:val="20"/>
              </w:rPr>
              <w:t>Deliverability</w:t>
            </w:r>
          </w:p>
        </w:tc>
        <w:tc>
          <w:tcPr>
            <w:tcW w:w="5500" w:type="dxa"/>
          </w:tcPr>
          <w:p w14:paraId="21A3DCEA" w14:textId="77777777" w:rsidR="00E113B9" w:rsidRPr="001E05F5" w:rsidRDefault="00E113B9" w:rsidP="00FE0151">
            <w:pPr>
              <w:pStyle w:val="Default"/>
              <w:spacing w:before="60" w:after="60"/>
              <w:rPr>
                <w:rFonts w:eastAsia="Calibri"/>
                <w:sz w:val="20"/>
                <w:szCs w:val="20"/>
                <w:highlight w:val="yellow"/>
              </w:rPr>
            </w:pPr>
            <w:r w:rsidRPr="001E05F5">
              <w:rPr>
                <w:rFonts w:eastAsia="Calibri"/>
                <w:sz w:val="20"/>
                <w:szCs w:val="20"/>
              </w:rPr>
              <w:t xml:space="preserve">Qualitative assessment of procurement risk, planning, technology risk, etc. </w:t>
            </w:r>
          </w:p>
        </w:tc>
      </w:tr>
    </w:tbl>
    <w:p w14:paraId="1B34E4BF" w14:textId="5F2EED14" w:rsidR="00862FE9" w:rsidRPr="001E05F5" w:rsidRDefault="00862FE9" w:rsidP="00862FE9">
      <w:pPr>
        <w:pStyle w:val="Heading2"/>
      </w:pPr>
      <w:bookmarkStart w:id="8" w:name="_Toc521426497"/>
      <w:r w:rsidRPr="001E05F5">
        <w:t>Evaluation Criteria Scoring</w:t>
      </w:r>
      <w:bookmarkEnd w:id="8"/>
    </w:p>
    <w:p w14:paraId="1379383A" w14:textId="16E64B3F" w:rsidR="007741D9" w:rsidRPr="001E05F5" w:rsidRDefault="007741D9" w:rsidP="007741D9">
      <w:pPr>
        <w:pStyle w:val="Default"/>
        <w:spacing w:after="240"/>
        <w:rPr>
          <w:sz w:val="20"/>
          <w:szCs w:val="20"/>
        </w:rPr>
      </w:pPr>
      <w:r w:rsidRPr="001E05F5">
        <w:rPr>
          <w:sz w:val="20"/>
          <w:szCs w:val="20"/>
        </w:rPr>
        <w:t xml:space="preserve">A proposed scoring mechanism was presented at the Options Appraisal </w:t>
      </w:r>
      <w:r w:rsidR="00342EDB" w:rsidRPr="001E05F5">
        <w:rPr>
          <w:sz w:val="20"/>
          <w:szCs w:val="20"/>
        </w:rPr>
        <w:t>Workshop and</w:t>
      </w:r>
      <w:r w:rsidR="00F83421" w:rsidRPr="001E05F5">
        <w:rPr>
          <w:sz w:val="20"/>
          <w:szCs w:val="20"/>
        </w:rPr>
        <w:t xml:space="preserve"> adapted</w:t>
      </w:r>
      <w:r w:rsidR="00C1002F" w:rsidRPr="001E05F5">
        <w:rPr>
          <w:sz w:val="20"/>
          <w:szCs w:val="20"/>
        </w:rPr>
        <w:t xml:space="preserve"> following officers’ comments.  The resulting</w:t>
      </w:r>
      <w:r w:rsidRPr="001E05F5">
        <w:rPr>
          <w:sz w:val="20"/>
          <w:szCs w:val="20"/>
        </w:rPr>
        <w:t xml:space="preserve"> scoring mechanism </w:t>
      </w:r>
      <w:r w:rsidR="00C1002F" w:rsidRPr="001E05F5">
        <w:rPr>
          <w:sz w:val="20"/>
          <w:szCs w:val="20"/>
        </w:rPr>
        <w:t xml:space="preserve">is set out in </w:t>
      </w:r>
      <w:r w:rsidRPr="001E05F5">
        <w:rPr>
          <w:sz w:val="20"/>
          <w:szCs w:val="20"/>
        </w:rPr>
        <w:t xml:space="preserve">Table </w:t>
      </w:r>
      <w:r w:rsidR="00C1002F" w:rsidRPr="001E05F5">
        <w:rPr>
          <w:sz w:val="20"/>
          <w:szCs w:val="20"/>
        </w:rPr>
        <w:t>3.3</w:t>
      </w:r>
      <w:r w:rsidRPr="001E05F5">
        <w:rPr>
          <w:sz w:val="20"/>
          <w:szCs w:val="20"/>
        </w:rPr>
        <w:t xml:space="preserve"> </w:t>
      </w:r>
      <w:r w:rsidR="00C1002F" w:rsidRPr="001E05F5">
        <w:rPr>
          <w:sz w:val="20"/>
          <w:szCs w:val="20"/>
        </w:rPr>
        <w:t>with e</w:t>
      </w:r>
      <w:r w:rsidRPr="001E05F5">
        <w:rPr>
          <w:rFonts w:eastAsiaTheme="minorHAnsi"/>
          <w:color w:val="auto"/>
          <w:sz w:val="20"/>
          <w:szCs w:val="20"/>
          <w:lang w:eastAsia="en-US"/>
        </w:rPr>
        <w:t>ach criteri</w:t>
      </w:r>
      <w:r w:rsidR="00C1002F" w:rsidRPr="001E05F5">
        <w:rPr>
          <w:rFonts w:eastAsiaTheme="minorHAnsi"/>
          <w:color w:val="auto"/>
          <w:sz w:val="20"/>
          <w:szCs w:val="20"/>
          <w:lang w:eastAsia="en-US"/>
        </w:rPr>
        <w:t>on</w:t>
      </w:r>
      <w:r w:rsidRPr="001E05F5">
        <w:rPr>
          <w:rFonts w:eastAsiaTheme="minorHAnsi"/>
          <w:color w:val="auto"/>
          <w:sz w:val="20"/>
          <w:szCs w:val="20"/>
          <w:lang w:eastAsia="en-US"/>
        </w:rPr>
        <w:t xml:space="preserve"> assigned a scale to score the options from 0 – 5, with 0 representing the lowest score and 5 the highest score.  For </w:t>
      </w:r>
      <w:r w:rsidR="001848BA" w:rsidRPr="001E05F5">
        <w:rPr>
          <w:rFonts w:eastAsiaTheme="minorHAnsi"/>
          <w:color w:val="auto"/>
          <w:sz w:val="20"/>
          <w:szCs w:val="20"/>
          <w:lang w:eastAsia="en-US"/>
        </w:rPr>
        <w:t xml:space="preserve">quantitative </w:t>
      </w:r>
      <w:r w:rsidRPr="001E05F5">
        <w:rPr>
          <w:rFonts w:eastAsiaTheme="minorHAnsi"/>
          <w:color w:val="auto"/>
          <w:sz w:val="20"/>
          <w:szCs w:val="20"/>
          <w:lang w:eastAsia="en-US"/>
        </w:rPr>
        <w:t xml:space="preserve">criteria which use numerical values, the figures in Table </w:t>
      </w:r>
      <w:r w:rsidR="00C1002F" w:rsidRPr="001E05F5">
        <w:rPr>
          <w:rFonts w:eastAsiaTheme="minorHAnsi"/>
          <w:color w:val="auto"/>
          <w:sz w:val="20"/>
          <w:szCs w:val="20"/>
          <w:lang w:eastAsia="en-US"/>
        </w:rPr>
        <w:t>3.3</w:t>
      </w:r>
      <w:r w:rsidRPr="001E05F5">
        <w:rPr>
          <w:rFonts w:eastAsiaTheme="minorHAnsi"/>
          <w:color w:val="auto"/>
          <w:sz w:val="20"/>
          <w:szCs w:val="20"/>
          <w:lang w:eastAsia="en-US"/>
        </w:rPr>
        <w:t xml:space="preserve"> </w:t>
      </w:r>
      <w:r w:rsidR="00C1002F" w:rsidRPr="001E05F5">
        <w:rPr>
          <w:rFonts w:eastAsiaTheme="minorHAnsi"/>
          <w:color w:val="auto"/>
          <w:sz w:val="20"/>
          <w:szCs w:val="20"/>
          <w:lang w:eastAsia="en-US"/>
        </w:rPr>
        <w:t xml:space="preserve">have been based on </w:t>
      </w:r>
      <w:r w:rsidR="00C93C84" w:rsidRPr="001E05F5">
        <w:rPr>
          <w:rFonts w:eastAsiaTheme="minorHAnsi"/>
          <w:color w:val="auto"/>
          <w:sz w:val="20"/>
          <w:szCs w:val="20"/>
          <w:lang w:eastAsia="en-US"/>
        </w:rPr>
        <w:t xml:space="preserve">a </w:t>
      </w:r>
      <w:r w:rsidRPr="001E05F5">
        <w:rPr>
          <w:rFonts w:eastAsiaTheme="minorHAnsi"/>
          <w:color w:val="auto"/>
          <w:sz w:val="20"/>
          <w:szCs w:val="20"/>
          <w:lang w:eastAsia="en-US"/>
        </w:rPr>
        <w:t xml:space="preserve">range of output values </w:t>
      </w:r>
      <w:r w:rsidR="00C93C84" w:rsidRPr="001E05F5">
        <w:rPr>
          <w:rFonts w:eastAsiaTheme="minorHAnsi"/>
          <w:color w:val="auto"/>
          <w:sz w:val="20"/>
          <w:szCs w:val="20"/>
          <w:lang w:eastAsia="en-US"/>
        </w:rPr>
        <w:t xml:space="preserve">derived from </w:t>
      </w:r>
      <w:r w:rsidRPr="001E05F5">
        <w:rPr>
          <w:rFonts w:eastAsiaTheme="minorHAnsi"/>
          <w:color w:val="auto"/>
          <w:sz w:val="20"/>
          <w:szCs w:val="20"/>
          <w:lang w:eastAsia="en-US"/>
        </w:rPr>
        <w:t>the waste flow model</w:t>
      </w:r>
      <w:r w:rsidR="00C1002F" w:rsidRPr="001E05F5">
        <w:rPr>
          <w:rFonts w:eastAsiaTheme="minorHAnsi"/>
          <w:color w:val="auto"/>
          <w:sz w:val="20"/>
          <w:szCs w:val="20"/>
          <w:lang w:eastAsia="en-US"/>
        </w:rPr>
        <w:t xml:space="preserve"> or the WRATE </w:t>
      </w:r>
      <w:r w:rsidR="00665DAE" w:rsidRPr="001E05F5">
        <w:rPr>
          <w:rFonts w:eastAsiaTheme="minorHAnsi"/>
          <w:color w:val="auto"/>
          <w:sz w:val="20"/>
          <w:szCs w:val="20"/>
          <w:vertAlign w:val="superscript"/>
          <w:lang w:eastAsia="en-US"/>
        </w:rPr>
        <w:footnoteReference w:id="2"/>
      </w:r>
      <w:r w:rsidR="00C1002F" w:rsidRPr="001E05F5">
        <w:rPr>
          <w:rFonts w:eastAsiaTheme="minorHAnsi"/>
          <w:color w:val="auto"/>
          <w:sz w:val="20"/>
          <w:szCs w:val="20"/>
          <w:lang w:eastAsia="en-US"/>
        </w:rPr>
        <w:t>analysis</w:t>
      </w:r>
      <w:r w:rsidRPr="001E05F5">
        <w:rPr>
          <w:rFonts w:eastAsiaTheme="minorHAnsi"/>
          <w:color w:val="auto"/>
          <w:sz w:val="20"/>
          <w:szCs w:val="20"/>
          <w:lang w:eastAsia="en-US"/>
        </w:rPr>
        <w:t xml:space="preserve">.  </w:t>
      </w:r>
    </w:p>
    <w:p w14:paraId="2C6EBBCC" w14:textId="77777777" w:rsidR="0002701C" w:rsidRPr="001E05F5" w:rsidRDefault="0002701C" w:rsidP="00342EDB">
      <w:pPr>
        <w:pStyle w:val="Default"/>
        <w:keepNext/>
        <w:keepLines/>
        <w:spacing w:after="120"/>
        <w:rPr>
          <w:b/>
          <w:sz w:val="20"/>
          <w:szCs w:val="20"/>
        </w:rPr>
      </w:pPr>
      <w:r w:rsidRPr="001E05F5">
        <w:rPr>
          <w:b/>
          <w:sz w:val="20"/>
          <w:szCs w:val="20"/>
        </w:rPr>
        <w:lastRenderedPageBreak/>
        <w:t>Table 3.3: Scoring for evaluation criteria</w:t>
      </w:r>
    </w:p>
    <w:tbl>
      <w:tblPr>
        <w:tblW w:w="943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8" w:space="0" w:color="808080"/>
          <w:insideV w:val="single" w:sz="8" w:space="0" w:color="808080"/>
        </w:tblBorders>
        <w:tblLayout w:type="fixed"/>
        <w:tblLook w:val="04A0" w:firstRow="1" w:lastRow="0" w:firstColumn="1" w:lastColumn="0" w:noHBand="0" w:noVBand="1"/>
      </w:tblPr>
      <w:tblGrid>
        <w:gridCol w:w="1701"/>
        <w:gridCol w:w="7088"/>
        <w:gridCol w:w="647"/>
      </w:tblGrid>
      <w:tr w:rsidR="0002701C" w:rsidRPr="001E05F5" w14:paraId="29D0274E" w14:textId="77777777" w:rsidTr="003E20B2">
        <w:tc>
          <w:tcPr>
            <w:tcW w:w="1701" w:type="dxa"/>
            <w:tcBorders>
              <w:top w:val="single" w:sz="4" w:space="0" w:color="A6A6A6" w:themeColor="background1" w:themeShade="A6"/>
              <w:bottom w:val="single" w:sz="8" w:space="0" w:color="808080"/>
            </w:tcBorders>
            <w:shd w:val="clear" w:color="auto" w:fill="808080" w:themeFill="background1" w:themeFillShade="80"/>
            <w:tcMar>
              <w:left w:w="57" w:type="dxa"/>
              <w:right w:w="28" w:type="dxa"/>
            </w:tcMar>
            <w:vAlign w:val="center"/>
            <w:hideMark/>
          </w:tcPr>
          <w:p w14:paraId="2F2759D3" w14:textId="77777777" w:rsidR="0002701C" w:rsidRPr="001E05F5" w:rsidRDefault="0002701C" w:rsidP="00342EDB">
            <w:pPr>
              <w:keepNext/>
              <w:keepLines/>
              <w:spacing w:before="40" w:after="40" w:line="240" w:lineRule="auto"/>
              <w:rPr>
                <w:rFonts w:cs="Arial"/>
                <w:b/>
                <w:bCs/>
                <w:color w:val="FFFFFF"/>
                <w:sz w:val="18"/>
                <w:szCs w:val="18"/>
                <w:lang w:eastAsia="en-GB"/>
              </w:rPr>
            </w:pPr>
            <w:r w:rsidRPr="001E05F5">
              <w:rPr>
                <w:rFonts w:cs="Arial"/>
                <w:b/>
                <w:bCs/>
                <w:color w:val="FFFFFF"/>
                <w:sz w:val="18"/>
                <w:szCs w:val="18"/>
              </w:rPr>
              <w:t>Criterion</w:t>
            </w:r>
          </w:p>
        </w:tc>
        <w:tc>
          <w:tcPr>
            <w:tcW w:w="7088" w:type="dxa"/>
            <w:tcBorders>
              <w:top w:val="single" w:sz="4" w:space="0" w:color="A6A6A6" w:themeColor="background1" w:themeShade="A6"/>
              <w:bottom w:val="single" w:sz="8" w:space="0" w:color="808080"/>
            </w:tcBorders>
            <w:shd w:val="clear" w:color="auto" w:fill="808080" w:themeFill="background1" w:themeFillShade="80"/>
            <w:noWrap/>
            <w:tcMar>
              <w:left w:w="57" w:type="dxa"/>
              <w:right w:w="28" w:type="dxa"/>
            </w:tcMar>
            <w:vAlign w:val="center"/>
            <w:hideMark/>
          </w:tcPr>
          <w:p w14:paraId="13ADCFE4" w14:textId="77777777" w:rsidR="0002701C" w:rsidRPr="001E05F5" w:rsidRDefault="0002701C" w:rsidP="00342EDB">
            <w:pPr>
              <w:keepNext/>
              <w:keepLines/>
              <w:spacing w:before="40" w:after="40" w:line="240" w:lineRule="auto"/>
              <w:rPr>
                <w:rFonts w:cs="Arial"/>
                <w:b/>
                <w:bCs/>
                <w:color w:val="FFFFFF"/>
                <w:sz w:val="18"/>
                <w:szCs w:val="18"/>
              </w:rPr>
            </w:pPr>
            <w:r w:rsidRPr="001E05F5">
              <w:rPr>
                <w:rFonts w:cs="Arial"/>
                <w:b/>
                <w:bCs/>
                <w:color w:val="FFFFFF"/>
                <w:sz w:val="18"/>
                <w:szCs w:val="18"/>
              </w:rPr>
              <w:t>Evaluation Criteria</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0E0D284F" w14:textId="65793263" w:rsidR="0002701C" w:rsidRPr="001E05F5" w:rsidRDefault="006E1270" w:rsidP="00342EDB">
            <w:pPr>
              <w:keepNext/>
              <w:keepLines/>
              <w:spacing w:before="40" w:after="40" w:line="240" w:lineRule="auto"/>
              <w:jc w:val="center"/>
              <w:rPr>
                <w:rFonts w:cs="Arial"/>
                <w:b/>
                <w:bCs/>
                <w:color w:val="FFFFFF"/>
                <w:sz w:val="18"/>
                <w:szCs w:val="18"/>
              </w:rPr>
            </w:pPr>
            <w:r w:rsidRPr="001E05F5">
              <w:rPr>
                <w:rFonts w:cs="Arial"/>
                <w:b/>
                <w:bCs/>
                <w:color w:val="FFFFFF"/>
                <w:sz w:val="18"/>
                <w:szCs w:val="18"/>
              </w:rPr>
              <w:t>Score</w:t>
            </w:r>
          </w:p>
        </w:tc>
      </w:tr>
      <w:tr w:rsidR="0002701C" w:rsidRPr="001E05F5" w14:paraId="5BD07E7E" w14:textId="77777777" w:rsidTr="003E20B2">
        <w:tc>
          <w:tcPr>
            <w:tcW w:w="1701" w:type="dxa"/>
            <w:vMerge w:val="restart"/>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180B58D" w14:textId="77777777" w:rsidR="0002701C" w:rsidRPr="001E05F5" w:rsidRDefault="0002701C" w:rsidP="0002701C">
            <w:pPr>
              <w:spacing w:before="40" w:after="40"/>
              <w:rPr>
                <w:rFonts w:cs="Arial"/>
                <w:color w:val="000000"/>
                <w:sz w:val="18"/>
                <w:szCs w:val="18"/>
              </w:rPr>
            </w:pPr>
            <w:r w:rsidRPr="001E05F5">
              <w:rPr>
                <w:rFonts w:cs="Arial"/>
                <w:color w:val="000000"/>
                <w:sz w:val="18"/>
                <w:szCs w:val="18"/>
              </w:rPr>
              <w:t>1.Delivers an accessible service with engagement and customer satisfaction</w:t>
            </w:r>
          </w:p>
        </w:tc>
        <w:tc>
          <w:tcPr>
            <w:tcW w:w="7088" w:type="dxa"/>
            <w:tcBorders>
              <w:top w:val="single" w:sz="8" w:space="0" w:color="808080"/>
            </w:tcBorders>
            <w:shd w:val="clear" w:color="000000" w:fill="auto"/>
            <w:noWrap/>
            <w:tcMar>
              <w:left w:w="57" w:type="dxa"/>
              <w:right w:w="28" w:type="dxa"/>
            </w:tcMar>
            <w:vAlign w:val="center"/>
            <w:hideMark/>
          </w:tcPr>
          <w:p w14:paraId="31C1B060" w14:textId="77777777" w:rsidR="0002701C" w:rsidRPr="001E05F5" w:rsidRDefault="0002701C" w:rsidP="0002701C">
            <w:pPr>
              <w:spacing w:before="40" w:after="40"/>
              <w:rPr>
                <w:rFonts w:cs="Arial"/>
                <w:color w:val="000000"/>
                <w:sz w:val="18"/>
                <w:szCs w:val="18"/>
              </w:rPr>
            </w:pPr>
            <w:r w:rsidRPr="001E05F5">
              <w:rPr>
                <w:rFonts w:cs="Arial"/>
                <w:color w:val="000000"/>
                <w:sz w:val="18"/>
                <w:szCs w:val="18"/>
              </w:rPr>
              <w:t>High levels of accessibility (&gt;90%) with levels of engagement that should lead to increased understanding and high customer satisfaction</w:t>
            </w:r>
          </w:p>
        </w:tc>
        <w:tc>
          <w:tcPr>
            <w:tcW w:w="647" w:type="dxa"/>
            <w:tcBorders>
              <w:top w:val="single" w:sz="8" w:space="0" w:color="808080"/>
            </w:tcBorders>
            <w:shd w:val="clear" w:color="000000" w:fill="auto"/>
            <w:noWrap/>
            <w:tcMar>
              <w:left w:w="28" w:type="dxa"/>
              <w:right w:w="28" w:type="dxa"/>
            </w:tcMar>
            <w:vAlign w:val="center"/>
            <w:hideMark/>
          </w:tcPr>
          <w:p w14:paraId="6E9817A8" w14:textId="77777777" w:rsidR="0002701C" w:rsidRPr="001E05F5" w:rsidRDefault="0002701C" w:rsidP="0002701C">
            <w:pPr>
              <w:spacing w:before="40" w:after="40"/>
              <w:jc w:val="center"/>
              <w:rPr>
                <w:rFonts w:cs="Arial"/>
                <w:color w:val="000000"/>
                <w:sz w:val="18"/>
                <w:szCs w:val="18"/>
              </w:rPr>
            </w:pPr>
            <w:r w:rsidRPr="001E05F5">
              <w:rPr>
                <w:rFonts w:cs="Arial"/>
                <w:color w:val="000000"/>
                <w:sz w:val="18"/>
                <w:szCs w:val="18"/>
              </w:rPr>
              <w:t>5</w:t>
            </w:r>
          </w:p>
        </w:tc>
      </w:tr>
      <w:tr w:rsidR="0002701C" w:rsidRPr="001E05F5" w14:paraId="67829DEA"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891885B" w14:textId="77777777" w:rsidR="0002701C" w:rsidRPr="001E05F5" w:rsidRDefault="0002701C" w:rsidP="0002701C">
            <w:pPr>
              <w:pStyle w:val="TableFont"/>
              <w:rPr>
                <w:rFonts w:cs="Arial"/>
                <w:szCs w:val="18"/>
              </w:rPr>
            </w:pPr>
          </w:p>
        </w:tc>
        <w:tc>
          <w:tcPr>
            <w:tcW w:w="7088" w:type="dxa"/>
            <w:shd w:val="clear" w:color="auto" w:fill="auto"/>
            <w:tcMar>
              <w:left w:w="57" w:type="dxa"/>
              <w:right w:w="28" w:type="dxa"/>
            </w:tcMar>
            <w:vAlign w:val="center"/>
            <w:hideMark/>
          </w:tcPr>
          <w:p w14:paraId="3228EA12" w14:textId="77777777" w:rsidR="0002701C" w:rsidRPr="001E05F5" w:rsidRDefault="0002701C" w:rsidP="0002701C">
            <w:pPr>
              <w:pStyle w:val="TableFont"/>
              <w:rPr>
                <w:rFonts w:cs="Arial"/>
                <w:szCs w:val="18"/>
              </w:rPr>
            </w:pPr>
            <w:r w:rsidRPr="001E05F5">
              <w:rPr>
                <w:rFonts w:cs="Arial"/>
                <w:szCs w:val="18"/>
              </w:rPr>
              <w:t>Moderate levels of accessibility (70%-90%) with levels of engagement that should lead to increased understanding and high customer satisfaction</w:t>
            </w:r>
          </w:p>
        </w:tc>
        <w:tc>
          <w:tcPr>
            <w:tcW w:w="647" w:type="dxa"/>
            <w:shd w:val="clear" w:color="auto" w:fill="auto"/>
            <w:noWrap/>
            <w:tcMar>
              <w:left w:w="28" w:type="dxa"/>
              <w:right w:w="28" w:type="dxa"/>
            </w:tcMar>
            <w:vAlign w:val="center"/>
            <w:hideMark/>
          </w:tcPr>
          <w:p w14:paraId="66A8744D" w14:textId="77777777" w:rsidR="0002701C" w:rsidRPr="001E05F5" w:rsidRDefault="0002701C" w:rsidP="0002701C">
            <w:pPr>
              <w:pStyle w:val="TableFont"/>
              <w:jc w:val="center"/>
              <w:rPr>
                <w:rFonts w:cs="Arial"/>
                <w:szCs w:val="18"/>
              </w:rPr>
            </w:pPr>
            <w:r w:rsidRPr="001E05F5">
              <w:rPr>
                <w:rFonts w:cs="Arial"/>
                <w:szCs w:val="18"/>
              </w:rPr>
              <w:t>4</w:t>
            </w:r>
          </w:p>
        </w:tc>
      </w:tr>
      <w:tr w:rsidR="0002701C" w:rsidRPr="001E05F5" w14:paraId="2BE20D71"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18F10216" w14:textId="77777777" w:rsidR="0002701C" w:rsidRPr="001E05F5" w:rsidRDefault="0002701C" w:rsidP="0002701C">
            <w:pPr>
              <w:pStyle w:val="TableFont"/>
              <w:rPr>
                <w:rFonts w:cs="Arial"/>
                <w:szCs w:val="18"/>
              </w:rPr>
            </w:pPr>
          </w:p>
        </w:tc>
        <w:tc>
          <w:tcPr>
            <w:tcW w:w="7088" w:type="dxa"/>
            <w:shd w:val="clear" w:color="auto" w:fill="auto"/>
            <w:tcMar>
              <w:left w:w="57" w:type="dxa"/>
              <w:right w:w="28" w:type="dxa"/>
            </w:tcMar>
            <w:vAlign w:val="center"/>
            <w:hideMark/>
          </w:tcPr>
          <w:p w14:paraId="70E9C4EE" w14:textId="77777777" w:rsidR="0002701C" w:rsidRPr="001E05F5" w:rsidRDefault="0002701C" w:rsidP="00A84040">
            <w:pPr>
              <w:pStyle w:val="TableFont"/>
              <w:rPr>
                <w:rFonts w:cs="Arial"/>
                <w:szCs w:val="18"/>
              </w:rPr>
            </w:pPr>
            <w:r w:rsidRPr="001E05F5">
              <w:rPr>
                <w:rFonts w:cs="Arial"/>
                <w:szCs w:val="18"/>
              </w:rPr>
              <w:t>Lower levels of accessibility (&lt;70%) with levels of engagement that should lead to increased understanding and customer satisfaction</w:t>
            </w:r>
          </w:p>
        </w:tc>
        <w:tc>
          <w:tcPr>
            <w:tcW w:w="647" w:type="dxa"/>
            <w:shd w:val="clear" w:color="auto" w:fill="auto"/>
            <w:noWrap/>
            <w:tcMar>
              <w:left w:w="28" w:type="dxa"/>
              <w:right w:w="28" w:type="dxa"/>
            </w:tcMar>
            <w:vAlign w:val="center"/>
            <w:hideMark/>
          </w:tcPr>
          <w:p w14:paraId="5334CE7A" w14:textId="77777777" w:rsidR="0002701C" w:rsidRPr="001E05F5" w:rsidRDefault="0002701C" w:rsidP="0002701C">
            <w:pPr>
              <w:pStyle w:val="TableFont"/>
              <w:jc w:val="center"/>
              <w:rPr>
                <w:rFonts w:cs="Arial"/>
                <w:szCs w:val="18"/>
              </w:rPr>
            </w:pPr>
            <w:r w:rsidRPr="001E05F5">
              <w:rPr>
                <w:rFonts w:cs="Arial"/>
                <w:szCs w:val="18"/>
              </w:rPr>
              <w:t>3</w:t>
            </w:r>
          </w:p>
        </w:tc>
      </w:tr>
      <w:tr w:rsidR="0002701C" w:rsidRPr="001E05F5" w14:paraId="2AB753F8"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1A2A69D7" w14:textId="77777777" w:rsidR="0002701C" w:rsidRPr="001E05F5" w:rsidRDefault="0002701C" w:rsidP="0002701C">
            <w:pPr>
              <w:pStyle w:val="TableFont"/>
              <w:rPr>
                <w:rFonts w:cs="Arial"/>
                <w:szCs w:val="18"/>
              </w:rPr>
            </w:pPr>
          </w:p>
        </w:tc>
        <w:tc>
          <w:tcPr>
            <w:tcW w:w="7088" w:type="dxa"/>
            <w:shd w:val="clear" w:color="auto" w:fill="auto"/>
            <w:tcMar>
              <w:left w:w="57" w:type="dxa"/>
              <w:right w:w="28" w:type="dxa"/>
            </w:tcMar>
            <w:vAlign w:val="center"/>
            <w:hideMark/>
          </w:tcPr>
          <w:p w14:paraId="682B2303" w14:textId="77777777" w:rsidR="0002701C" w:rsidRPr="001E05F5" w:rsidRDefault="0002701C" w:rsidP="0002701C">
            <w:pPr>
              <w:pStyle w:val="TableFont"/>
              <w:rPr>
                <w:rFonts w:cs="Arial"/>
                <w:szCs w:val="18"/>
              </w:rPr>
            </w:pPr>
            <w:r w:rsidRPr="001E05F5">
              <w:rPr>
                <w:rFonts w:cs="Arial"/>
                <w:szCs w:val="18"/>
              </w:rPr>
              <w:t>Moderate levels of accessibility (70%-90%) with levels of engagement that may lead to increased understanding but neutral/reduced customer satisfaction</w:t>
            </w:r>
          </w:p>
        </w:tc>
        <w:tc>
          <w:tcPr>
            <w:tcW w:w="647" w:type="dxa"/>
            <w:shd w:val="clear" w:color="auto" w:fill="auto"/>
            <w:noWrap/>
            <w:tcMar>
              <w:left w:w="28" w:type="dxa"/>
              <w:right w:w="28" w:type="dxa"/>
            </w:tcMar>
            <w:vAlign w:val="center"/>
            <w:hideMark/>
          </w:tcPr>
          <w:p w14:paraId="59EB15FC" w14:textId="77777777" w:rsidR="0002701C" w:rsidRPr="001E05F5" w:rsidRDefault="0002701C" w:rsidP="0002701C">
            <w:pPr>
              <w:pStyle w:val="TableFont"/>
              <w:jc w:val="center"/>
              <w:rPr>
                <w:rFonts w:cs="Arial"/>
                <w:szCs w:val="18"/>
              </w:rPr>
            </w:pPr>
            <w:r w:rsidRPr="001E05F5">
              <w:rPr>
                <w:rFonts w:cs="Arial"/>
                <w:szCs w:val="18"/>
              </w:rPr>
              <w:t>2</w:t>
            </w:r>
          </w:p>
        </w:tc>
      </w:tr>
      <w:tr w:rsidR="0002701C" w:rsidRPr="001E05F5" w14:paraId="74DA5CCA"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61D0864" w14:textId="77777777" w:rsidR="0002701C" w:rsidRPr="001E05F5" w:rsidRDefault="0002701C" w:rsidP="0002701C">
            <w:pPr>
              <w:pStyle w:val="TableFont"/>
              <w:rPr>
                <w:rFonts w:cs="Arial"/>
                <w:szCs w:val="18"/>
              </w:rPr>
            </w:pPr>
          </w:p>
        </w:tc>
        <w:tc>
          <w:tcPr>
            <w:tcW w:w="7088" w:type="dxa"/>
            <w:shd w:val="clear" w:color="auto" w:fill="auto"/>
            <w:tcMar>
              <w:left w:w="57" w:type="dxa"/>
              <w:right w:w="28" w:type="dxa"/>
            </w:tcMar>
            <w:vAlign w:val="center"/>
            <w:hideMark/>
          </w:tcPr>
          <w:p w14:paraId="32D7C01E" w14:textId="77777777" w:rsidR="0002701C" w:rsidRPr="001E05F5" w:rsidRDefault="0002701C" w:rsidP="0002701C">
            <w:pPr>
              <w:pStyle w:val="TableFont"/>
              <w:rPr>
                <w:rFonts w:cs="Arial"/>
                <w:szCs w:val="18"/>
              </w:rPr>
            </w:pPr>
            <w:r w:rsidRPr="001E05F5">
              <w:rPr>
                <w:rFonts w:cs="Arial"/>
                <w:szCs w:val="18"/>
              </w:rPr>
              <w:t>High / moderate levels of accessibility with limited levels of engagement &amp; / or potential customer dissatisfaction</w:t>
            </w:r>
          </w:p>
        </w:tc>
        <w:tc>
          <w:tcPr>
            <w:tcW w:w="647" w:type="dxa"/>
            <w:shd w:val="clear" w:color="auto" w:fill="auto"/>
            <w:noWrap/>
            <w:tcMar>
              <w:left w:w="28" w:type="dxa"/>
              <w:right w:w="28" w:type="dxa"/>
            </w:tcMar>
            <w:vAlign w:val="center"/>
            <w:hideMark/>
          </w:tcPr>
          <w:p w14:paraId="19F205EF" w14:textId="77777777" w:rsidR="0002701C" w:rsidRPr="001E05F5" w:rsidRDefault="0002701C" w:rsidP="0002701C">
            <w:pPr>
              <w:pStyle w:val="TableFont"/>
              <w:jc w:val="center"/>
              <w:rPr>
                <w:rFonts w:cs="Arial"/>
                <w:szCs w:val="18"/>
              </w:rPr>
            </w:pPr>
            <w:r w:rsidRPr="001E05F5">
              <w:rPr>
                <w:rFonts w:cs="Arial"/>
                <w:szCs w:val="18"/>
              </w:rPr>
              <w:t>1</w:t>
            </w:r>
          </w:p>
        </w:tc>
      </w:tr>
      <w:tr w:rsidR="0002701C" w:rsidRPr="001E05F5" w14:paraId="5A69C230"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7826AFB5"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auto" w:fill="auto"/>
            <w:tcMar>
              <w:left w:w="57" w:type="dxa"/>
              <w:right w:w="28" w:type="dxa"/>
            </w:tcMar>
            <w:vAlign w:val="center"/>
            <w:hideMark/>
          </w:tcPr>
          <w:p w14:paraId="7F2FBC8B" w14:textId="77777777" w:rsidR="0002701C" w:rsidRPr="001E05F5" w:rsidRDefault="0002701C" w:rsidP="0002701C">
            <w:pPr>
              <w:pStyle w:val="TableFont"/>
              <w:rPr>
                <w:rFonts w:cs="Arial"/>
                <w:szCs w:val="18"/>
              </w:rPr>
            </w:pPr>
            <w:r w:rsidRPr="001E05F5">
              <w:rPr>
                <w:rFonts w:cs="Arial"/>
                <w:szCs w:val="18"/>
              </w:rPr>
              <w:t>Lower levels of accessibility with no engagement and /or potentially high levels of customer dissatisfaction</w:t>
            </w:r>
          </w:p>
        </w:tc>
        <w:tc>
          <w:tcPr>
            <w:tcW w:w="647" w:type="dxa"/>
            <w:tcBorders>
              <w:bottom w:val="single" w:sz="4" w:space="0" w:color="A6A6A6" w:themeColor="background1" w:themeShade="A6"/>
            </w:tcBorders>
            <w:shd w:val="clear" w:color="auto" w:fill="auto"/>
            <w:noWrap/>
            <w:tcMar>
              <w:left w:w="28" w:type="dxa"/>
              <w:right w:w="28" w:type="dxa"/>
            </w:tcMar>
            <w:vAlign w:val="center"/>
            <w:hideMark/>
          </w:tcPr>
          <w:p w14:paraId="65612232" w14:textId="77777777" w:rsidR="0002701C" w:rsidRPr="001E05F5" w:rsidRDefault="0002701C" w:rsidP="0002701C">
            <w:pPr>
              <w:pStyle w:val="TableFont"/>
              <w:jc w:val="center"/>
              <w:rPr>
                <w:rFonts w:cs="Arial"/>
                <w:szCs w:val="18"/>
              </w:rPr>
            </w:pPr>
            <w:r w:rsidRPr="001E05F5">
              <w:rPr>
                <w:rFonts w:cs="Arial"/>
                <w:szCs w:val="18"/>
              </w:rPr>
              <w:t>0</w:t>
            </w:r>
          </w:p>
        </w:tc>
      </w:tr>
      <w:tr w:rsidR="0002701C" w:rsidRPr="001E05F5" w14:paraId="6792C037" w14:textId="77777777" w:rsidTr="003E20B2">
        <w:tc>
          <w:tcPr>
            <w:tcW w:w="1701" w:type="dxa"/>
            <w:vMerge w:val="restart"/>
            <w:tcBorders>
              <w:top w:val="single" w:sz="8" w:space="0" w:color="808080"/>
              <w:bottom w:val="single" w:sz="8" w:space="0" w:color="808080"/>
              <w:right w:val="single" w:sz="4" w:space="0" w:color="A6A6A6" w:themeColor="background1" w:themeShade="A6"/>
            </w:tcBorders>
            <w:shd w:val="clear" w:color="auto" w:fill="D9D9D9" w:themeFill="background1" w:themeFillShade="D9"/>
            <w:tcMar>
              <w:left w:w="57" w:type="dxa"/>
              <w:right w:w="28" w:type="dxa"/>
            </w:tcMar>
            <w:vAlign w:val="center"/>
            <w:hideMark/>
          </w:tcPr>
          <w:p w14:paraId="264B861A" w14:textId="77777777" w:rsidR="0002701C" w:rsidRPr="001E05F5" w:rsidRDefault="0002701C" w:rsidP="0002701C">
            <w:pPr>
              <w:spacing w:before="40" w:after="40"/>
              <w:rPr>
                <w:rFonts w:cs="Arial"/>
                <w:sz w:val="18"/>
                <w:szCs w:val="18"/>
              </w:rPr>
            </w:pPr>
            <w:r w:rsidRPr="001E05F5">
              <w:rPr>
                <w:rFonts w:cs="Arial"/>
                <w:sz w:val="18"/>
                <w:szCs w:val="18"/>
              </w:rPr>
              <w:t>2.</w:t>
            </w:r>
            <w:r w:rsidRPr="001E05F5">
              <w:rPr>
                <w:sz w:val="14"/>
                <w:szCs w:val="14"/>
              </w:rPr>
              <w:t xml:space="preserve"> </w:t>
            </w:r>
            <w:r w:rsidRPr="001E05F5">
              <w:rPr>
                <w:rFonts w:cs="Arial"/>
                <w:sz w:val="18"/>
                <w:szCs w:val="18"/>
              </w:rPr>
              <w:t>Reduces the amount of waste generated by householder and managed by the Councils from baseline forecast</w:t>
            </w:r>
          </w:p>
        </w:tc>
        <w:tc>
          <w:tcPr>
            <w:tcW w:w="7088" w:type="dxa"/>
            <w:tcBorders>
              <w:top w:val="single" w:sz="4" w:space="0" w:color="A6A6A6" w:themeColor="background1" w:themeShade="A6"/>
              <w:left w:val="single" w:sz="4" w:space="0" w:color="A6A6A6" w:themeColor="background1" w:themeShade="A6"/>
              <w:bottom w:val="single" w:sz="8" w:space="0" w:color="808080"/>
            </w:tcBorders>
            <w:shd w:val="clear" w:color="auto" w:fill="808080" w:themeFill="background1" w:themeFillShade="80"/>
            <w:noWrap/>
            <w:tcMar>
              <w:left w:w="57" w:type="dxa"/>
              <w:right w:w="28" w:type="dxa"/>
            </w:tcMar>
            <w:vAlign w:val="center"/>
            <w:hideMark/>
          </w:tcPr>
          <w:p w14:paraId="3A64650B" w14:textId="77777777" w:rsidR="0002701C" w:rsidRPr="001E05F5" w:rsidRDefault="0002701C" w:rsidP="0002701C">
            <w:pPr>
              <w:spacing w:before="40" w:after="40"/>
              <w:rPr>
                <w:rFonts w:cs="Arial"/>
                <w:b/>
                <w:bCs/>
                <w:color w:val="FFFFFF"/>
                <w:sz w:val="18"/>
                <w:szCs w:val="18"/>
              </w:rPr>
            </w:pPr>
            <w:r w:rsidRPr="001E05F5">
              <w:rPr>
                <w:rFonts w:cs="Arial"/>
                <w:b/>
                <w:bCs/>
                <w:color w:val="FFFFFF"/>
                <w:sz w:val="18"/>
                <w:szCs w:val="18"/>
              </w:rPr>
              <w:t>Evaluation Criteria</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3885296B" w14:textId="2649FBFF" w:rsidR="0002701C" w:rsidRPr="001E05F5" w:rsidRDefault="00263072" w:rsidP="0002701C">
            <w:pPr>
              <w:spacing w:before="40" w:after="40"/>
              <w:jc w:val="center"/>
              <w:rPr>
                <w:rFonts w:cs="Arial"/>
                <w:b/>
                <w:bCs/>
                <w:color w:val="FFFFFF"/>
                <w:sz w:val="18"/>
                <w:szCs w:val="18"/>
              </w:rPr>
            </w:pPr>
            <w:r w:rsidRPr="001E05F5">
              <w:rPr>
                <w:rFonts w:cs="Arial"/>
                <w:b/>
                <w:bCs/>
                <w:color w:val="FFFFFF"/>
                <w:sz w:val="18"/>
                <w:szCs w:val="18"/>
              </w:rPr>
              <w:t>Score</w:t>
            </w:r>
          </w:p>
        </w:tc>
      </w:tr>
      <w:tr w:rsidR="0002701C" w:rsidRPr="001E05F5" w14:paraId="086F7364"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03E4EFBA" w14:textId="77777777" w:rsidR="0002701C" w:rsidRPr="001E05F5" w:rsidRDefault="0002701C" w:rsidP="0002701C">
            <w:pPr>
              <w:pStyle w:val="TableFont"/>
              <w:rPr>
                <w:rFonts w:cs="Arial"/>
                <w:szCs w:val="18"/>
              </w:rPr>
            </w:pPr>
          </w:p>
        </w:tc>
        <w:tc>
          <w:tcPr>
            <w:tcW w:w="7088" w:type="dxa"/>
            <w:tcBorders>
              <w:top w:val="single" w:sz="8" w:space="0" w:color="808080"/>
            </w:tcBorders>
            <w:shd w:val="clear" w:color="000000" w:fill="FFFFFF"/>
            <w:noWrap/>
            <w:tcMar>
              <w:left w:w="57" w:type="dxa"/>
              <w:right w:w="28" w:type="dxa"/>
            </w:tcMar>
            <w:vAlign w:val="center"/>
            <w:hideMark/>
          </w:tcPr>
          <w:p w14:paraId="00CD5BB6" w14:textId="77777777" w:rsidR="0002701C" w:rsidRPr="001E05F5" w:rsidRDefault="0002701C" w:rsidP="0002701C">
            <w:pPr>
              <w:pStyle w:val="TableFont"/>
              <w:rPr>
                <w:rFonts w:cs="Arial"/>
                <w:szCs w:val="18"/>
              </w:rPr>
            </w:pPr>
            <w:r w:rsidRPr="001E05F5">
              <w:rPr>
                <w:rFonts w:cs="Arial"/>
                <w:szCs w:val="18"/>
              </w:rPr>
              <w:t>Very high reduction in waste arisings (&gt;2%)</w:t>
            </w:r>
          </w:p>
        </w:tc>
        <w:tc>
          <w:tcPr>
            <w:tcW w:w="647" w:type="dxa"/>
            <w:tcBorders>
              <w:top w:val="single" w:sz="8" w:space="0" w:color="808080"/>
            </w:tcBorders>
            <w:shd w:val="clear" w:color="000000" w:fill="FFFFFF"/>
            <w:noWrap/>
            <w:tcMar>
              <w:left w:w="28" w:type="dxa"/>
              <w:right w:w="28" w:type="dxa"/>
            </w:tcMar>
            <w:vAlign w:val="center"/>
            <w:hideMark/>
          </w:tcPr>
          <w:p w14:paraId="6143FDE0" w14:textId="77777777" w:rsidR="0002701C" w:rsidRPr="001E05F5" w:rsidRDefault="0002701C" w:rsidP="0002701C">
            <w:pPr>
              <w:pStyle w:val="TableFont"/>
              <w:jc w:val="center"/>
              <w:rPr>
                <w:rFonts w:cs="Arial"/>
                <w:szCs w:val="18"/>
              </w:rPr>
            </w:pPr>
            <w:r w:rsidRPr="001E05F5">
              <w:rPr>
                <w:rFonts w:cs="Arial"/>
                <w:szCs w:val="18"/>
              </w:rPr>
              <w:t>5</w:t>
            </w:r>
          </w:p>
        </w:tc>
      </w:tr>
      <w:tr w:rsidR="0002701C" w:rsidRPr="001E05F5" w14:paraId="56741920"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6AA6951" w14:textId="77777777" w:rsidR="0002701C" w:rsidRPr="001E05F5" w:rsidRDefault="0002701C" w:rsidP="0002701C">
            <w:pPr>
              <w:pStyle w:val="TableFont"/>
              <w:rPr>
                <w:rFonts w:cs="Arial"/>
                <w:szCs w:val="18"/>
              </w:rPr>
            </w:pPr>
          </w:p>
        </w:tc>
        <w:tc>
          <w:tcPr>
            <w:tcW w:w="7088" w:type="dxa"/>
            <w:shd w:val="clear" w:color="000000" w:fill="FFFFFF"/>
            <w:noWrap/>
            <w:tcMar>
              <w:left w:w="57" w:type="dxa"/>
              <w:right w:w="28" w:type="dxa"/>
            </w:tcMar>
            <w:vAlign w:val="center"/>
            <w:hideMark/>
          </w:tcPr>
          <w:p w14:paraId="429725C9" w14:textId="77777777" w:rsidR="0002701C" w:rsidRPr="001E05F5" w:rsidRDefault="0002701C" w:rsidP="0002701C">
            <w:pPr>
              <w:pStyle w:val="TableFont"/>
              <w:rPr>
                <w:rFonts w:cs="Arial"/>
                <w:szCs w:val="18"/>
              </w:rPr>
            </w:pPr>
            <w:r w:rsidRPr="001E05F5">
              <w:rPr>
                <w:rFonts w:cs="Arial"/>
                <w:szCs w:val="18"/>
              </w:rPr>
              <w:t>High reduction (1 - 2%)</w:t>
            </w:r>
          </w:p>
        </w:tc>
        <w:tc>
          <w:tcPr>
            <w:tcW w:w="647" w:type="dxa"/>
            <w:shd w:val="clear" w:color="000000" w:fill="FFFFFF"/>
            <w:noWrap/>
            <w:tcMar>
              <w:left w:w="28" w:type="dxa"/>
              <w:right w:w="28" w:type="dxa"/>
            </w:tcMar>
            <w:vAlign w:val="center"/>
            <w:hideMark/>
          </w:tcPr>
          <w:p w14:paraId="3B91764C" w14:textId="77777777" w:rsidR="0002701C" w:rsidRPr="001E05F5" w:rsidRDefault="0002701C" w:rsidP="0002701C">
            <w:pPr>
              <w:pStyle w:val="TableFont"/>
              <w:jc w:val="center"/>
              <w:rPr>
                <w:rFonts w:cs="Arial"/>
                <w:szCs w:val="18"/>
              </w:rPr>
            </w:pPr>
            <w:r w:rsidRPr="001E05F5">
              <w:rPr>
                <w:rFonts w:cs="Arial"/>
                <w:szCs w:val="18"/>
              </w:rPr>
              <w:t>4</w:t>
            </w:r>
          </w:p>
        </w:tc>
      </w:tr>
      <w:tr w:rsidR="0002701C" w:rsidRPr="001E05F5" w14:paraId="0E8FE826"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EF4C075" w14:textId="77777777" w:rsidR="0002701C" w:rsidRPr="001E05F5" w:rsidRDefault="0002701C" w:rsidP="0002701C">
            <w:pPr>
              <w:pStyle w:val="TableFont"/>
              <w:rPr>
                <w:rFonts w:cs="Arial"/>
                <w:szCs w:val="18"/>
              </w:rPr>
            </w:pPr>
          </w:p>
        </w:tc>
        <w:tc>
          <w:tcPr>
            <w:tcW w:w="7088" w:type="dxa"/>
            <w:shd w:val="clear" w:color="000000" w:fill="FFFFFF"/>
            <w:noWrap/>
            <w:tcMar>
              <w:left w:w="57" w:type="dxa"/>
              <w:right w:w="28" w:type="dxa"/>
            </w:tcMar>
            <w:vAlign w:val="center"/>
            <w:hideMark/>
          </w:tcPr>
          <w:p w14:paraId="4E882E8E" w14:textId="77777777" w:rsidR="0002701C" w:rsidRPr="001E05F5" w:rsidRDefault="0002701C" w:rsidP="0002701C">
            <w:pPr>
              <w:pStyle w:val="TableFont"/>
              <w:rPr>
                <w:rFonts w:cs="Arial"/>
                <w:szCs w:val="18"/>
              </w:rPr>
            </w:pPr>
            <w:r w:rsidRPr="001E05F5">
              <w:rPr>
                <w:rFonts w:cs="Arial"/>
                <w:szCs w:val="18"/>
              </w:rPr>
              <w:t>Medium reduction (0.51- 0.99%)</w:t>
            </w:r>
          </w:p>
        </w:tc>
        <w:tc>
          <w:tcPr>
            <w:tcW w:w="647" w:type="dxa"/>
            <w:shd w:val="clear" w:color="000000" w:fill="FFFFFF"/>
            <w:noWrap/>
            <w:tcMar>
              <w:left w:w="28" w:type="dxa"/>
              <w:right w:w="28" w:type="dxa"/>
            </w:tcMar>
            <w:vAlign w:val="center"/>
            <w:hideMark/>
          </w:tcPr>
          <w:p w14:paraId="596EE68F" w14:textId="77777777" w:rsidR="0002701C" w:rsidRPr="001E05F5" w:rsidRDefault="0002701C" w:rsidP="0002701C">
            <w:pPr>
              <w:pStyle w:val="TableFont"/>
              <w:jc w:val="center"/>
              <w:rPr>
                <w:rFonts w:cs="Arial"/>
                <w:szCs w:val="18"/>
              </w:rPr>
            </w:pPr>
            <w:r w:rsidRPr="001E05F5">
              <w:rPr>
                <w:rFonts w:cs="Arial"/>
                <w:szCs w:val="18"/>
              </w:rPr>
              <w:t>3</w:t>
            </w:r>
          </w:p>
        </w:tc>
      </w:tr>
      <w:tr w:rsidR="0002701C" w:rsidRPr="001E05F5" w14:paraId="48F43C17"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41C9B85F" w14:textId="77777777" w:rsidR="0002701C" w:rsidRPr="001E05F5" w:rsidRDefault="0002701C" w:rsidP="0002701C">
            <w:pPr>
              <w:pStyle w:val="TableFont"/>
              <w:rPr>
                <w:rFonts w:cs="Arial"/>
                <w:szCs w:val="18"/>
              </w:rPr>
            </w:pPr>
          </w:p>
        </w:tc>
        <w:tc>
          <w:tcPr>
            <w:tcW w:w="7088" w:type="dxa"/>
            <w:shd w:val="clear" w:color="000000" w:fill="FFFFFF"/>
            <w:noWrap/>
            <w:tcMar>
              <w:left w:w="57" w:type="dxa"/>
              <w:right w:w="28" w:type="dxa"/>
            </w:tcMar>
            <w:vAlign w:val="center"/>
            <w:hideMark/>
          </w:tcPr>
          <w:p w14:paraId="72B2E1AF" w14:textId="77777777" w:rsidR="0002701C" w:rsidRPr="001E05F5" w:rsidRDefault="0002701C" w:rsidP="0002701C">
            <w:pPr>
              <w:pStyle w:val="TableFont"/>
              <w:rPr>
                <w:rFonts w:cs="Arial"/>
                <w:szCs w:val="18"/>
              </w:rPr>
            </w:pPr>
            <w:r w:rsidRPr="001E05F5">
              <w:rPr>
                <w:rFonts w:cs="Arial"/>
                <w:szCs w:val="18"/>
              </w:rPr>
              <w:t>Minor reduction (&lt;0.50%)</w:t>
            </w:r>
          </w:p>
        </w:tc>
        <w:tc>
          <w:tcPr>
            <w:tcW w:w="647" w:type="dxa"/>
            <w:shd w:val="clear" w:color="000000" w:fill="FFFFFF"/>
            <w:noWrap/>
            <w:tcMar>
              <w:left w:w="28" w:type="dxa"/>
              <w:right w:w="28" w:type="dxa"/>
            </w:tcMar>
            <w:vAlign w:val="center"/>
            <w:hideMark/>
          </w:tcPr>
          <w:p w14:paraId="5388FA39" w14:textId="77777777" w:rsidR="0002701C" w:rsidRPr="001E05F5" w:rsidRDefault="0002701C" w:rsidP="0002701C">
            <w:pPr>
              <w:pStyle w:val="TableFont"/>
              <w:jc w:val="center"/>
              <w:rPr>
                <w:rFonts w:cs="Arial"/>
                <w:szCs w:val="18"/>
              </w:rPr>
            </w:pPr>
            <w:r w:rsidRPr="001E05F5">
              <w:rPr>
                <w:rFonts w:cs="Arial"/>
                <w:szCs w:val="18"/>
              </w:rPr>
              <w:t>2</w:t>
            </w:r>
          </w:p>
        </w:tc>
      </w:tr>
      <w:tr w:rsidR="0002701C" w:rsidRPr="001E05F5" w14:paraId="13A56C4E"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CB220F6" w14:textId="77777777" w:rsidR="0002701C" w:rsidRPr="001E05F5" w:rsidRDefault="0002701C" w:rsidP="0002701C">
            <w:pPr>
              <w:pStyle w:val="TableFont"/>
              <w:rPr>
                <w:rFonts w:cs="Arial"/>
                <w:szCs w:val="18"/>
              </w:rPr>
            </w:pPr>
          </w:p>
        </w:tc>
        <w:tc>
          <w:tcPr>
            <w:tcW w:w="7088" w:type="dxa"/>
            <w:shd w:val="clear" w:color="000000" w:fill="FFFFFF"/>
            <w:noWrap/>
            <w:tcMar>
              <w:left w:w="57" w:type="dxa"/>
              <w:right w:w="28" w:type="dxa"/>
            </w:tcMar>
            <w:vAlign w:val="center"/>
            <w:hideMark/>
          </w:tcPr>
          <w:p w14:paraId="38A758B5" w14:textId="77777777" w:rsidR="0002701C" w:rsidRPr="001E05F5" w:rsidRDefault="0002701C" w:rsidP="0002701C">
            <w:pPr>
              <w:pStyle w:val="TableFont"/>
              <w:rPr>
                <w:rFonts w:cs="Arial"/>
                <w:szCs w:val="18"/>
              </w:rPr>
            </w:pPr>
            <w:r w:rsidRPr="001E05F5">
              <w:rPr>
                <w:rFonts w:cs="Arial"/>
                <w:szCs w:val="18"/>
              </w:rPr>
              <w:t>No change in waste arising</w:t>
            </w:r>
          </w:p>
        </w:tc>
        <w:tc>
          <w:tcPr>
            <w:tcW w:w="647" w:type="dxa"/>
            <w:shd w:val="clear" w:color="000000" w:fill="FFFFFF"/>
            <w:noWrap/>
            <w:tcMar>
              <w:left w:w="28" w:type="dxa"/>
              <w:right w:w="28" w:type="dxa"/>
            </w:tcMar>
            <w:vAlign w:val="center"/>
            <w:hideMark/>
          </w:tcPr>
          <w:p w14:paraId="0702DB58" w14:textId="77777777" w:rsidR="0002701C" w:rsidRPr="001E05F5" w:rsidRDefault="0002701C" w:rsidP="0002701C">
            <w:pPr>
              <w:pStyle w:val="TableFont"/>
              <w:jc w:val="center"/>
              <w:rPr>
                <w:rFonts w:cs="Arial"/>
                <w:szCs w:val="18"/>
              </w:rPr>
            </w:pPr>
            <w:r w:rsidRPr="001E05F5">
              <w:rPr>
                <w:rFonts w:cs="Arial"/>
                <w:szCs w:val="18"/>
              </w:rPr>
              <w:t>1</w:t>
            </w:r>
          </w:p>
        </w:tc>
      </w:tr>
      <w:tr w:rsidR="0002701C" w:rsidRPr="001E05F5" w14:paraId="532D9F82"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4C389BB1"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000000" w:fill="FFFFFF"/>
            <w:noWrap/>
            <w:tcMar>
              <w:left w:w="57" w:type="dxa"/>
              <w:right w:w="28" w:type="dxa"/>
            </w:tcMar>
            <w:vAlign w:val="center"/>
            <w:hideMark/>
          </w:tcPr>
          <w:p w14:paraId="32B9A759" w14:textId="77777777" w:rsidR="0002701C" w:rsidRPr="001E05F5" w:rsidRDefault="0002701C" w:rsidP="0002701C">
            <w:pPr>
              <w:pStyle w:val="TableFont"/>
              <w:rPr>
                <w:rFonts w:cs="Arial"/>
                <w:szCs w:val="18"/>
              </w:rPr>
            </w:pPr>
            <w:r w:rsidRPr="001E05F5">
              <w:rPr>
                <w:rFonts w:cs="Arial"/>
                <w:szCs w:val="18"/>
              </w:rPr>
              <w:t>Increase in waste arising</w:t>
            </w:r>
          </w:p>
        </w:tc>
        <w:tc>
          <w:tcPr>
            <w:tcW w:w="647" w:type="dxa"/>
            <w:tcBorders>
              <w:bottom w:val="single" w:sz="4" w:space="0" w:color="A6A6A6" w:themeColor="background1" w:themeShade="A6"/>
            </w:tcBorders>
            <w:shd w:val="clear" w:color="000000" w:fill="FFFFFF"/>
            <w:noWrap/>
            <w:tcMar>
              <w:left w:w="28" w:type="dxa"/>
              <w:right w:w="28" w:type="dxa"/>
            </w:tcMar>
            <w:vAlign w:val="center"/>
            <w:hideMark/>
          </w:tcPr>
          <w:p w14:paraId="1755D734" w14:textId="77777777" w:rsidR="0002701C" w:rsidRPr="001E05F5" w:rsidRDefault="0002701C" w:rsidP="0002701C">
            <w:pPr>
              <w:pStyle w:val="TableFont"/>
              <w:jc w:val="center"/>
              <w:rPr>
                <w:rFonts w:cs="Arial"/>
                <w:szCs w:val="18"/>
              </w:rPr>
            </w:pPr>
            <w:r w:rsidRPr="001E05F5">
              <w:rPr>
                <w:rFonts w:cs="Arial"/>
                <w:szCs w:val="18"/>
              </w:rPr>
              <w:t>0</w:t>
            </w:r>
          </w:p>
        </w:tc>
      </w:tr>
      <w:tr w:rsidR="0002701C" w:rsidRPr="001E05F5" w14:paraId="2B8852B3" w14:textId="77777777" w:rsidTr="003E20B2">
        <w:tc>
          <w:tcPr>
            <w:tcW w:w="1701" w:type="dxa"/>
            <w:vMerge w:val="restart"/>
            <w:tcBorders>
              <w:top w:val="single" w:sz="8" w:space="0" w:color="808080"/>
              <w:bottom w:val="single" w:sz="8" w:space="0" w:color="808080"/>
              <w:right w:val="single" w:sz="4" w:space="0" w:color="A6A6A6" w:themeColor="background1" w:themeShade="A6"/>
            </w:tcBorders>
            <w:shd w:val="clear" w:color="auto" w:fill="D9D9D9" w:themeFill="background1" w:themeFillShade="D9"/>
            <w:tcMar>
              <w:left w:w="57" w:type="dxa"/>
              <w:right w:w="28" w:type="dxa"/>
            </w:tcMar>
            <w:vAlign w:val="center"/>
            <w:hideMark/>
          </w:tcPr>
          <w:p w14:paraId="184D3238" w14:textId="77777777" w:rsidR="0002701C" w:rsidRPr="001E05F5" w:rsidRDefault="0002701C" w:rsidP="0002701C">
            <w:pPr>
              <w:spacing w:before="40" w:after="40"/>
              <w:rPr>
                <w:rFonts w:cs="Arial"/>
                <w:color w:val="000000"/>
                <w:sz w:val="18"/>
                <w:szCs w:val="18"/>
              </w:rPr>
            </w:pPr>
            <w:r w:rsidRPr="001E05F5">
              <w:rPr>
                <w:rFonts w:cs="Arial"/>
                <w:color w:val="000000"/>
                <w:sz w:val="18"/>
                <w:szCs w:val="18"/>
              </w:rPr>
              <w:t>3.</w:t>
            </w:r>
            <w:r w:rsidRPr="001E05F5">
              <w:rPr>
                <w:color w:val="000000"/>
                <w:sz w:val="14"/>
                <w:szCs w:val="14"/>
              </w:rPr>
              <w:t xml:space="preserve"> </w:t>
            </w:r>
            <w:r w:rsidRPr="001E05F5">
              <w:rPr>
                <w:rFonts w:cs="Arial"/>
                <w:color w:val="000000"/>
                <w:sz w:val="18"/>
                <w:szCs w:val="18"/>
              </w:rPr>
              <w:t>Increases reuse and recycling</w:t>
            </w:r>
          </w:p>
        </w:tc>
        <w:tc>
          <w:tcPr>
            <w:tcW w:w="7088" w:type="dxa"/>
            <w:tcBorders>
              <w:top w:val="single" w:sz="4" w:space="0" w:color="A6A6A6" w:themeColor="background1" w:themeShade="A6"/>
              <w:left w:val="single" w:sz="4" w:space="0" w:color="A6A6A6" w:themeColor="background1" w:themeShade="A6"/>
              <w:bottom w:val="single" w:sz="8" w:space="0" w:color="808080"/>
            </w:tcBorders>
            <w:shd w:val="clear" w:color="auto" w:fill="808080" w:themeFill="background1" w:themeFillShade="80"/>
            <w:noWrap/>
            <w:tcMar>
              <w:left w:w="57" w:type="dxa"/>
              <w:right w:w="28" w:type="dxa"/>
            </w:tcMar>
            <w:vAlign w:val="center"/>
            <w:hideMark/>
          </w:tcPr>
          <w:p w14:paraId="648C48B6" w14:textId="77777777" w:rsidR="0002701C" w:rsidRPr="001E05F5" w:rsidRDefault="0002701C" w:rsidP="0002701C">
            <w:pPr>
              <w:spacing w:before="40" w:after="40"/>
              <w:rPr>
                <w:rFonts w:cs="Arial"/>
                <w:b/>
                <w:bCs/>
                <w:color w:val="FFFFFF"/>
                <w:sz w:val="18"/>
                <w:szCs w:val="18"/>
              </w:rPr>
            </w:pPr>
            <w:r w:rsidRPr="001E05F5">
              <w:rPr>
                <w:rFonts w:cs="Arial"/>
                <w:b/>
                <w:bCs/>
                <w:color w:val="FFFFFF"/>
                <w:sz w:val="18"/>
                <w:szCs w:val="18"/>
              </w:rPr>
              <w:t>Evaluation Criteria</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74CE5B0F" w14:textId="7F553668" w:rsidR="0002701C" w:rsidRPr="001E05F5" w:rsidRDefault="00263072" w:rsidP="0002701C">
            <w:pPr>
              <w:spacing w:before="40" w:after="40"/>
              <w:jc w:val="center"/>
              <w:rPr>
                <w:rFonts w:cs="Arial"/>
                <w:b/>
                <w:bCs/>
                <w:color w:val="FFFFFF"/>
                <w:sz w:val="18"/>
                <w:szCs w:val="18"/>
              </w:rPr>
            </w:pPr>
            <w:r w:rsidRPr="001E05F5">
              <w:rPr>
                <w:rFonts w:cs="Arial"/>
                <w:b/>
                <w:bCs/>
                <w:color w:val="FFFFFF"/>
                <w:sz w:val="18"/>
                <w:szCs w:val="18"/>
              </w:rPr>
              <w:t>Score</w:t>
            </w:r>
          </w:p>
        </w:tc>
      </w:tr>
      <w:tr w:rsidR="0002701C" w:rsidRPr="001E05F5" w14:paraId="3BDB742B"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27D9676F" w14:textId="77777777" w:rsidR="0002701C" w:rsidRPr="001E05F5" w:rsidRDefault="0002701C" w:rsidP="0002701C">
            <w:pPr>
              <w:pStyle w:val="TableFont"/>
              <w:keepNext/>
              <w:keepLines/>
              <w:rPr>
                <w:rFonts w:cs="Arial"/>
                <w:szCs w:val="18"/>
              </w:rPr>
            </w:pPr>
          </w:p>
        </w:tc>
        <w:tc>
          <w:tcPr>
            <w:tcW w:w="7088" w:type="dxa"/>
            <w:tcBorders>
              <w:top w:val="single" w:sz="8" w:space="0" w:color="808080"/>
            </w:tcBorders>
            <w:shd w:val="clear" w:color="auto" w:fill="auto"/>
            <w:noWrap/>
            <w:tcMar>
              <w:left w:w="57" w:type="dxa"/>
              <w:right w:w="28" w:type="dxa"/>
            </w:tcMar>
            <w:vAlign w:val="center"/>
            <w:hideMark/>
          </w:tcPr>
          <w:p w14:paraId="5A61CEF6" w14:textId="77777777" w:rsidR="0002701C" w:rsidRPr="001E05F5" w:rsidRDefault="0002701C" w:rsidP="0002701C">
            <w:pPr>
              <w:pStyle w:val="TableFont"/>
              <w:keepNext/>
              <w:keepLines/>
              <w:rPr>
                <w:rFonts w:cs="Arial"/>
                <w:szCs w:val="18"/>
              </w:rPr>
            </w:pPr>
            <w:r w:rsidRPr="001E05F5">
              <w:rPr>
                <w:rFonts w:cs="Arial"/>
                <w:szCs w:val="18"/>
              </w:rPr>
              <w:t>High increase in reuse/recycling/composting rate (&gt;10%)</w:t>
            </w:r>
          </w:p>
        </w:tc>
        <w:tc>
          <w:tcPr>
            <w:tcW w:w="647" w:type="dxa"/>
            <w:tcBorders>
              <w:top w:val="single" w:sz="8" w:space="0" w:color="808080"/>
            </w:tcBorders>
            <w:shd w:val="clear" w:color="auto" w:fill="auto"/>
            <w:noWrap/>
            <w:tcMar>
              <w:left w:w="28" w:type="dxa"/>
              <w:right w:w="28" w:type="dxa"/>
            </w:tcMar>
            <w:vAlign w:val="center"/>
            <w:hideMark/>
          </w:tcPr>
          <w:p w14:paraId="754D91B3" w14:textId="77777777" w:rsidR="0002701C" w:rsidRPr="001E05F5" w:rsidRDefault="0002701C" w:rsidP="0002701C">
            <w:pPr>
              <w:pStyle w:val="TableFont"/>
              <w:keepNext/>
              <w:keepLines/>
              <w:jc w:val="center"/>
              <w:rPr>
                <w:rFonts w:cs="Arial"/>
                <w:szCs w:val="18"/>
              </w:rPr>
            </w:pPr>
            <w:r w:rsidRPr="001E05F5">
              <w:rPr>
                <w:rFonts w:cs="Arial"/>
                <w:szCs w:val="18"/>
              </w:rPr>
              <w:t>5</w:t>
            </w:r>
          </w:p>
        </w:tc>
      </w:tr>
      <w:tr w:rsidR="0002701C" w:rsidRPr="001E05F5" w14:paraId="5776A99A"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D045E13"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5B99F18B" w14:textId="77777777" w:rsidR="0002701C" w:rsidRPr="001E05F5" w:rsidRDefault="0002701C" w:rsidP="0002701C">
            <w:pPr>
              <w:pStyle w:val="TableFont"/>
              <w:rPr>
                <w:rFonts w:cs="Arial"/>
                <w:szCs w:val="18"/>
              </w:rPr>
            </w:pPr>
            <w:r w:rsidRPr="001E05F5">
              <w:rPr>
                <w:rFonts w:cs="Arial"/>
                <w:szCs w:val="18"/>
              </w:rPr>
              <w:t>Medium increase in reuse/recycling/composting rate (5 - 9.99%)</w:t>
            </w:r>
          </w:p>
        </w:tc>
        <w:tc>
          <w:tcPr>
            <w:tcW w:w="647" w:type="dxa"/>
            <w:shd w:val="clear" w:color="auto" w:fill="auto"/>
            <w:noWrap/>
            <w:tcMar>
              <w:left w:w="28" w:type="dxa"/>
              <w:right w:w="28" w:type="dxa"/>
            </w:tcMar>
            <w:vAlign w:val="center"/>
            <w:hideMark/>
          </w:tcPr>
          <w:p w14:paraId="3BD4380A" w14:textId="77777777" w:rsidR="0002701C" w:rsidRPr="001E05F5" w:rsidRDefault="0002701C" w:rsidP="0002701C">
            <w:pPr>
              <w:pStyle w:val="TableFont"/>
              <w:jc w:val="center"/>
              <w:rPr>
                <w:rFonts w:cs="Arial"/>
                <w:szCs w:val="18"/>
              </w:rPr>
            </w:pPr>
            <w:r w:rsidRPr="001E05F5">
              <w:rPr>
                <w:rFonts w:cs="Arial"/>
                <w:szCs w:val="18"/>
              </w:rPr>
              <w:t>4</w:t>
            </w:r>
          </w:p>
        </w:tc>
      </w:tr>
      <w:tr w:rsidR="0002701C" w:rsidRPr="001E05F5" w14:paraId="554A8BBD"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7E556E34"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2E71CB5C" w14:textId="77777777" w:rsidR="0002701C" w:rsidRPr="001E05F5" w:rsidRDefault="0002701C" w:rsidP="0002701C">
            <w:pPr>
              <w:pStyle w:val="TableFont"/>
              <w:rPr>
                <w:rFonts w:cs="Arial"/>
                <w:szCs w:val="18"/>
              </w:rPr>
            </w:pPr>
            <w:r w:rsidRPr="001E05F5">
              <w:rPr>
                <w:rFonts w:cs="Arial"/>
                <w:szCs w:val="18"/>
              </w:rPr>
              <w:t>Reasonable increase in reuse/recycling/composting rate (2 - 4.99%)</w:t>
            </w:r>
          </w:p>
        </w:tc>
        <w:tc>
          <w:tcPr>
            <w:tcW w:w="647" w:type="dxa"/>
            <w:shd w:val="clear" w:color="auto" w:fill="auto"/>
            <w:noWrap/>
            <w:tcMar>
              <w:left w:w="28" w:type="dxa"/>
              <w:right w:w="28" w:type="dxa"/>
            </w:tcMar>
            <w:vAlign w:val="center"/>
            <w:hideMark/>
          </w:tcPr>
          <w:p w14:paraId="5E9355AC" w14:textId="77777777" w:rsidR="0002701C" w:rsidRPr="001E05F5" w:rsidRDefault="0002701C" w:rsidP="0002701C">
            <w:pPr>
              <w:pStyle w:val="TableFont"/>
              <w:jc w:val="center"/>
              <w:rPr>
                <w:rFonts w:cs="Arial"/>
                <w:szCs w:val="18"/>
              </w:rPr>
            </w:pPr>
            <w:r w:rsidRPr="001E05F5">
              <w:rPr>
                <w:rFonts w:cs="Arial"/>
                <w:szCs w:val="18"/>
              </w:rPr>
              <w:t>3</w:t>
            </w:r>
          </w:p>
        </w:tc>
      </w:tr>
      <w:tr w:rsidR="0002701C" w:rsidRPr="001E05F5" w14:paraId="716538BF"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27DFACDA"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4AF6DCD8" w14:textId="77777777" w:rsidR="0002701C" w:rsidRPr="001E05F5" w:rsidRDefault="0002701C" w:rsidP="0002701C">
            <w:pPr>
              <w:pStyle w:val="TableFont"/>
              <w:rPr>
                <w:rFonts w:cs="Arial"/>
                <w:szCs w:val="18"/>
              </w:rPr>
            </w:pPr>
            <w:r w:rsidRPr="001E05F5">
              <w:rPr>
                <w:rFonts w:cs="Arial"/>
                <w:szCs w:val="18"/>
              </w:rPr>
              <w:t>Minor increase in reuse/recycling/composting rate (0.1 - 1.99%)</w:t>
            </w:r>
          </w:p>
        </w:tc>
        <w:tc>
          <w:tcPr>
            <w:tcW w:w="647" w:type="dxa"/>
            <w:shd w:val="clear" w:color="auto" w:fill="auto"/>
            <w:noWrap/>
            <w:tcMar>
              <w:left w:w="28" w:type="dxa"/>
              <w:right w:w="28" w:type="dxa"/>
            </w:tcMar>
            <w:vAlign w:val="center"/>
            <w:hideMark/>
          </w:tcPr>
          <w:p w14:paraId="7B832667" w14:textId="77777777" w:rsidR="0002701C" w:rsidRPr="001E05F5" w:rsidRDefault="0002701C" w:rsidP="0002701C">
            <w:pPr>
              <w:pStyle w:val="TableFont"/>
              <w:jc w:val="center"/>
              <w:rPr>
                <w:rFonts w:cs="Arial"/>
                <w:szCs w:val="18"/>
              </w:rPr>
            </w:pPr>
            <w:r w:rsidRPr="001E05F5">
              <w:rPr>
                <w:rFonts w:cs="Arial"/>
                <w:szCs w:val="18"/>
              </w:rPr>
              <w:t>2</w:t>
            </w:r>
          </w:p>
        </w:tc>
      </w:tr>
      <w:tr w:rsidR="0002701C" w:rsidRPr="001E05F5" w14:paraId="212EF1D2"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33EF6FD"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31962EA3" w14:textId="77777777" w:rsidR="0002701C" w:rsidRPr="001E05F5" w:rsidRDefault="0002701C" w:rsidP="0002701C">
            <w:pPr>
              <w:pStyle w:val="TableFont"/>
              <w:rPr>
                <w:rFonts w:cs="Arial"/>
                <w:szCs w:val="18"/>
              </w:rPr>
            </w:pPr>
            <w:r w:rsidRPr="001E05F5">
              <w:rPr>
                <w:rFonts w:cs="Arial"/>
                <w:szCs w:val="18"/>
              </w:rPr>
              <w:t>No change in reuse/recycling/composting rate</w:t>
            </w:r>
          </w:p>
        </w:tc>
        <w:tc>
          <w:tcPr>
            <w:tcW w:w="647" w:type="dxa"/>
            <w:shd w:val="clear" w:color="auto" w:fill="auto"/>
            <w:noWrap/>
            <w:tcMar>
              <w:left w:w="28" w:type="dxa"/>
              <w:right w:w="28" w:type="dxa"/>
            </w:tcMar>
            <w:vAlign w:val="center"/>
            <w:hideMark/>
          </w:tcPr>
          <w:p w14:paraId="6987FE2D" w14:textId="77777777" w:rsidR="0002701C" w:rsidRPr="001E05F5" w:rsidRDefault="0002701C" w:rsidP="0002701C">
            <w:pPr>
              <w:pStyle w:val="TableFont"/>
              <w:jc w:val="center"/>
              <w:rPr>
                <w:rFonts w:cs="Arial"/>
                <w:szCs w:val="18"/>
              </w:rPr>
            </w:pPr>
            <w:r w:rsidRPr="001E05F5">
              <w:rPr>
                <w:rFonts w:cs="Arial"/>
                <w:szCs w:val="18"/>
              </w:rPr>
              <w:t>1</w:t>
            </w:r>
          </w:p>
        </w:tc>
      </w:tr>
      <w:tr w:rsidR="0002701C" w:rsidRPr="001E05F5" w14:paraId="39996E90"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20FFC73A"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auto" w:fill="auto"/>
            <w:noWrap/>
            <w:tcMar>
              <w:left w:w="57" w:type="dxa"/>
              <w:right w:w="28" w:type="dxa"/>
            </w:tcMar>
            <w:vAlign w:val="center"/>
            <w:hideMark/>
          </w:tcPr>
          <w:p w14:paraId="0F8ACFEB" w14:textId="77777777" w:rsidR="0002701C" w:rsidRPr="001E05F5" w:rsidRDefault="0002701C" w:rsidP="0002701C">
            <w:pPr>
              <w:pStyle w:val="TableFont"/>
              <w:rPr>
                <w:rFonts w:cs="Arial"/>
                <w:szCs w:val="18"/>
              </w:rPr>
            </w:pPr>
            <w:r w:rsidRPr="001E05F5">
              <w:rPr>
                <w:rFonts w:cs="Arial"/>
                <w:szCs w:val="18"/>
              </w:rPr>
              <w:t>Decrease in reuse/recycling/composting rate</w:t>
            </w:r>
          </w:p>
        </w:tc>
        <w:tc>
          <w:tcPr>
            <w:tcW w:w="647" w:type="dxa"/>
            <w:tcBorders>
              <w:bottom w:val="single" w:sz="4" w:space="0" w:color="A6A6A6" w:themeColor="background1" w:themeShade="A6"/>
            </w:tcBorders>
            <w:shd w:val="clear" w:color="auto" w:fill="auto"/>
            <w:noWrap/>
            <w:tcMar>
              <w:left w:w="28" w:type="dxa"/>
              <w:right w:w="28" w:type="dxa"/>
            </w:tcMar>
            <w:vAlign w:val="center"/>
            <w:hideMark/>
          </w:tcPr>
          <w:p w14:paraId="5B5727A9" w14:textId="77777777" w:rsidR="0002701C" w:rsidRPr="001E05F5" w:rsidRDefault="0002701C" w:rsidP="0002701C">
            <w:pPr>
              <w:pStyle w:val="TableFont"/>
              <w:jc w:val="center"/>
              <w:rPr>
                <w:rFonts w:cs="Arial"/>
                <w:szCs w:val="18"/>
              </w:rPr>
            </w:pPr>
            <w:r w:rsidRPr="001E05F5">
              <w:rPr>
                <w:rFonts w:cs="Arial"/>
                <w:szCs w:val="18"/>
              </w:rPr>
              <w:t>0</w:t>
            </w:r>
          </w:p>
        </w:tc>
      </w:tr>
      <w:tr w:rsidR="0002701C" w:rsidRPr="001E05F5" w14:paraId="55C02FA4" w14:textId="77777777" w:rsidTr="003E20B2">
        <w:tc>
          <w:tcPr>
            <w:tcW w:w="1701" w:type="dxa"/>
            <w:vMerge w:val="restart"/>
            <w:tcBorders>
              <w:top w:val="single" w:sz="8" w:space="0" w:color="808080"/>
              <w:bottom w:val="single" w:sz="8" w:space="0" w:color="808080"/>
              <w:right w:val="single" w:sz="4" w:space="0" w:color="A6A6A6" w:themeColor="background1" w:themeShade="A6"/>
            </w:tcBorders>
            <w:shd w:val="clear" w:color="auto" w:fill="D9D9D9" w:themeFill="background1" w:themeFillShade="D9"/>
            <w:tcMar>
              <w:left w:w="57" w:type="dxa"/>
              <w:right w:w="28" w:type="dxa"/>
            </w:tcMar>
            <w:vAlign w:val="center"/>
            <w:hideMark/>
          </w:tcPr>
          <w:p w14:paraId="4E3360EE" w14:textId="77777777" w:rsidR="0002701C" w:rsidRPr="001E05F5" w:rsidRDefault="0002701C" w:rsidP="0002701C">
            <w:pPr>
              <w:spacing w:before="40" w:after="40"/>
              <w:rPr>
                <w:rFonts w:cs="Arial"/>
                <w:color w:val="000000"/>
                <w:sz w:val="18"/>
                <w:szCs w:val="18"/>
              </w:rPr>
            </w:pPr>
            <w:r w:rsidRPr="001E05F5">
              <w:rPr>
                <w:rFonts w:cs="Arial"/>
                <w:color w:val="000000"/>
                <w:sz w:val="18"/>
                <w:szCs w:val="18"/>
              </w:rPr>
              <w:t>4.</w:t>
            </w:r>
            <w:r w:rsidRPr="001E05F5">
              <w:rPr>
                <w:color w:val="000000"/>
                <w:sz w:val="14"/>
                <w:szCs w:val="14"/>
              </w:rPr>
              <w:t xml:space="preserve"> </w:t>
            </w:r>
            <w:r w:rsidRPr="001E05F5">
              <w:rPr>
                <w:rFonts w:cs="Arial"/>
                <w:color w:val="000000"/>
                <w:sz w:val="18"/>
                <w:szCs w:val="18"/>
              </w:rPr>
              <w:t>Maximises recovery of waste</w:t>
            </w:r>
          </w:p>
        </w:tc>
        <w:tc>
          <w:tcPr>
            <w:tcW w:w="7088" w:type="dxa"/>
            <w:tcBorders>
              <w:top w:val="single" w:sz="4" w:space="0" w:color="A6A6A6" w:themeColor="background1" w:themeShade="A6"/>
              <w:left w:val="single" w:sz="4" w:space="0" w:color="A6A6A6" w:themeColor="background1" w:themeShade="A6"/>
              <w:bottom w:val="single" w:sz="8" w:space="0" w:color="808080"/>
            </w:tcBorders>
            <w:shd w:val="clear" w:color="auto" w:fill="808080" w:themeFill="background1" w:themeFillShade="80"/>
            <w:noWrap/>
            <w:tcMar>
              <w:left w:w="57" w:type="dxa"/>
              <w:right w:w="28" w:type="dxa"/>
            </w:tcMar>
            <w:vAlign w:val="center"/>
            <w:hideMark/>
          </w:tcPr>
          <w:p w14:paraId="241A6367" w14:textId="77777777" w:rsidR="0002701C" w:rsidRPr="001E05F5" w:rsidRDefault="0002701C" w:rsidP="0002701C">
            <w:pPr>
              <w:spacing w:before="40" w:after="40"/>
              <w:rPr>
                <w:rFonts w:cs="Arial"/>
                <w:b/>
                <w:bCs/>
                <w:color w:val="FFFFFF"/>
                <w:sz w:val="18"/>
                <w:szCs w:val="18"/>
              </w:rPr>
            </w:pPr>
            <w:r w:rsidRPr="001E05F5">
              <w:rPr>
                <w:rFonts w:cs="Arial"/>
                <w:b/>
                <w:bCs/>
                <w:color w:val="FFFFFF"/>
                <w:sz w:val="18"/>
                <w:szCs w:val="18"/>
              </w:rPr>
              <w:t>Evaluation Criteria</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23643133" w14:textId="03152CA5" w:rsidR="0002701C" w:rsidRPr="001E05F5" w:rsidRDefault="00263072" w:rsidP="0002701C">
            <w:pPr>
              <w:spacing w:before="40" w:after="40"/>
              <w:jc w:val="center"/>
              <w:rPr>
                <w:rFonts w:cs="Arial"/>
                <w:b/>
                <w:bCs/>
                <w:color w:val="FFFFFF"/>
                <w:sz w:val="18"/>
                <w:szCs w:val="18"/>
              </w:rPr>
            </w:pPr>
            <w:r w:rsidRPr="001E05F5">
              <w:rPr>
                <w:rFonts w:cs="Arial"/>
                <w:b/>
                <w:bCs/>
                <w:color w:val="FFFFFF"/>
                <w:sz w:val="18"/>
                <w:szCs w:val="18"/>
              </w:rPr>
              <w:t>Score</w:t>
            </w:r>
          </w:p>
        </w:tc>
      </w:tr>
      <w:tr w:rsidR="0002701C" w:rsidRPr="001E05F5" w14:paraId="56ED61E9"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48F096AC" w14:textId="77777777" w:rsidR="0002701C" w:rsidRPr="001E05F5" w:rsidRDefault="0002701C" w:rsidP="0002701C">
            <w:pPr>
              <w:pStyle w:val="TableFont"/>
              <w:keepNext/>
              <w:rPr>
                <w:rFonts w:cs="Arial"/>
                <w:szCs w:val="18"/>
              </w:rPr>
            </w:pPr>
          </w:p>
        </w:tc>
        <w:tc>
          <w:tcPr>
            <w:tcW w:w="7088" w:type="dxa"/>
            <w:tcBorders>
              <w:top w:val="single" w:sz="8" w:space="0" w:color="808080"/>
            </w:tcBorders>
            <w:shd w:val="clear" w:color="auto" w:fill="auto"/>
            <w:noWrap/>
            <w:tcMar>
              <w:left w:w="57" w:type="dxa"/>
              <w:right w:w="28" w:type="dxa"/>
            </w:tcMar>
            <w:vAlign w:val="center"/>
            <w:hideMark/>
          </w:tcPr>
          <w:p w14:paraId="50D11422" w14:textId="77777777" w:rsidR="0002701C" w:rsidRPr="001E05F5" w:rsidRDefault="0002701C" w:rsidP="0002701C">
            <w:pPr>
              <w:pStyle w:val="TableFont"/>
              <w:keepNext/>
              <w:rPr>
                <w:rFonts w:cs="Arial"/>
                <w:szCs w:val="18"/>
              </w:rPr>
            </w:pPr>
            <w:r w:rsidRPr="001E05F5">
              <w:rPr>
                <w:rFonts w:cs="Arial"/>
                <w:szCs w:val="18"/>
              </w:rPr>
              <w:t>Reasonable increase in proportion of non-recycled household waste recovered (5 – 14.99%)</w:t>
            </w:r>
          </w:p>
        </w:tc>
        <w:tc>
          <w:tcPr>
            <w:tcW w:w="647" w:type="dxa"/>
            <w:tcBorders>
              <w:top w:val="single" w:sz="8" w:space="0" w:color="808080"/>
            </w:tcBorders>
            <w:shd w:val="clear" w:color="auto" w:fill="auto"/>
            <w:noWrap/>
            <w:tcMar>
              <w:left w:w="28" w:type="dxa"/>
              <w:right w:w="28" w:type="dxa"/>
            </w:tcMar>
            <w:vAlign w:val="center"/>
            <w:hideMark/>
          </w:tcPr>
          <w:p w14:paraId="7FFE3969" w14:textId="77777777" w:rsidR="0002701C" w:rsidRPr="001E05F5" w:rsidRDefault="0002701C" w:rsidP="0002701C">
            <w:pPr>
              <w:pStyle w:val="TableFont"/>
              <w:keepNext/>
              <w:jc w:val="center"/>
              <w:rPr>
                <w:rFonts w:cs="Arial"/>
                <w:szCs w:val="18"/>
              </w:rPr>
            </w:pPr>
            <w:r w:rsidRPr="001E05F5">
              <w:rPr>
                <w:rFonts w:cs="Arial"/>
                <w:szCs w:val="18"/>
              </w:rPr>
              <w:t>5</w:t>
            </w:r>
          </w:p>
        </w:tc>
      </w:tr>
      <w:tr w:rsidR="0002701C" w:rsidRPr="001E05F5" w14:paraId="7E47A99E"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BD20FB8" w14:textId="77777777" w:rsidR="0002701C" w:rsidRPr="001E05F5" w:rsidRDefault="0002701C" w:rsidP="0002701C">
            <w:pPr>
              <w:pStyle w:val="TableFont"/>
              <w:keepNext/>
              <w:rPr>
                <w:rFonts w:cs="Arial"/>
                <w:szCs w:val="18"/>
              </w:rPr>
            </w:pPr>
          </w:p>
        </w:tc>
        <w:tc>
          <w:tcPr>
            <w:tcW w:w="7088" w:type="dxa"/>
            <w:shd w:val="clear" w:color="auto" w:fill="auto"/>
            <w:noWrap/>
            <w:tcMar>
              <w:left w:w="57" w:type="dxa"/>
              <w:right w:w="28" w:type="dxa"/>
            </w:tcMar>
            <w:vAlign w:val="center"/>
            <w:hideMark/>
          </w:tcPr>
          <w:p w14:paraId="74B1EB25" w14:textId="77777777" w:rsidR="0002701C" w:rsidRPr="001E05F5" w:rsidRDefault="0002701C" w:rsidP="0002701C">
            <w:pPr>
              <w:pStyle w:val="TableFont"/>
              <w:keepNext/>
              <w:rPr>
                <w:rFonts w:cs="Arial"/>
                <w:szCs w:val="18"/>
              </w:rPr>
            </w:pPr>
            <w:r w:rsidRPr="001E05F5">
              <w:rPr>
                <w:rFonts w:cs="Arial"/>
                <w:szCs w:val="18"/>
              </w:rPr>
              <w:t>Minor increase in proportion of non-recycled household waste recovered (1 – 4.99%)</w:t>
            </w:r>
          </w:p>
        </w:tc>
        <w:tc>
          <w:tcPr>
            <w:tcW w:w="647" w:type="dxa"/>
            <w:shd w:val="clear" w:color="auto" w:fill="auto"/>
            <w:noWrap/>
            <w:tcMar>
              <w:left w:w="28" w:type="dxa"/>
              <w:right w:w="28" w:type="dxa"/>
            </w:tcMar>
            <w:vAlign w:val="center"/>
            <w:hideMark/>
          </w:tcPr>
          <w:p w14:paraId="6896DA75" w14:textId="77777777" w:rsidR="0002701C" w:rsidRPr="001E05F5" w:rsidRDefault="0002701C" w:rsidP="0002701C">
            <w:pPr>
              <w:pStyle w:val="TableFont"/>
              <w:keepNext/>
              <w:jc w:val="center"/>
              <w:rPr>
                <w:rFonts w:cs="Arial"/>
                <w:szCs w:val="18"/>
              </w:rPr>
            </w:pPr>
            <w:r w:rsidRPr="001E05F5">
              <w:rPr>
                <w:rFonts w:cs="Arial"/>
                <w:szCs w:val="18"/>
              </w:rPr>
              <w:t>4</w:t>
            </w:r>
          </w:p>
        </w:tc>
      </w:tr>
      <w:tr w:rsidR="0002701C" w:rsidRPr="001E05F5" w14:paraId="336F931E"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1E4320EA" w14:textId="77777777" w:rsidR="0002701C" w:rsidRPr="001E05F5" w:rsidRDefault="0002701C" w:rsidP="0002701C">
            <w:pPr>
              <w:pStyle w:val="TableFont"/>
              <w:keepNext/>
              <w:rPr>
                <w:rFonts w:cs="Arial"/>
                <w:szCs w:val="18"/>
              </w:rPr>
            </w:pPr>
          </w:p>
        </w:tc>
        <w:tc>
          <w:tcPr>
            <w:tcW w:w="7088" w:type="dxa"/>
            <w:shd w:val="clear" w:color="auto" w:fill="auto"/>
            <w:noWrap/>
            <w:tcMar>
              <w:left w:w="57" w:type="dxa"/>
              <w:right w:w="28" w:type="dxa"/>
            </w:tcMar>
            <w:vAlign w:val="center"/>
            <w:hideMark/>
          </w:tcPr>
          <w:p w14:paraId="10527712" w14:textId="77777777" w:rsidR="0002701C" w:rsidRPr="001E05F5" w:rsidRDefault="0002701C" w:rsidP="0002701C">
            <w:pPr>
              <w:pStyle w:val="TableFont"/>
              <w:keepNext/>
              <w:rPr>
                <w:rFonts w:cs="Arial"/>
                <w:szCs w:val="18"/>
              </w:rPr>
            </w:pPr>
            <w:r w:rsidRPr="001E05F5">
              <w:rPr>
                <w:rFonts w:cs="Arial"/>
                <w:szCs w:val="18"/>
              </w:rPr>
              <w:t>No change in proportion of non-recycled household waste recovered (+/- 0.99%)</w:t>
            </w:r>
          </w:p>
        </w:tc>
        <w:tc>
          <w:tcPr>
            <w:tcW w:w="647" w:type="dxa"/>
            <w:shd w:val="clear" w:color="auto" w:fill="auto"/>
            <w:noWrap/>
            <w:tcMar>
              <w:left w:w="28" w:type="dxa"/>
              <w:right w:w="28" w:type="dxa"/>
            </w:tcMar>
            <w:vAlign w:val="center"/>
            <w:hideMark/>
          </w:tcPr>
          <w:p w14:paraId="46AE9AA5" w14:textId="77777777" w:rsidR="0002701C" w:rsidRPr="001E05F5" w:rsidRDefault="0002701C" w:rsidP="0002701C">
            <w:pPr>
              <w:pStyle w:val="TableFont"/>
              <w:keepNext/>
              <w:jc w:val="center"/>
              <w:rPr>
                <w:rFonts w:cs="Arial"/>
                <w:szCs w:val="18"/>
              </w:rPr>
            </w:pPr>
            <w:r w:rsidRPr="001E05F5">
              <w:rPr>
                <w:rFonts w:cs="Arial"/>
                <w:szCs w:val="18"/>
              </w:rPr>
              <w:t>3</w:t>
            </w:r>
          </w:p>
        </w:tc>
      </w:tr>
      <w:tr w:rsidR="0002701C" w:rsidRPr="001E05F5" w14:paraId="7609BECF"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A6BC44F"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7356DF71" w14:textId="77777777" w:rsidR="0002701C" w:rsidRPr="001E05F5" w:rsidRDefault="0002701C" w:rsidP="0002701C">
            <w:pPr>
              <w:pStyle w:val="TableFont"/>
              <w:rPr>
                <w:rFonts w:cs="Arial"/>
                <w:szCs w:val="18"/>
              </w:rPr>
            </w:pPr>
            <w:r w:rsidRPr="001E05F5">
              <w:rPr>
                <w:rFonts w:cs="Arial"/>
                <w:szCs w:val="18"/>
              </w:rPr>
              <w:t>Minor decrease in proportion of non-recycled household waste recovered (1 – 4.99%)</w:t>
            </w:r>
          </w:p>
        </w:tc>
        <w:tc>
          <w:tcPr>
            <w:tcW w:w="647" w:type="dxa"/>
            <w:shd w:val="clear" w:color="auto" w:fill="auto"/>
            <w:noWrap/>
            <w:tcMar>
              <w:left w:w="28" w:type="dxa"/>
              <w:right w:w="28" w:type="dxa"/>
            </w:tcMar>
            <w:vAlign w:val="center"/>
            <w:hideMark/>
          </w:tcPr>
          <w:p w14:paraId="66C6DC99" w14:textId="77777777" w:rsidR="0002701C" w:rsidRPr="001E05F5" w:rsidRDefault="0002701C" w:rsidP="0002701C">
            <w:pPr>
              <w:pStyle w:val="TableFont"/>
              <w:jc w:val="center"/>
              <w:rPr>
                <w:rFonts w:cs="Arial"/>
                <w:szCs w:val="18"/>
              </w:rPr>
            </w:pPr>
            <w:r w:rsidRPr="001E05F5">
              <w:rPr>
                <w:rFonts w:cs="Arial"/>
                <w:szCs w:val="18"/>
              </w:rPr>
              <w:t>2</w:t>
            </w:r>
          </w:p>
        </w:tc>
      </w:tr>
      <w:tr w:rsidR="0002701C" w:rsidRPr="001E05F5" w14:paraId="74FFD19B"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EE9F43F"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204C0834" w14:textId="77777777" w:rsidR="0002701C" w:rsidRPr="001E05F5" w:rsidRDefault="0002701C" w:rsidP="0002701C">
            <w:pPr>
              <w:pStyle w:val="TableFont"/>
              <w:rPr>
                <w:rFonts w:cs="Arial"/>
                <w:szCs w:val="18"/>
              </w:rPr>
            </w:pPr>
            <w:r w:rsidRPr="001E05F5">
              <w:rPr>
                <w:rFonts w:cs="Arial"/>
                <w:szCs w:val="18"/>
              </w:rPr>
              <w:t>Reasonable decrease in proportion of non-recycled household waste recovered (5 – 14.99%)</w:t>
            </w:r>
          </w:p>
        </w:tc>
        <w:tc>
          <w:tcPr>
            <w:tcW w:w="647" w:type="dxa"/>
            <w:shd w:val="clear" w:color="auto" w:fill="auto"/>
            <w:noWrap/>
            <w:tcMar>
              <w:left w:w="28" w:type="dxa"/>
              <w:right w:w="28" w:type="dxa"/>
            </w:tcMar>
            <w:vAlign w:val="center"/>
            <w:hideMark/>
          </w:tcPr>
          <w:p w14:paraId="1FE37B59" w14:textId="77777777" w:rsidR="0002701C" w:rsidRPr="001E05F5" w:rsidRDefault="0002701C" w:rsidP="0002701C">
            <w:pPr>
              <w:pStyle w:val="TableFont"/>
              <w:jc w:val="center"/>
              <w:rPr>
                <w:rFonts w:cs="Arial"/>
                <w:szCs w:val="18"/>
              </w:rPr>
            </w:pPr>
            <w:r w:rsidRPr="001E05F5">
              <w:rPr>
                <w:rFonts w:cs="Arial"/>
                <w:szCs w:val="18"/>
              </w:rPr>
              <w:t>1</w:t>
            </w:r>
          </w:p>
        </w:tc>
      </w:tr>
      <w:tr w:rsidR="0002701C" w:rsidRPr="001E05F5" w14:paraId="721259B8"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15192411"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auto" w:fill="auto"/>
            <w:noWrap/>
            <w:tcMar>
              <w:left w:w="57" w:type="dxa"/>
              <w:right w:w="28" w:type="dxa"/>
            </w:tcMar>
            <w:vAlign w:val="center"/>
            <w:hideMark/>
          </w:tcPr>
          <w:p w14:paraId="0089644A" w14:textId="77777777" w:rsidR="0002701C" w:rsidRPr="001E05F5" w:rsidRDefault="0002701C" w:rsidP="0002701C">
            <w:pPr>
              <w:pStyle w:val="TableFont"/>
              <w:rPr>
                <w:rFonts w:cs="Arial"/>
                <w:szCs w:val="18"/>
              </w:rPr>
            </w:pPr>
            <w:r w:rsidRPr="001E05F5">
              <w:rPr>
                <w:rFonts w:cs="Arial"/>
                <w:szCs w:val="18"/>
              </w:rPr>
              <w:t>High decrease in proportion of non-recycled household waste recovered (&gt;15%)</w:t>
            </w:r>
          </w:p>
        </w:tc>
        <w:tc>
          <w:tcPr>
            <w:tcW w:w="647" w:type="dxa"/>
            <w:tcBorders>
              <w:bottom w:val="single" w:sz="4" w:space="0" w:color="A6A6A6" w:themeColor="background1" w:themeShade="A6"/>
            </w:tcBorders>
            <w:shd w:val="clear" w:color="auto" w:fill="auto"/>
            <w:noWrap/>
            <w:tcMar>
              <w:left w:w="28" w:type="dxa"/>
              <w:right w:w="28" w:type="dxa"/>
            </w:tcMar>
            <w:vAlign w:val="center"/>
            <w:hideMark/>
          </w:tcPr>
          <w:p w14:paraId="31D922A1" w14:textId="77777777" w:rsidR="0002701C" w:rsidRPr="001E05F5" w:rsidRDefault="0002701C" w:rsidP="0002701C">
            <w:pPr>
              <w:pStyle w:val="TableFont"/>
              <w:jc w:val="center"/>
              <w:rPr>
                <w:rFonts w:cs="Arial"/>
                <w:szCs w:val="18"/>
              </w:rPr>
            </w:pPr>
            <w:r w:rsidRPr="001E05F5">
              <w:rPr>
                <w:rFonts w:cs="Arial"/>
                <w:szCs w:val="18"/>
              </w:rPr>
              <w:t>0</w:t>
            </w:r>
          </w:p>
        </w:tc>
      </w:tr>
      <w:tr w:rsidR="0002701C" w:rsidRPr="001E05F5" w14:paraId="045AD1EB" w14:textId="77777777" w:rsidTr="003E20B2">
        <w:tc>
          <w:tcPr>
            <w:tcW w:w="1701" w:type="dxa"/>
            <w:vMerge w:val="restart"/>
            <w:tcBorders>
              <w:top w:val="single" w:sz="8" w:space="0" w:color="808080"/>
              <w:bottom w:val="single" w:sz="8" w:space="0" w:color="808080"/>
              <w:right w:val="single" w:sz="4" w:space="0" w:color="A6A6A6" w:themeColor="background1" w:themeShade="A6"/>
            </w:tcBorders>
            <w:shd w:val="clear" w:color="auto" w:fill="D9D9D9" w:themeFill="background1" w:themeFillShade="D9"/>
            <w:tcMar>
              <w:left w:w="57" w:type="dxa"/>
              <w:right w:w="28" w:type="dxa"/>
            </w:tcMar>
            <w:vAlign w:val="center"/>
            <w:hideMark/>
          </w:tcPr>
          <w:p w14:paraId="4508EE61" w14:textId="77777777" w:rsidR="0002701C" w:rsidRPr="001E05F5" w:rsidRDefault="0002701C" w:rsidP="0002701C">
            <w:pPr>
              <w:spacing w:before="40" w:after="40"/>
              <w:rPr>
                <w:rFonts w:cs="Arial"/>
                <w:color w:val="000000"/>
                <w:sz w:val="18"/>
                <w:szCs w:val="18"/>
              </w:rPr>
            </w:pPr>
            <w:r w:rsidRPr="001E05F5">
              <w:rPr>
                <w:rFonts w:cs="Arial"/>
                <w:color w:val="000000"/>
                <w:sz w:val="18"/>
                <w:szCs w:val="18"/>
              </w:rPr>
              <w:t>5.</w:t>
            </w:r>
            <w:r w:rsidRPr="001E05F5">
              <w:rPr>
                <w:color w:val="000000"/>
                <w:sz w:val="14"/>
                <w:szCs w:val="14"/>
              </w:rPr>
              <w:t xml:space="preserve"> </w:t>
            </w:r>
            <w:r w:rsidRPr="001E05F5">
              <w:rPr>
                <w:rFonts w:cs="Arial"/>
                <w:color w:val="000000"/>
                <w:sz w:val="18"/>
                <w:szCs w:val="18"/>
              </w:rPr>
              <w:t>Working towards zero waste to landfill</w:t>
            </w:r>
          </w:p>
        </w:tc>
        <w:tc>
          <w:tcPr>
            <w:tcW w:w="7088" w:type="dxa"/>
            <w:tcBorders>
              <w:top w:val="single" w:sz="4" w:space="0" w:color="A6A6A6" w:themeColor="background1" w:themeShade="A6"/>
              <w:left w:val="single" w:sz="4" w:space="0" w:color="A6A6A6" w:themeColor="background1" w:themeShade="A6"/>
              <w:bottom w:val="single" w:sz="8" w:space="0" w:color="808080"/>
            </w:tcBorders>
            <w:shd w:val="clear" w:color="auto" w:fill="808080" w:themeFill="background1" w:themeFillShade="80"/>
            <w:noWrap/>
            <w:tcMar>
              <w:left w:w="57" w:type="dxa"/>
              <w:right w:w="28" w:type="dxa"/>
            </w:tcMar>
            <w:vAlign w:val="center"/>
            <w:hideMark/>
          </w:tcPr>
          <w:p w14:paraId="02ADCB25" w14:textId="77777777" w:rsidR="0002701C" w:rsidRPr="001E05F5" w:rsidRDefault="0002701C" w:rsidP="0002701C">
            <w:pPr>
              <w:spacing w:before="40" w:after="40"/>
              <w:rPr>
                <w:rFonts w:cs="Arial"/>
                <w:b/>
                <w:bCs/>
                <w:color w:val="FFFFFF"/>
                <w:sz w:val="18"/>
                <w:szCs w:val="18"/>
              </w:rPr>
            </w:pPr>
            <w:r w:rsidRPr="001E05F5">
              <w:rPr>
                <w:rFonts w:cs="Arial"/>
                <w:b/>
                <w:bCs/>
                <w:color w:val="FFFFFF"/>
                <w:sz w:val="18"/>
                <w:szCs w:val="18"/>
              </w:rPr>
              <w:t xml:space="preserve">Evaluation Criteria </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6056FDFE" w14:textId="5E5E68F7" w:rsidR="0002701C" w:rsidRPr="001E05F5" w:rsidRDefault="00263072" w:rsidP="0002701C">
            <w:pPr>
              <w:spacing w:before="40" w:after="40"/>
              <w:jc w:val="center"/>
              <w:rPr>
                <w:rFonts w:cs="Arial"/>
                <w:b/>
                <w:bCs/>
                <w:color w:val="FFFFFF"/>
                <w:sz w:val="18"/>
                <w:szCs w:val="18"/>
              </w:rPr>
            </w:pPr>
            <w:r w:rsidRPr="001E05F5">
              <w:rPr>
                <w:rFonts w:cs="Arial"/>
                <w:b/>
                <w:bCs/>
                <w:color w:val="FFFFFF"/>
                <w:sz w:val="18"/>
                <w:szCs w:val="18"/>
              </w:rPr>
              <w:t>Score</w:t>
            </w:r>
          </w:p>
        </w:tc>
      </w:tr>
      <w:tr w:rsidR="0002701C" w:rsidRPr="001E05F5" w14:paraId="6E020CB8"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2B33EA48" w14:textId="77777777" w:rsidR="0002701C" w:rsidRPr="001E05F5" w:rsidRDefault="0002701C" w:rsidP="0002701C">
            <w:pPr>
              <w:pStyle w:val="TableFont"/>
              <w:keepNext/>
              <w:keepLines/>
              <w:rPr>
                <w:rFonts w:cs="Arial"/>
                <w:szCs w:val="18"/>
              </w:rPr>
            </w:pPr>
          </w:p>
        </w:tc>
        <w:tc>
          <w:tcPr>
            <w:tcW w:w="7088" w:type="dxa"/>
            <w:tcBorders>
              <w:top w:val="single" w:sz="8" w:space="0" w:color="808080"/>
            </w:tcBorders>
            <w:shd w:val="clear" w:color="auto" w:fill="auto"/>
            <w:noWrap/>
            <w:tcMar>
              <w:left w:w="57" w:type="dxa"/>
              <w:right w:w="28" w:type="dxa"/>
            </w:tcMar>
            <w:vAlign w:val="center"/>
            <w:hideMark/>
          </w:tcPr>
          <w:p w14:paraId="01AF91B2" w14:textId="77777777" w:rsidR="0002701C" w:rsidRPr="001E05F5" w:rsidRDefault="0002701C" w:rsidP="0002701C">
            <w:pPr>
              <w:pStyle w:val="TableFont"/>
              <w:keepNext/>
              <w:keepLines/>
              <w:rPr>
                <w:rFonts w:cs="Arial"/>
                <w:szCs w:val="18"/>
              </w:rPr>
            </w:pPr>
            <w:r w:rsidRPr="001E05F5">
              <w:rPr>
                <w:rFonts w:cs="Arial"/>
                <w:szCs w:val="18"/>
              </w:rPr>
              <w:t>High decrease in waste to landfill (2.5 - 5%)</w:t>
            </w:r>
          </w:p>
        </w:tc>
        <w:tc>
          <w:tcPr>
            <w:tcW w:w="647" w:type="dxa"/>
            <w:tcBorders>
              <w:top w:val="single" w:sz="8" w:space="0" w:color="808080"/>
            </w:tcBorders>
            <w:shd w:val="clear" w:color="auto" w:fill="auto"/>
            <w:noWrap/>
            <w:tcMar>
              <w:left w:w="28" w:type="dxa"/>
              <w:right w:w="28" w:type="dxa"/>
            </w:tcMar>
            <w:vAlign w:val="center"/>
            <w:hideMark/>
          </w:tcPr>
          <w:p w14:paraId="4774FC5B" w14:textId="77777777" w:rsidR="0002701C" w:rsidRPr="001E05F5" w:rsidRDefault="0002701C" w:rsidP="0002701C">
            <w:pPr>
              <w:pStyle w:val="TableFont"/>
              <w:keepNext/>
              <w:keepLines/>
              <w:jc w:val="center"/>
              <w:rPr>
                <w:rFonts w:cs="Arial"/>
                <w:szCs w:val="18"/>
              </w:rPr>
            </w:pPr>
            <w:r w:rsidRPr="001E05F5">
              <w:rPr>
                <w:rFonts w:cs="Arial"/>
                <w:szCs w:val="18"/>
              </w:rPr>
              <w:t>5</w:t>
            </w:r>
          </w:p>
        </w:tc>
      </w:tr>
      <w:tr w:rsidR="0002701C" w:rsidRPr="001E05F5" w14:paraId="27E1328B"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FAEE1A2" w14:textId="77777777" w:rsidR="0002701C" w:rsidRPr="001E05F5" w:rsidRDefault="0002701C" w:rsidP="0002701C">
            <w:pPr>
              <w:pStyle w:val="TableFont"/>
              <w:keepNext/>
              <w:keepLines/>
              <w:rPr>
                <w:rFonts w:cs="Arial"/>
                <w:szCs w:val="18"/>
              </w:rPr>
            </w:pPr>
          </w:p>
        </w:tc>
        <w:tc>
          <w:tcPr>
            <w:tcW w:w="7088" w:type="dxa"/>
            <w:shd w:val="clear" w:color="auto" w:fill="auto"/>
            <w:noWrap/>
            <w:tcMar>
              <w:left w:w="57" w:type="dxa"/>
              <w:right w:w="28" w:type="dxa"/>
            </w:tcMar>
            <w:vAlign w:val="center"/>
            <w:hideMark/>
          </w:tcPr>
          <w:p w14:paraId="5312E82E" w14:textId="77777777" w:rsidR="0002701C" w:rsidRPr="001E05F5" w:rsidRDefault="0002701C" w:rsidP="0002701C">
            <w:pPr>
              <w:pStyle w:val="TableFont"/>
              <w:keepNext/>
              <w:keepLines/>
              <w:rPr>
                <w:rFonts w:cs="Arial"/>
                <w:szCs w:val="18"/>
              </w:rPr>
            </w:pPr>
            <w:r w:rsidRPr="001E05F5">
              <w:rPr>
                <w:rFonts w:cs="Arial"/>
                <w:szCs w:val="18"/>
              </w:rPr>
              <w:t>Medium decrease in waste to landfill (1 - 2.49%)</w:t>
            </w:r>
          </w:p>
        </w:tc>
        <w:tc>
          <w:tcPr>
            <w:tcW w:w="647" w:type="dxa"/>
            <w:shd w:val="clear" w:color="auto" w:fill="auto"/>
            <w:noWrap/>
            <w:tcMar>
              <w:left w:w="28" w:type="dxa"/>
              <w:right w:w="28" w:type="dxa"/>
            </w:tcMar>
            <w:vAlign w:val="center"/>
            <w:hideMark/>
          </w:tcPr>
          <w:p w14:paraId="17620EDF" w14:textId="77777777" w:rsidR="0002701C" w:rsidRPr="001E05F5" w:rsidRDefault="0002701C" w:rsidP="0002701C">
            <w:pPr>
              <w:pStyle w:val="TableFont"/>
              <w:keepNext/>
              <w:keepLines/>
              <w:jc w:val="center"/>
              <w:rPr>
                <w:rFonts w:cs="Arial"/>
                <w:szCs w:val="18"/>
              </w:rPr>
            </w:pPr>
            <w:r w:rsidRPr="001E05F5">
              <w:rPr>
                <w:rFonts w:cs="Arial"/>
                <w:szCs w:val="18"/>
              </w:rPr>
              <w:t>4</w:t>
            </w:r>
          </w:p>
        </w:tc>
      </w:tr>
      <w:tr w:rsidR="0002701C" w:rsidRPr="001E05F5" w14:paraId="25189428"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055CB473" w14:textId="77777777" w:rsidR="0002701C" w:rsidRPr="001E05F5" w:rsidRDefault="0002701C" w:rsidP="0002701C">
            <w:pPr>
              <w:pStyle w:val="TableFont"/>
              <w:keepNext/>
              <w:keepLines/>
              <w:rPr>
                <w:rFonts w:cs="Arial"/>
                <w:szCs w:val="18"/>
              </w:rPr>
            </w:pPr>
          </w:p>
        </w:tc>
        <w:tc>
          <w:tcPr>
            <w:tcW w:w="7088" w:type="dxa"/>
            <w:shd w:val="clear" w:color="auto" w:fill="auto"/>
            <w:noWrap/>
            <w:tcMar>
              <w:left w:w="57" w:type="dxa"/>
              <w:right w:w="28" w:type="dxa"/>
            </w:tcMar>
            <w:vAlign w:val="center"/>
            <w:hideMark/>
          </w:tcPr>
          <w:p w14:paraId="50834ADC" w14:textId="77777777" w:rsidR="0002701C" w:rsidRPr="001E05F5" w:rsidRDefault="0002701C" w:rsidP="0002701C">
            <w:pPr>
              <w:pStyle w:val="TableFont"/>
              <w:keepNext/>
              <w:keepLines/>
              <w:rPr>
                <w:rFonts w:cs="Arial"/>
                <w:szCs w:val="18"/>
              </w:rPr>
            </w:pPr>
            <w:r w:rsidRPr="001E05F5">
              <w:rPr>
                <w:rFonts w:cs="Arial"/>
                <w:szCs w:val="18"/>
              </w:rPr>
              <w:t>Reasonable decrease in waste to landfill (0.5 – 0.99%)</w:t>
            </w:r>
          </w:p>
        </w:tc>
        <w:tc>
          <w:tcPr>
            <w:tcW w:w="647" w:type="dxa"/>
            <w:shd w:val="clear" w:color="auto" w:fill="auto"/>
            <w:noWrap/>
            <w:tcMar>
              <w:left w:w="28" w:type="dxa"/>
              <w:right w:w="28" w:type="dxa"/>
            </w:tcMar>
            <w:vAlign w:val="center"/>
            <w:hideMark/>
          </w:tcPr>
          <w:p w14:paraId="57DBC4C5" w14:textId="77777777" w:rsidR="0002701C" w:rsidRPr="001E05F5" w:rsidRDefault="0002701C" w:rsidP="0002701C">
            <w:pPr>
              <w:pStyle w:val="TableFont"/>
              <w:keepNext/>
              <w:keepLines/>
              <w:jc w:val="center"/>
              <w:rPr>
                <w:rFonts w:cs="Arial"/>
                <w:szCs w:val="18"/>
              </w:rPr>
            </w:pPr>
            <w:r w:rsidRPr="001E05F5">
              <w:rPr>
                <w:rFonts w:cs="Arial"/>
                <w:szCs w:val="18"/>
              </w:rPr>
              <w:t>3</w:t>
            </w:r>
          </w:p>
        </w:tc>
      </w:tr>
      <w:tr w:rsidR="0002701C" w:rsidRPr="001E05F5" w14:paraId="6FFBE871"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AF88D29"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6C4C346F" w14:textId="77777777" w:rsidR="0002701C" w:rsidRPr="001E05F5" w:rsidRDefault="0002701C" w:rsidP="0002701C">
            <w:pPr>
              <w:pStyle w:val="TableFont"/>
              <w:rPr>
                <w:rFonts w:cs="Arial"/>
                <w:szCs w:val="18"/>
              </w:rPr>
            </w:pPr>
            <w:r w:rsidRPr="001E05F5">
              <w:rPr>
                <w:rFonts w:cs="Arial"/>
                <w:szCs w:val="18"/>
              </w:rPr>
              <w:t>Minor decrease in waste to landfill (&lt;0.5%)</w:t>
            </w:r>
          </w:p>
        </w:tc>
        <w:tc>
          <w:tcPr>
            <w:tcW w:w="647" w:type="dxa"/>
            <w:shd w:val="clear" w:color="auto" w:fill="auto"/>
            <w:noWrap/>
            <w:tcMar>
              <w:left w:w="28" w:type="dxa"/>
              <w:right w:w="28" w:type="dxa"/>
            </w:tcMar>
            <w:vAlign w:val="center"/>
            <w:hideMark/>
          </w:tcPr>
          <w:p w14:paraId="42847EA9" w14:textId="77777777" w:rsidR="0002701C" w:rsidRPr="001E05F5" w:rsidRDefault="0002701C" w:rsidP="0002701C">
            <w:pPr>
              <w:pStyle w:val="TableFont"/>
              <w:jc w:val="center"/>
              <w:rPr>
                <w:rFonts w:cs="Arial"/>
                <w:szCs w:val="18"/>
              </w:rPr>
            </w:pPr>
            <w:r w:rsidRPr="001E05F5">
              <w:rPr>
                <w:rFonts w:cs="Arial"/>
                <w:szCs w:val="18"/>
              </w:rPr>
              <w:t>2</w:t>
            </w:r>
          </w:p>
        </w:tc>
      </w:tr>
      <w:tr w:rsidR="0002701C" w:rsidRPr="001E05F5" w14:paraId="3376B554"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2E112918"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636242E0" w14:textId="77777777" w:rsidR="0002701C" w:rsidRPr="001E05F5" w:rsidRDefault="0002701C" w:rsidP="0002701C">
            <w:pPr>
              <w:pStyle w:val="TableFont"/>
              <w:rPr>
                <w:rFonts w:cs="Arial"/>
                <w:szCs w:val="18"/>
              </w:rPr>
            </w:pPr>
            <w:r w:rsidRPr="001E05F5">
              <w:rPr>
                <w:rFonts w:cs="Arial"/>
                <w:szCs w:val="18"/>
              </w:rPr>
              <w:t>No change in landfill diversion</w:t>
            </w:r>
          </w:p>
        </w:tc>
        <w:tc>
          <w:tcPr>
            <w:tcW w:w="647" w:type="dxa"/>
            <w:shd w:val="clear" w:color="auto" w:fill="auto"/>
            <w:noWrap/>
            <w:tcMar>
              <w:left w:w="28" w:type="dxa"/>
              <w:right w:w="28" w:type="dxa"/>
            </w:tcMar>
            <w:vAlign w:val="center"/>
            <w:hideMark/>
          </w:tcPr>
          <w:p w14:paraId="4BAC7E51" w14:textId="77777777" w:rsidR="0002701C" w:rsidRPr="001E05F5" w:rsidRDefault="0002701C" w:rsidP="0002701C">
            <w:pPr>
              <w:pStyle w:val="TableFont"/>
              <w:jc w:val="center"/>
              <w:rPr>
                <w:rFonts w:cs="Arial"/>
                <w:szCs w:val="18"/>
              </w:rPr>
            </w:pPr>
            <w:r w:rsidRPr="001E05F5">
              <w:rPr>
                <w:rFonts w:cs="Arial"/>
                <w:szCs w:val="18"/>
              </w:rPr>
              <w:t>1</w:t>
            </w:r>
          </w:p>
        </w:tc>
      </w:tr>
      <w:tr w:rsidR="0002701C" w:rsidRPr="001E05F5" w14:paraId="06807A74"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C17316D"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auto" w:fill="auto"/>
            <w:noWrap/>
            <w:tcMar>
              <w:left w:w="57" w:type="dxa"/>
              <w:right w:w="28" w:type="dxa"/>
            </w:tcMar>
            <w:vAlign w:val="center"/>
            <w:hideMark/>
          </w:tcPr>
          <w:p w14:paraId="50D0219A" w14:textId="77777777" w:rsidR="0002701C" w:rsidRPr="001E05F5" w:rsidRDefault="0002701C" w:rsidP="0002701C">
            <w:pPr>
              <w:pStyle w:val="TableFont"/>
              <w:rPr>
                <w:rFonts w:cs="Arial"/>
                <w:szCs w:val="18"/>
              </w:rPr>
            </w:pPr>
            <w:r w:rsidRPr="001E05F5">
              <w:rPr>
                <w:rFonts w:cs="Arial"/>
                <w:szCs w:val="18"/>
              </w:rPr>
              <w:t>Increase in waste to landfill</w:t>
            </w:r>
          </w:p>
        </w:tc>
        <w:tc>
          <w:tcPr>
            <w:tcW w:w="647" w:type="dxa"/>
            <w:tcBorders>
              <w:bottom w:val="single" w:sz="4" w:space="0" w:color="A6A6A6" w:themeColor="background1" w:themeShade="A6"/>
            </w:tcBorders>
            <w:shd w:val="clear" w:color="auto" w:fill="auto"/>
            <w:noWrap/>
            <w:tcMar>
              <w:left w:w="28" w:type="dxa"/>
              <w:right w:w="28" w:type="dxa"/>
            </w:tcMar>
            <w:vAlign w:val="center"/>
            <w:hideMark/>
          </w:tcPr>
          <w:p w14:paraId="5BA5E64A" w14:textId="77777777" w:rsidR="0002701C" w:rsidRPr="001E05F5" w:rsidRDefault="0002701C" w:rsidP="0002701C">
            <w:pPr>
              <w:pStyle w:val="TableFont"/>
              <w:jc w:val="center"/>
              <w:rPr>
                <w:rFonts w:cs="Arial"/>
                <w:szCs w:val="18"/>
              </w:rPr>
            </w:pPr>
            <w:r w:rsidRPr="001E05F5">
              <w:rPr>
                <w:rFonts w:cs="Arial"/>
                <w:szCs w:val="18"/>
              </w:rPr>
              <w:t>0</w:t>
            </w:r>
          </w:p>
        </w:tc>
      </w:tr>
      <w:tr w:rsidR="0002701C" w:rsidRPr="001E05F5" w14:paraId="34083EB4" w14:textId="77777777" w:rsidTr="003E20B2">
        <w:tc>
          <w:tcPr>
            <w:tcW w:w="1701" w:type="dxa"/>
            <w:vMerge w:val="restart"/>
            <w:tcBorders>
              <w:top w:val="single" w:sz="8" w:space="0" w:color="808080"/>
              <w:bottom w:val="single" w:sz="8" w:space="0" w:color="808080"/>
              <w:right w:val="single" w:sz="4" w:space="0" w:color="A6A6A6" w:themeColor="background1" w:themeShade="A6"/>
            </w:tcBorders>
            <w:shd w:val="clear" w:color="auto" w:fill="D9D9D9" w:themeFill="background1" w:themeFillShade="D9"/>
            <w:tcMar>
              <w:left w:w="57" w:type="dxa"/>
              <w:right w:w="28" w:type="dxa"/>
            </w:tcMar>
            <w:vAlign w:val="center"/>
            <w:hideMark/>
          </w:tcPr>
          <w:p w14:paraId="09E67841" w14:textId="77777777" w:rsidR="0002701C" w:rsidRPr="001E05F5" w:rsidRDefault="0002701C" w:rsidP="003E20B2">
            <w:pPr>
              <w:keepNext/>
              <w:keepLines/>
              <w:spacing w:before="40" w:after="40"/>
              <w:rPr>
                <w:rFonts w:cs="Arial"/>
                <w:color w:val="000000"/>
                <w:sz w:val="18"/>
                <w:szCs w:val="18"/>
              </w:rPr>
            </w:pPr>
            <w:r w:rsidRPr="001E05F5">
              <w:rPr>
                <w:rFonts w:cs="Arial"/>
                <w:color w:val="000000"/>
                <w:sz w:val="18"/>
                <w:szCs w:val="18"/>
              </w:rPr>
              <w:lastRenderedPageBreak/>
              <w:t>6.</w:t>
            </w:r>
            <w:r w:rsidRPr="001E05F5">
              <w:rPr>
                <w:color w:val="000000"/>
                <w:sz w:val="14"/>
                <w:szCs w:val="14"/>
              </w:rPr>
              <w:t> </w:t>
            </w:r>
            <w:r w:rsidRPr="001E05F5">
              <w:rPr>
                <w:rFonts w:cs="Arial"/>
                <w:color w:val="000000"/>
                <w:sz w:val="18"/>
                <w:szCs w:val="18"/>
              </w:rPr>
              <w:t>Economic regeneration, including employment and a more circular economy</w:t>
            </w:r>
          </w:p>
        </w:tc>
        <w:tc>
          <w:tcPr>
            <w:tcW w:w="7088" w:type="dxa"/>
            <w:tcBorders>
              <w:top w:val="single" w:sz="4" w:space="0" w:color="A6A6A6" w:themeColor="background1" w:themeShade="A6"/>
              <w:left w:val="single" w:sz="4" w:space="0" w:color="A6A6A6" w:themeColor="background1" w:themeShade="A6"/>
              <w:bottom w:val="single" w:sz="8" w:space="0" w:color="808080"/>
            </w:tcBorders>
            <w:shd w:val="clear" w:color="auto" w:fill="808080" w:themeFill="background1" w:themeFillShade="80"/>
            <w:noWrap/>
            <w:tcMar>
              <w:left w:w="57" w:type="dxa"/>
              <w:right w:w="28" w:type="dxa"/>
            </w:tcMar>
            <w:vAlign w:val="center"/>
            <w:hideMark/>
          </w:tcPr>
          <w:p w14:paraId="69A00D5C" w14:textId="77777777" w:rsidR="0002701C" w:rsidRPr="001E05F5" w:rsidRDefault="0002701C" w:rsidP="003E20B2">
            <w:pPr>
              <w:keepNext/>
              <w:keepLines/>
              <w:spacing w:before="40" w:after="40"/>
              <w:rPr>
                <w:rFonts w:cs="Arial"/>
                <w:b/>
                <w:bCs/>
                <w:color w:val="FFFFFF"/>
                <w:sz w:val="18"/>
                <w:szCs w:val="18"/>
              </w:rPr>
            </w:pPr>
            <w:r w:rsidRPr="001E05F5">
              <w:rPr>
                <w:rFonts w:cs="Arial"/>
                <w:b/>
                <w:bCs/>
                <w:color w:val="FFFFFF"/>
                <w:sz w:val="18"/>
                <w:szCs w:val="18"/>
              </w:rPr>
              <w:t>Evaluation Criteria</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3C2D61A8" w14:textId="66EDC052" w:rsidR="0002701C" w:rsidRPr="001E05F5" w:rsidRDefault="00263072" w:rsidP="003E20B2">
            <w:pPr>
              <w:keepNext/>
              <w:keepLines/>
              <w:spacing w:before="40" w:after="40"/>
              <w:jc w:val="center"/>
              <w:rPr>
                <w:rFonts w:cs="Arial"/>
                <w:b/>
                <w:bCs/>
                <w:color w:val="FFFFFF"/>
                <w:sz w:val="18"/>
                <w:szCs w:val="18"/>
              </w:rPr>
            </w:pPr>
            <w:r w:rsidRPr="001E05F5">
              <w:rPr>
                <w:rFonts w:cs="Arial"/>
                <w:b/>
                <w:bCs/>
                <w:color w:val="FFFFFF"/>
                <w:sz w:val="18"/>
                <w:szCs w:val="18"/>
              </w:rPr>
              <w:t>Score</w:t>
            </w:r>
          </w:p>
        </w:tc>
      </w:tr>
      <w:tr w:rsidR="0002701C" w:rsidRPr="001E05F5" w14:paraId="7868644B"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B5A3C9C" w14:textId="77777777" w:rsidR="0002701C" w:rsidRPr="001E05F5" w:rsidRDefault="0002701C" w:rsidP="0002701C">
            <w:pPr>
              <w:pStyle w:val="TableFont"/>
              <w:keepNext/>
              <w:keepLines/>
              <w:rPr>
                <w:rFonts w:cs="Arial"/>
                <w:szCs w:val="18"/>
              </w:rPr>
            </w:pPr>
          </w:p>
        </w:tc>
        <w:tc>
          <w:tcPr>
            <w:tcW w:w="7088" w:type="dxa"/>
            <w:tcBorders>
              <w:top w:val="single" w:sz="8" w:space="0" w:color="808080"/>
            </w:tcBorders>
            <w:shd w:val="clear" w:color="auto" w:fill="auto"/>
            <w:noWrap/>
            <w:tcMar>
              <w:left w:w="57" w:type="dxa"/>
              <w:right w:w="28" w:type="dxa"/>
            </w:tcMar>
            <w:vAlign w:val="center"/>
            <w:hideMark/>
          </w:tcPr>
          <w:p w14:paraId="0FD3EF83" w14:textId="77777777" w:rsidR="0002701C" w:rsidRPr="001E05F5" w:rsidRDefault="0002701C" w:rsidP="003E20B2">
            <w:pPr>
              <w:pStyle w:val="TableFont"/>
              <w:keepNext/>
              <w:keepLines/>
              <w:rPr>
                <w:rFonts w:cs="Arial"/>
                <w:szCs w:val="18"/>
              </w:rPr>
            </w:pPr>
            <w:r w:rsidRPr="001E05F5">
              <w:rPr>
                <w:rFonts w:cs="Arial"/>
                <w:szCs w:val="18"/>
              </w:rPr>
              <w:t xml:space="preserve">Medium positive contribution to jobs created / potentially secured and a reduction in the Resource use </w:t>
            </w:r>
            <w:proofErr w:type="gramStart"/>
            <w:r w:rsidRPr="001E05F5">
              <w:rPr>
                <w:rFonts w:cs="Arial"/>
                <w:szCs w:val="18"/>
              </w:rPr>
              <w:t>Eur.Person.Eq</w:t>
            </w:r>
            <w:proofErr w:type="gramEnd"/>
            <w:r w:rsidRPr="001E05F5">
              <w:rPr>
                <w:rFonts w:cs="Arial"/>
                <w:szCs w:val="18"/>
              </w:rPr>
              <w:t xml:space="preserve"> from the baseline which could benefit Tees Valley</w:t>
            </w:r>
          </w:p>
        </w:tc>
        <w:tc>
          <w:tcPr>
            <w:tcW w:w="647" w:type="dxa"/>
            <w:tcBorders>
              <w:top w:val="single" w:sz="8" w:space="0" w:color="808080"/>
            </w:tcBorders>
            <w:shd w:val="clear" w:color="auto" w:fill="auto"/>
            <w:noWrap/>
            <w:tcMar>
              <w:left w:w="28" w:type="dxa"/>
              <w:right w:w="28" w:type="dxa"/>
            </w:tcMar>
            <w:vAlign w:val="center"/>
            <w:hideMark/>
          </w:tcPr>
          <w:p w14:paraId="509828F7" w14:textId="77777777" w:rsidR="0002701C" w:rsidRPr="001E05F5" w:rsidRDefault="0002701C" w:rsidP="003E20B2">
            <w:pPr>
              <w:pStyle w:val="TableFont"/>
              <w:keepNext/>
              <w:keepLines/>
              <w:jc w:val="center"/>
              <w:rPr>
                <w:rFonts w:cs="Arial"/>
                <w:szCs w:val="18"/>
              </w:rPr>
            </w:pPr>
            <w:r w:rsidRPr="001E05F5">
              <w:rPr>
                <w:rFonts w:cs="Arial"/>
                <w:szCs w:val="18"/>
              </w:rPr>
              <w:t>5</w:t>
            </w:r>
          </w:p>
        </w:tc>
      </w:tr>
      <w:tr w:rsidR="0002701C" w:rsidRPr="001E05F5" w14:paraId="17451584"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7DC85E9" w14:textId="77777777" w:rsidR="0002701C" w:rsidRPr="001E05F5" w:rsidRDefault="0002701C" w:rsidP="0002701C">
            <w:pPr>
              <w:pStyle w:val="TableFont"/>
              <w:keepNext/>
              <w:keepLines/>
              <w:rPr>
                <w:rFonts w:cs="Arial"/>
                <w:szCs w:val="18"/>
              </w:rPr>
            </w:pPr>
          </w:p>
        </w:tc>
        <w:tc>
          <w:tcPr>
            <w:tcW w:w="7088" w:type="dxa"/>
            <w:shd w:val="clear" w:color="auto" w:fill="auto"/>
            <w:noWrap/>
            <w:tcMar>
              <w:left w:w="57" w:type="dxa"/>
              <w:right w:w="28" w:type="dxa"/>
            </w:tcMar>
            <w:vAlign w:val="center"/>
            <w:hideMark/>
          </w:tcPr>
          <w:p w14:paraId="420A0E71" w14:textId="77777777" w:rsidR="0002701C" w:rsidRPr="001E05F5" w:rsidRDefault="0002701C" w:rsidP="0002701C">
            <w:pPr>
              <w:pStyle w:val="TableFont"/>
              <w:keepNext/>
              <w:keepLines/>
              <w:rPr>
                <w:rFonts w:cs="Arial"/>
                <w:szCs w:val="18"/>
              </w:rPr>
            </w:pPr>
            <w:r w:rsidRPr="001E05F5">
              <w:rPr>
                <w:rFonts w:cs="Arial"/>
                <w:szCs w:val="18"/>
              </w:rPr>
              <w:t xml:space="preserve">Minor positive contribution to jobs created / potentially secured and a reduction in the Resource use </w:t>
            </w:r>
            <w:proofErr w:type="gramStart"/>
            <w:r w:rsidRPr="001E05F5">
              <w:rPr>
                <w:rFonts w:cs="Arial"/>
                <w:szCs w:val="18"/>
              </w:rPr>
              <w:t>Eur.Person.Eq</w:t>
            </w:r>
            <w:proofErr w:type="gramEnd"/>
            <w:r w:rsidRPr="001E05F5">
              <w:rPr>
                <w:rFonts w:cs="Arial"/>
                <w:szCs w:val="18"/>
              </w:rPr>
              <w:t xml:space="preserve"> from the baseline which could benefit Tees Valley</w:t>
            </w:r>
          </w:p>
        </w:tc>
        <w:tc>
          <w:tcPr>
            <w:tcW w:w="647" w:type="dxa"/>
            <w:shd w:val="clear" w:color="auto" w:fill="auto"/>
            <w:noWrap/>
            <w:tcMar>
              <w:left w:w="28" w:type="dxa"/>
              <w:right w:w="28" w:type="dxa"/>
            </w:tcMar>
            <w:vAlign w:val="center"/>
            <w:hideMark/>
          </w:tcPr>
          <w:p w14:paraId="16D8D3E1" w14:textId="77777777" w:rsidR="0002701C" w:rsidRPr="001E05F5" w:rsidRDefault="0002701C" w:rsidP="0002701C">
            <w:pPr>
              <w:pStyle w:val="TableFont"/>
              <w:keepNext/>
              <w:keepLines/>
              <w:jc w:val="center"/>
              <w:rPr>
                <w:rFonts w:cs="Arial"/>
                <w:szCs w:val="18"/>
              </w:rPr>
            </w:pPr>
            <w:r w:rsidRPr="001E05F5">
              <w:rPr>
                <w:rFonts w:cs="Arial"/>
                <w:szCs w:val="18"/>
              </w:rPr>
              <w:t>4</w:t>
            </w:r>
          </w:p>
        </w:tc>
      </w:tr>
      <w:tr w:rsidR="0002701C" w:rsidRPr="001E05F5" w14:paraId="181152D7"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05713F6" w14:textId="77777777" w:rsidR="0002701C" w:rsidRPr="001E05F5" w:rsidRDefault="0002701C" w:rsidP="0002701C">
            <w:pPr>
              <w:pStyle w:val="TableFont"/>
              <w:keepNext/>
              <w:keepLines/>
              <w:rPr>
                <w:rFonts w:cs="Arial"/>
                <w:szCs w:val="18"/>
              </w:rPr>
            </w:pPr>
          </w:p>
        </w:tc>
        <w:tc>
          <w:tcPr>
            <w:tcW w:w="7088" w:type="dxa"/>
            <w:shd w:val="clear" w:color="auto" w:fill="auto"/>
            <w:noWrap/>
            <w:tcMar>
              <w:left w:w="57" w:type="dxa"/>
              <w:right w:w="28" w:type="dxa"/>
            </w:tcMar>
            <w:vAlign w:val="center"/>
            <w:hideMark/>
          </w:tcPr>
          <w:p w14:paraId="37A5A83F" w14:textId="77777777" w:rsidR="0002701C" w:rsidRPr="001E05F5" w:rsidRDefault="0002701C" w:rsidP="0002701C">
            <w:pPr>
              <w:pStyle w:val="TableFont"/>
              <w:keepNext/>
              <w:keepLines/>
              <w:rPr>
                <w:rFonts w:cs="Arial"/>
                <w:szCs w:val="18"/>
              </w:rPr>
            </w:pPr>
            <w:r w:rsidRPr="001E05F5">
              <w:rPr>
                <w:rFonts w:cs="Arial"/>
                <w:szCs w:val="18"/>
              </w:rPr>
              <w:t xml:space="preserve">No net additional jobs created and/or no wider employment security and reasonable reduction in the Resource use </w:t>
            </w:r>
            <w:proofErr w:type="gramStart"/>
            <w:r w:rsidRPr="001E05F5">
              <w:rPr>
                <w:rFonts w:cs="Arial"/>
                <w:szCs w:val="18"/>
              </w:rPr>
              <w:t>Eur.Person.Eq</w:t>
            </w:r>
            <w:proofErr w:type="gramEnd"/>
            <w:r w:rsidRPr="001E05F5">
              <w:rPr>
                <w:rFonts w:cs="Arial"/>
                <w:szCs w:val="18"/>
              </w:rPr>
              <w:t xml:space="preserve"> (10 - 50% from baseline) which could benefit Tees Valley</w:t>
            </w:r>
          </w:p>
        </w:tc>
        <w:tc>
          <w:tcPr>
            <w:tcW w:w="647" w:type="dxa"/>
            <w:shd w:val="clear" w:color="auto" w:fill="auto"/>
            <w:noWrap/>
            <w:tcMar>
              <w:left w:w="28" w:type="dxa"/>
              <w:right w:w="28" w:type="dxa"/>
            </w:tcMar>
            <w:vAlign w:val="center"/>
            <w:hideMark/>
          </w:tcPr>
          <w:p w14:paraId="69345798" w14:textId="77777777" w:rsidR="0002701C" w:rsidRPr="001E05F5" w:rsidRDefault="0002701C" w:rsidP="0002701C">
            <w:pPr>
              <w:pStyle w:val="TableFont"/>
              <w:keepNext/>
              <w:keepLines/>
              <w:jc w:val="center"/>
              <w:rPr>
                <w:rFonts w:cs="Arial"/>
                <w:szCs w:val="18"/>
              </w:rPr>
            </w:pPr>
            <w:r w:rsidRPr="001E05F5">
              <w:rPr>
                <w:rFonts w:cs="Arial"/>
                <w:szCs w:val="18"/>
              </w:rPr>
              <w:t>3</w:t>
            </w:r>
          </w:p>
        </w:tc>
      </w:tr>
      <w:tr w:rsidR="0002701C" w:rsidRPr="001E05F5" w14:paraId="05F2FFFF"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BA3B5CE" w14:textId="77777777" w:rsidR="0002701C" w:rsidRPr="001E05F5" w:rsidRDefault="0002701C" w:rsidP="0002701C">
            <w:pPr>
              <w:pStyle w:val="TableFont"/>
              <w:keepNext/>
              <w:keepLines/>
              <w:rPr>
                <w:rFonts w:cs="Arial"/>
                <w:szCs w:val="18"/>
              </w:rPr>
            </w:pPr>
          </w:p>
        </w:tc>
        <w:tc>
          <w:tcPr>
            <w:tcW w:w="7088" w:type="dxa"/>
            <w:shd w:val="clear" w:color="auto" w:fill="auto"/>
            <w:noWrap/>
            <w:tcMar>
              <w:left w:w="57" w:type="dxa"/>
              <w:right w:w="28" w:type="dxa"/>
            </w:tcMar>
            <w:vAlign w:val="center"/>
            <w:hideMark/>
          </w:tcPr>
          <w:p w14:paraId="0282866B" w14:textId="77777777" w:rsidR="0002701C" w:rsidRPr="001E05F5" w:rsidRDefault="0002701C" w:rsidP="0002701C">
            <w:pPr>
              <w:pStyle w:val="TableFont"/>
              <w:keepNext/>
              <w:keepLines/>
              <w:rPr>
                <w:rFonts w:cs="Arial"/>
                <w:szCs w:val="18"/>
              </w:rPr>
            </w:pPr>
            <w:r w:rsidRPr="001E05F5">
              <w:rPr>
                <w:rFonts w:cs="Arial"/>
                <w:szCs w:val="18"/>
              </w:rPr>
              <w:t xml:space="preserve">No net additional jobs created and/or no wider employment security and no significant change in the Resource use </w:t>
            </w:r>
            <w:proofErr w:type="gramStart"/>
            <w:r w:rsidRPr="001E05F5">
              <w:rPr>
                <w:rFonts w:cs="Arial"/>
                <w:szCs w:val="18"/>
              </w:rPr>
              <w:t>Eur.Person.Eq</w:t>
            </w:r>
            <w:proofErr w:type="gramEnd"/>
            <w:r w:rsidRPr="001E05F5">
              <w:rPr>
                <w:rFonts w:cs="Arial"/>
                <w:szCs w:val="18"/>
              </w:rPr>
              <w:t xml:space="preserve"> (+/-9.99% from baseline) which could benefit Tees Valley</w:t>
            </w:r>
          </w:p>
        </w:tc>
        <w:tc>
          <w:tcPr>
            <w:tcW w:w="647" w:type="dxa"/>
            <w:shd w:val="clear" w:color="auto" w:fill="auto"/>
            <w:noWrap/>
            <w:tcMar>
              <w:left w:w="28" w:type="dxa"/>
              <w:right w:w="28" w:type="dxa"/>
            </w:tcMar>
            <w:vAlign w:val="center"/>
            <w:hideMark/>
          </w:tcPr>
          <w:p w14:paraId="646B5D9B" w14:textId="77777777" w:rsidR="0002701C" w:rsidRPr="001E05F5" w:rsidRDefault="0002701C" w:rsidP="0002701C">
            <w:pPr>
              <w:pStyle w:val="TableFont"/>
              <w:keepNext/>
              <w:keepLines/>
              <w:jc w:val="center"/>
              <w:rPr>
                <w:rFonts w:cs="Arial"/>
                <w:szCs w:val="18"/>
              </w:rPr>
            </w:pPr>
            <w:r w:rsidRPr="001E05F5">
              <w:rPr>
                <w:rFonts w:cs="Arial"/>
                <w:szCs w:val="18"/>
              </w:rPr>
              <w:t>2</w:t>
            </w:r>
          </w:p>
        </w:tc>
      </w:tr>
      <w:tr w:rsidR="0002701C" w:rsidRPr="001E05F5" w14:paraId="7900858D"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6538758"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5D7C0D2A" w14:textId="77777777" w:rsidR="0002701C" w:rsidRPr="001E05F5" w:rsidRDefault="0002701C" w:rsidP="0002701C">
            <w:pPr>
              <w:pStyle w:val="TableFont"/>
              <w:rPr>
                <w:rFonts w:cs="Arial"/>
                <w:szCs w:val="18"/>
              </w:rPr>
            </w:pPr>
            <w:r w:rsidRPr="001E05F5">
              <w:rPr>
                <w:rFonts w:cs="Arial"/>
                <w:szCs w:val="18"/>
              </w:rPr>
              <w:t xml:space="preserve">Job losses and/or no wider employment security but a reasonable reduction in the Resource use </w:t>
            </w:r>
            <w:proofErr w:type="gramStart"/>
            <w:r w:rsidRPr="001E05F5">
              <w:rPr>
                <w:rFonts w:cs="Arial"/>
                <w:szCs w:val="18"/>
              </w:rPr>
              <w:t>Eur.Person.Eq</w:t>
            </w:r>
            <w:proofErr w:type="gramEnd"/>
            <w:r w:rsidRPr="001E05F5">
              <w:rPr>
                <w:rFonts w:cs="Arial"/>
                <w:szCs w:val="18"/>
              </w:rPr>
              <w:t xml:space="preserve"> (10 - 50% from baseline) which could benefit Tees Valley</w:t>
            </w:r>
          </w:p>
        </w:tc>
        <w:tc>
          <w:tcPr>
            <w:tcW w:w="647" w:type="dxa"/>
            <w:shd w:val="clear" w:color="auto" w:fill="auto"/>
            <w:noWrap/>
            <w:tcMar>
              <w:left w:w="28" w:type="dxa"/>
              <w:right w:w="28" w:type="dxa"/>
            </w:tcMar>
            <w:vAlign w:val="center"/>
            <w:hideMark/>
          </w:tcPr>
          <w:p w14:paraId="7B11E80F" w14:textId="77777777" w:rsidR="0002701C" w:rsidRPr="001E05F5" w:rsidRDefault="0002701C" w:rsidP="0002701C">
            <w:pPr>
              <w:pStyle w:val="TableFont"/>
              <w:jc w:val="center"/>
              <w:rPr>
                <w:rFonts w:cs="Arial"/>
                <w:szCs w:val="18"/>
              </w:rPr>
            </w:pPr>
            <w:r w:rsidRPr="001E05F5">
              <w:rPr>
                <w:rFonts w:cs="Arial"/>
                <w:szCs w:val="18"/>
              </w:rPr>
              <w:t>1</w:t>
            </w:r>
          </w:p>
        </w:tc>
      </w:tr>
      <w:tr w:rsidR="0002701C" w:rsidRPr="001E05F5" w14:paraId="48B26ACD"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2410670A"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auto" w:fill="auto"/>
            <w:noWrap/>
            <w:tcMar>
              <w:left w:w="57" w:type="dxa"/>
              <w:right w:w="28" w:type="dxa"/>
            </w:tcMar>
            <w:vAlign w:val="center"/>
            <w:hideMark/>
          </w:tcPr>
          <w:p w14:paraId="244DA501" w14:textId="77777777" w:rsidR="0002701C" w:rsidRPr="001E05F5" w:rsidRDefault="0002701C" w:rsidP="0002701C">
            <w:pPr>
              <w:pStyle w:val="TableFont"/>
              <w:rPr>
                <w:rFonts w:cs="Arial"/>
                <w:szCs w:val="18"/>
              </w:rPr>
            </w:pPr>
            <w:r w:rsidRPr="001E05F5">
              <w:rPr>
                <w:rFonts w:cs="Arial"/>
                <w:szCs w:val="18"/>
              </w:rPr>
              <w:t xml:space="preserve">Job losses and/or no wider employment security and no significant change in the Resource use </w:t>
            </w:r>
            <w:proofErr w:type="gramStart"/>
            <w:r w:rsidRPr="001E05F5">
              <w:rPr>
                <w:rFonts w:cs="Arial"/>
                <w:szCs w:val="18"/>
              </w:rPr>
              <w:t>Eur.Person.Eq</w:t>
            </w:r>
            <w:proofErr w:type="gramEnd"/>
            <w:r w:rsidRPr="001E05F5">
              <w:rPr>
                <w:rFonts w:cs="Arial"/>
                <w:szCs w:val="18"/>
              </w:rPr>
              <w:t xml:space="preserve"> (+/-9.99% from baseline) which could benefit Tees Valley</w:t>
            </w:r>
          </w:p>
        </w:tc>
        <w:tc>
          <w:tcPr>
            <w:tcW w:w="647" w:type="dxa"/>
            <w:tcBorders>
              <w:bottom w:val="single" w:sz="4" w:space="0" w:color="A6A6A6" w:themeColor="background1" w:themeShade="A6"/>
            </w:tcBorders>
            <w:shd w:val="clear" w:color="auto" w:fill="auto"/>
            <w:noWrap/>
            <w:tcMar>
              <w:left w:w="28" w:type="dxa"/>
              <w:right w:w="28" w:type="dxa"/>
            </w:tcMar>
            <w:vAlign w:val="center"/>
            <w:hideMark/>
          </w:tcPr>
          <w:p w14:paraId="51BFDDF2" w14:textId="77777777" w:rsidR="0002701C" w:rsidRPr="001E05F5" w:rsidRDefault="0002701C" w:rsidP="0002701C">
            <w:pPr>
              <w:pStyle w:val="TableFont"/>
              <w:jc w:val="center"/>
              <w:rPr>
                <w:rFonts w:cs="Arial"/>
                <w:szCs w:val="18"/>
              </w:rPr>
            </w:pPr>
            <w:r w:rsidRPr="001E05F5">
              <w:rPr>
                <w:rFonts w:cs="Arial"/>
                <w:szCs w:val="18"/>
              </w:rPr>
              <w:t>0</w:t>
            </w:r>
          </w:p>
        </w:tc>
      </w:tr>
      <w:tr w:rsidR="0002701C" w:rsidRPr="001E05F5" w14:paraId="77E2270F" w14:textId="77777777" w:rsidTr="003E20B2">
        <w:tc>
          <w:tcPr>
            <w:tcW w:w="1701" w:type="dxa"/>
            <w:vMerge w:val="restart"/>
            <w:tcBorders>
              <w:top w:val="single" w:sz="8" w:space="0" w:color="808080"/>
              <w:bottom w:val="single" w:sz="8" w:space="0" w:color="808080"/>
              <w:right w:val="single" w:sz="4" w:space="0" w:color="A6A6A6" w:themeColor="background1" w:themeShade="A6"/>
            </w:tcBorders>
            <w:shd w:val="clear" w:color="auto" w:fill="D9D9D9" w:themeFill="background1" w:themeFillShade="D9"/>
            <w:tcMar>
              <w:left w:w="57" w:type="dxa"/>
              <w:right w:w="28" w:type="dxa"/>
            </w:tcMar>
            <w:vAlign w:val="center"/>
            <w:hideMark/>
          </w:tcPr>
          <w:p w14:paraId="7FB804CC" w14:textId="77777777" w:rsidR="0002701C" w:rsidRPr="001E05F5" w:rsidRDefault="0002701C" w:rsidP="0002701C">
            <w:pPr>
              <w:spacing w:before="40" w:after="40"/>
              <w:rPr>
                <w:rFonts w:cs="Arial"/>
                <w:color w:val="000000"/>
                <w:sz w:val="18"/>
                <w:szCs w:val="18"/>
              </w:rPr>
            </w:pPr>
            <w:r w:rsidRPr="001E05F5">
              <w:rPr>
                <w:rFonts w:cs="Arial"/>
                <w:color w:val="000000"/>
                <w:sz w:val="18"/>
                <w:szCs w:val="18"/>
              </w:rPr>
              <w:t>7.</w:t>
            </w:r>
            <w:r w:rsidRPr="001E05F5">
              <w:rPr>
                <w:color w:val="000000"/>
                <w:sz w:val="14"/>
                <w:szCs w:val="14"/>
              </w:rPr>
              <w:t xml:space="preserve"> </w:t>
            </w:r>
            <w:r w:rsidRPr="001E05F5">
              <w:rPr>
                <w:rFonts w:cs="Arial"/>
                <w:color w:val="000000"/>
                <w:sz w:val="18"/>
                <w:szCs w:val="18"/>
              </w:rPr>
              <w:t>Protection of the environment and natural resources</w:t>
            </w:r>
          </w:p>
        </w:tc>
        <w:tc>
          <w:tcPr>
            <w:tcW w:w="7088" w:type="dxa"/>
            <w:tcBorders>
              <w:top w:val="single" w:sz="4" w:space="0" w:color="A6A6A6" w:themeColor="background1" w:themeShade="A6"/>
              <w:left w:val="single" w:sz="4" w:space="0" w:color="A6A6A6" w:themeColor="background1" w:themeShade="A6"/>
              <w:bottom w:val="single" w:sz="8" w:space="0" w:color="808080"/>
            </w:tcBorders>
            <w:shd w:val="clear" w:color="auto" w:fill="808080" w:themeFill="background1" w:themeFillShade="80"/>
            <w:noWrap/>
            <w:tcMar>
              <w:left w:w="57" w:type="dxa"/>
              <w:right w:w="28" w:type="dxa"/>
            </w:tcMar>
            <w:vAlign w:val="center"/>
            <w:hideMark/>
          </w:tcPr>
          <w:p w14:paraId="519D0D81" w14:textId="77777777" w:rsidR="0002701C" w:rsidRPr="001E05F5" w:rsidRDefault="0002701C" w:rsidP="0002701C">
            <w:pPr>
              <w:spacing w:before="40" w:after="40"/>
              <w:rPr>
                <w:rFonts w:cs="Arial"/>
                <w:b/>
                <w:bCs/>
                <w:color w:val="FFFFFF"/>
                <w:sz w:val="18"/>
                <w:szCs w:val="18"/>
              </w:rPr>
            </w:pPr>
            <w:r w:rsidRPr="001E05F5">
              <w:rPr>
                <w:rFonts w:cs="Arial"/>
                <w:b/>
                <w:bCs/>
                <w:color w:val="FFFFFF"/>
                <w:sz w:val="18"/>
                <w:szCs w:val="18"/>
              </w:rPr>
              <w:t>Evaluation Criteria</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111BF066" w14:textId="49F7EC8B" w:rsidR="0002701C" w:rsidRPr="001E05F5" w:rsidRDefault="00263072" w:rsidP="0002701C">
            <w:pPr>
              <w:spacing w:before="40" w:after="40"/>
              <w:jc w:val="center"/>
              <w:rPr>
                <w:rFonts w:cs="Arial"/>
                <w:b/>
                <w:bCs/>
                <w:color w:val="FFFFFF"/>
                <w:sz w:val="18"/>
                <w:szCs w:val="18"/>
              </w:rPr>
            </w:pPr>
            <w:r w:rsidRPr="001E05F5">
              <w:rPr>
                <w:rFonts w:cs="Arial"/>
                <w:b/>
                <w:bCs/>
                <w:color w:val="FFFFFF"/>
                <w:sz w:val="18"/>
                <w:szCs w:val="18"/>
              </w:rPr>
              <w:t>Score</w:t>
            </w:r>
          </w:p>
        </w:tc>
      </w:tr>
      <w:tr w:rsidR="0002701C" w:rsidRPr="001E05F5" w14:paraId="1F4E61AF"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A015885" w14:textId="77777777" w:rsidR="0002701C" w:rsidRPr="001E05F5" w:rsidRDefault="0002701C" w:rsidP="0002701C">
            <w:pPr>
              <w:pStyle w:val="TableFont"/>
              <w:rPr>
                <w:rFonts w:cs="Arial"/>
                <w:szCs w:val="18"/>
              </w:rPr>
            </w:pPr>
          </w:p>
        </w:tc>
        <w:tc>
          <w:tcPr>
            <w:tcW w:w="7088" w:type="dxa"/>
            <w:tcBorders>
              <w:top w:val="single" w:sz="8" w:space="0" w:color="808080"/>
            </w:tcBorders>
            <w:shd w:val="clear" w:color="auto" w:fill="auto"/>
            <w:noWrap/>
            <w:tcMar>
              <w:left w:w="57" w:type="dxa"/>
              <w:right w:w="28" w:type="dxa"/>
            </w:tcMar>
            <w:vAlign w:val="center"/>
            <w:hideMark/>
          </w:tcPr>
          <w:p w14:paraId="60ADB9B6" w14:textId="77777777" w:rsidR="0002701C" w:rsidRPr="001E05F5" w:rsidRDefault="0002701C" w:rsidP="0002701C">
            <w:pPr>
              <w:pStyle w:val="TableFont"/>
              <w:rPr>
                <w:rFonts w:cs="Arial"/>
                <w:szCs w:val="18"/>
              </w:rPr>
            </w:pPr>
            <w:r w:rsidRPr="001E05F5">
              <w:rPr>
                <w:rFonts w:cs="Arial"/>
                <w:szCs w:val="18"/>
              </w:rPr>
              <w:t>High level of improvement in environmental protection based on resource use, acidification, human toxicity, freshwater aquatic toxicity, eutrophication and mileage</w:t>
            </w:r>
          </w:p>
        </w:tc>
        <w:tc>
          <w:tcPr>
            <w:tcW w:w="647" w:type="dxa"/>
            <w:tcBorders>
              <w:top w:val="single" w:sz="8" w:space="0" w:color="808080"/>
            </w:tcBorders>
            <w:shd w:val="clear" w:color="auto" w:fill="auto"/>
            <w:noWrap/>
            <w:tcMar>
              <w:left w:w="28" w:type="dxa"/>
              <w:right w:w="28" w:type="dxa"/>
            </w:tcMar>
            <w:vAlign w:val="center"/>
            <w:hideMark/>
          </w:tcPr>
          <w:p w14:paraId="03BA5B54" w14:textId="77777777" w:rsidR="0002701C" w:rsidRPr="001E05F5" w:rsidRDefault="0002701C" w:rsidP="0002701C">
            <w:pPr>
              <w:pStyle w:val="TableFont"/>
              <w:jc w:val="center"/>
              <w:rPr>
                <w:rFonts w:cs="Arial"/>
                <w:szCs w:val="18"/>
              </w:rPr>
            </w:pPr>
            <w:r w:rsidRPr="001E05F5">
              <w:rPr>
                <w:rFonts w:cs="Arial"/>
                <w:szCs w:val="18"/>
              </w:rPr>
              <w:t>5</w:t>
            </w:r>
          </w:p>
        </w:tc>
      </w:tr>
      <w:tr w:rsidR="0002701C" w:rsidRPr="001E05F5" w14:paraId="24BABEDF"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1D064AF2"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1575EDA0" w14:textId="77777777" w:rsidR="0002701C" w:rsidRPr="001E05F5" w:rsidRDefault="0002701C" w:rsidP="0002701C">
            <w:pPr>
              <w:pStyle w:val="TableFont"/>
              <w:rPr>
                <w:rFonts w:cs="Arial"/>
                <w:szCs w:val="18"/>
              </w:rPr>
            </w:pPr>
            <w:r w:rsidRPr="001E05F5">
              <w:rPr>
                <w:rFonts w:cs="Arial"/>
                <w:szCs w:val="18"/>
              </w:rPr>
              <w:t>Medium level of improvement in environmental protection based on resource use, acidification, human toxicity, freshwater aquatic toxicity, eutrophication and mileage</w:t>
            </w:r>
          </w:p>
        </w:tc>
        <w:tc>
          <w:tcPr>
            <w:tcW w:w="647" w:type="dxa"/>
            <w:shd w:val="clear" w:color="auto" w:fill="auto"/>
            <w:noWrap/>
            <w:tcMar>
              <w:left w:w="28" w:type="dxa"/>
              <w:right w:w="28" w:type="dxa"/>
            </w:tcMar>
            <w:vAlign w:val="center"/>
            <w:hideMark/>
          </w:tcPr>
          <w:p w14:paraId="6829C014" w14:textId="77777777" w:rsidR="0002701C" w:rsidRPr="001E05F5" w:rsidRDefault="0002701C" w:rsidP="0002701C">
            <w:pPr>
              <w:pStyle w:val="TableFont"/>
              <w:jc w:val="center"/>
              <w:rPr>
                <w:rFonts w:cs="Arial"/>
                <w:szCs w:val="18"/>
              </w:rPr>
            </w:pPr>
            <w:r w:rsidRPr="001E05F5">
              <w:rPr>
                <w:rFonts w:cs="Arial"/>
                <w:szCs w:val="18"/>
              </w:rPr>
              <w:t>4</w:t>
            </w:r>
          </w:p>
        </w:tc>
      </w:tr>
      <w:tr w:rsidR="0002701C" w:rsidRPr="001E05F5" w14:paraId="75CD2CB6"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2B39314D"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4C252AF8" w14:textId="77777777" w:rsidR="0002701C" w:rsidRPr="001E05F5" w:rsidRDefault="0002701C" w:rsidP="0002701C">
            <w:pPr>
              <w:pStyle w:val="TableFont"/>
              <w:rPr>
                <w:rFonts w:cs="Arial"/>
                <w:szCs w:val="18"/>
              </w:rPr>
            </w:pPr>
            <w:r w:rsidRPr="001E05F5">
              <w:rPr>
                <w:rFonts w:cs="Arial"/>
                <w:szCs w:val="18"/>
              </w:rPr>
              <w:t>Minor improvement in the level of environmental protection based on resource use, acidification, human toxicity, freshwater aquatic toxicity, eutrophication and mileage</w:t>
            </w:r>
          </w:p>
        </w:tc>
        <w:tc>
          <w:tcPr>
            <w:tcW w:w="647" w:type="dxa"/>
            <w:shd w:val="clear" w:color="auto" w:fill="auto"/>
            <w:noWrap/>
            <w:tcMar>
              <w:left w:w="28" w:type="dxa"/>
              <w:right w:w="28" w:type="dxa"/>
            </w:tcMar>
            <w:vAlign w:val="center"/>
            <w:hideMark/>
          </w:tcPr>
          <w:p w14:paraId="48EE3752" w14:textId="77777777" w:rsidR="0002701C" w:rsidRPr="001E05F5" w:rsidRDefault="0002701C" w:rsidP="0002701C">
            <w:pPr>
              <w:pStyle w:val="TableFont"/>
              <w:jc w:val="center"/>
              <w:rPr>
                <w:rFonts w:cs="Arial"/>
                <w:szCs w:val="18"/>
              </w:rPr>
            </w:pPr>
            <w:r w:rsidRPr="001E05F5">
              <w:rPr>
                <w:rFonts w:cs="Arial"/>
                <w:szCs w:val="18"/>
              </w:rPr>
              <w:t>3</w:t>
            </w:r>
          </w:p>
        </w:tc>
      </w:tr>
      <w:tr w:rsidR="0002701C" w:rsidRPr="001E05F5" w14:paraId="4B68144B"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B393FD8"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3E5339E1" w14:textId="77777777" w:rsidR="0002701C" w:rsidRPr="001E05F5" w:rsidRDefault="0002701C" w:rsidP="0002701C">
            <w:pPr>
              <w:pStyle w:val="TableFont"/>
              <w:rPr>
                <w:rFonts w:cs="Arial"/>
                <w:szCs w:val="18"/>
              </w:rPr>
            </w:pPr>
            <w:r w:rsidRPr="001E05F5">
              <w:rPr>
                <w:rFonts w:cs="Arial"/>
                <w:szCs w:val="18"/>
              </w:rPr>
              <w:t>No change in the level of environmental protection based on resource use, acidification, human toxicity, freshwater aquatic toxicity, eutrophication and mileage</w:t>
            </w:r>
          </w:p>
        </w:tc>
        <w:tc>
          <w:tcPr>
            <w:tcW w:w="647" w:type="dxa"/>
            <w:shd w:val="clear" w:color="auto" w:fill="auto"/>
            <w:noWrap/>
            <w:tcMar>
              <w:left w:w="28" w:type="dxa"/>
              <w:right w:w="28" w:type="dxa"/>
            </w:tcMar>
            <w:vAlign w:val="center"/>
            <w:hideMark/>
          </w:tcPr>
          <w:p w14:paraId="19E0429C" w14:textId="77777777" w:rsidR="0002701C" w:rsidRPr="001E05F5" w:rsidRDefault="0002701C" w:rsidP="0002701C">
            <w:pPr>
              <w:pStyle w:val="TableFont"/>
              <w:jc w:val="center"/>
              <w:rPr>
                <w:rFonts w:cs="Arial"/>
                <w:szCs w:val="18"/>
              </w:rPr>
            </w:pPr>
            <w:r w:rsidRPr="001E05F5">
              <w:rPr>
                <w:rFonts w:cs="Arial"/>
                <w:szCs w:val="18"/>
              </w:rPr>
              <w:t>2</w:t>
            </w:r>
          </w:p>
        </w:tc>
      </w:tr>
      <w:tr w:rsidR="0002701C" w:rsidRPr="001E05F5" w14:paraId="154101ED"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72DF4EDE"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7BE1A1BE" w14:textId="77777777" w:rsidR="0002701C" w:rsidRPr="001E05F5" w:rsidRDefault="0002701C" w:rsidP="0002701C">
            <w:pPr>
              <w:pStyle w:val="TableFont"/>
              <w:rPr>
                <w:rFonts w:cs="Arial"/>
                <w:szCs w:val="18"/>
              </w:rPr>
            </w:pPr>
            <w:r w:rsidRPr="001E05F5">
              <w:rPr>
                <w:rFonts w:cs="Arial"/>
                <w:szCs w:val="18"/>
              </w:rPr>
              <w:t>Decrease in the level of environmental protection based on resource use, acidification, human toxicity, freshwater aquatic toxicity, eutrophication and mileage</w:t>
            </w:r>
          </w:p>
        </w:tc>
        <w:tc>
          <w:tcPr>
            <w:tcW w:w="647" w:type="dxa"/>
            <w:shd w:val="clear" w:color="auto" w:fill="auto"/>
            <w:noWrap/>
            <w:tcMar>
              <w:left w:w="28" w:type="dxa"/>
              <w:right w:w="28" w:type="dxa"/>
            </w:tcMar>
            <w:vAlign w:val="center"/>
            <w:hideMark/>
          </w:tcPr>
          <w:p w14:paraId="1A06E30C" w14:textId="77777777" w:rsidR="0002701C" w:rsidRPr="001E05F5" w:rsidRDefault="0002701C" w:rsidP="0002701C">
            <w:pPr>
              <w:pStyle w:val="TableFont"/>
              <w:jc w:val="center"/>
              <w:rPr>
                <w:rFonts w:cs="Arial"/>
                <w:szCs w:val="18"/>
              </w:rPr>
            </w:pPr>
            <w:r w:rsidRPr="001E05F5">
              <w:rPr>
                <w:rFonts w:cs="Arial"/>
                <w:szCs w:val="18"/>
              </w:rPr>
              <w:t>1</w:t>
            </w:r>
          </w:p>
        </w:tc>
      </w:tr>
      <w:tr w:rsidR="0002701C" w:rsidRPr="001E05F5" w14:paraId="486D4FE4"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79F3AE45"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auto" w:fill="auto"/>
            <w:noWrap/>
            <w:tcMar>
              <w:left w:w="57" w:type="dxa"/>
              <w:right w:w="28" w:type="dxa"/>
            </w:tcMar>
            <w:vAlign w:val="center"/>
            <w:hideMark/>
          </w:tcPr>
          <w:p w14:paraId="147190B8" w14:textId="77777777" w:rsidR="0002701C" w:rsidRPr="001E05F5" w:rsidRDefault="0002701C" w:rsidP="0002701C">
            <w:pPr>
              <w:pStyle w:val="TableFont"/>
              <w:rPr>
                <w:rFonts w:cs="Arial"/>
                <w:szCs w:val="18"/>
              </w:rPr>
            </w:pPr>
            <w:r w:rsidRPr="001E05F5">
              <w:rPr>
                <w:rFonts w:cs="Arial"/>
                <w:szCs w:val="18"/>
              </w:rPr>
              <w:t>Significant decrease in the level of environmental protection based on resource use, acidification, human toxicity, freshwater aquatic toxicity, eutrophication and mileage</w:t>
            </w:r>
          </w:p>
        </w:tc>
        <w:tc>
          <w:tcPr>
            <w:tcW w:w="647" w:type="dxa"/>
            <w:tcBorders>
              <w:bottom w:val="single" w:sz="4" w:space="0" w:color="A6A6A6" w:themeColor="background1" w:themeShade="A6"/>
            </w:tcBorders>
            <w:shd w:val="clear" w:color="auto" w:fill="auto"/>
            <w:noWrap/>
            <w:tcMar>
              <w:left w:w="28" w:type="dxa"/>
              <w:right w:w="28" w:type="dxa"/>
            </w:tcMar>
            <w:vAlign w:val="center"/>
            <w:hideMark/>
          </w:tcPr>
          <w:p w14:paraId="63C99BDD" w14:textId="77777777" w:rsidR="0002701C" w:rsidRPr="001E05F5" w:rsidRDefault="0002701C" w:rsidP="0002701C">
            <w:pPr>
              <w:pStyle w:val="TableFont"/>
              <w:jc w:val="center"/>
              <w:rPr>
                <w:rFonts w:cs="Arial"/>
                <w:szCs w:val="18"/>
              </w:rPr>
            </w:pPr>
            <w:r w:rsidRPr="001E05F5">
              <w:rPr>
                <w:rFonts w:cs="Arial"/>
                <w:szCs w:val="18"/>
              </w:rPr>
              <w:t>0</w:t>
            </w:r>
          </w:p>
        </w:tc>
      </w:tr>
      <w:tr w:rsidR="0002701C" w:rsidRPr="001E05F5" w14:paraId="34ABAE12" w14:textId="77777777" w:rsidTr="003E20B2">
        <w:tc>
          <w:tcPr>
            <w:tcW w:w="1701" w:type="dxa"/>
            <w:vMerge w:val="restart"/>
            <w:tcBorders>
              <w:top w:val="single" w:sz="8" w:space="0" w:color="808080"/>
              <w:bottom w:val="single" w:sz="8" w:space="0" w:color="808080"/>
              <w:right w:val="single" w:sz="4" w:space="0" w:color="A6A6A6" w:themeColor="background1" w:themeShade="A6"/>
            </w:tcBorders>
            <w:shd w:val="clear" w:color="auto" w:fill="D9D9D9" w:themeFill="background1" w:themeFillShade="D9"/>
            <w:tcMar>
              <w:left w:w="57" w:type="dxa"/>
              <w:right w:w="28" w:type="dxa"/>
            </w:tcMar>
            <w:vAlign w:val="center"/>
            <w:hideMark/>
          </w:tcPr>
          <w:p w14:paraId="249EB92B" w14:textId="77777777" w:rsidR="0002701C" w:rsidRPr="001E05F5" w:rsidRDefault="0002701C" w:rsidP="0002701C">
            <w:pPr>
              <w:spacing w:before="40" w:after="40"/>
              <w:rPr>
                <w:rFonts w:cs="Arial"/>
                <w:color w:val="000000"/>
                <w:sz w:val="18"/>
                <w:szCs w:val="18"/>
              </w:rPr>
            </w:pPr>
            <w:r w:rsidRPr="001E05F5">
              <w:rPr>
                <w:rFonts w:cs="Arial"/>
                <w:color w:val="000000"/>
                <w:sz w:val="18"/>
                <w:szCs w:val="18"/>
              </w:rPr>
              <w:t>8.Reducing the carbon impact of waste management</w:t>
            </w:r>
          </w:p>
        </w:tc>
        <w:tc>
          <w:tcPr>
            <w:tcW w:w="7088" w:type="dxa"/>
            <w:tcBorders>
              <w:top w:val="single" w:sz="4" w:space="0" w:color="A6A6A6" w:themeColor="background1" w:themeShade="A6"/>
              <w:left w:val="single" w:sz="4" w:space="0" w:color="A6A6A6" w:themeColor="background1" w:themeShade="A6"/>
              <w:bottom w:val="single" w:sz="8" w:space="0" w:color="808080"/>
            </w:tcBorders>
            <w:shd w:val="clear" w:color="auto" w:fill="808080" w:themeFill="background1" w:themeFillShade="80"/>
            <w:noWrap/>
            <w:tcMar>
              <w:left w:w="57" w:type="dxa"/>
              <w:right w:w="28" w:type="dxa"/>
            </w:tcMar>
            <w:vAlign w:val="center"/>
            <w:hideMark/>
          </w:tcPr>
          <w:p w14:paraId="78326A34" w14:textId="77777777" w:rsidR="0002701C" w:rsidRPr="001E05F5" w:rsidRDefault="0002701C" w:rsidP="0002701C">
            <w:pPr>
              <w:spacing w:before="40" w:after="40"/>
              <w:rPr>
                <w:rFonts w:cs="Arial"/>
                <w:b/>
                <w:bCs/>
                <w:color w:val="FFFFFF"/>
                <w:sz w:val="18"/>
                <w:szCs w:val="18"/>
              </w:rPr>
            </w:pPr>
            <w:r w:rsidRPr="001E05F5">
              <w:rPr>
                <w:rFonts w:cs="Arial"/>
                <w:b/>
                <w:bCs/>
                <w:color w:val="FFFFFF"/>
                <w:sz w:val="18"/>
                <w:szCs w:val="18"/>
              </w:rPr>
              <w:t>Evaluation Criteria</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412146F3" w14:textId="473A79C5" w:rsidR="0002701C" w:rsidRPr="001E05F5" w:rsidRDefault="00263072" w:rsidP="0002701C">
            <w:pPr>
              <w:spacing w:before="40" w:after="40"/>
              <w:jc w:val="center"/>
              <w:rPr>
                <w:rFonts w:cs="Arial"/>
                <w:b/>
                <w:bCs/>
                <w:color w:val="FFFFFF"/>
                <w:sz w:val="18"/>
                <w:szCs w:val="18"/>
              </w:rPr>
            </w:pPr>
            <w:r w:rsidRPr="001E05F5">
              <w:rPr>
                <w:rFonts w:cs="Arial"/>
                <w:b/>
                <w:bCs/>
                <w:color w:val="FFFFFF"/>
                <w:sz w:val="18"/>
                <w:szCs w:val="18"/>
              </w:rPr>
              <w:t>Score</w:t>
            </w:r>
          </w:p>
        </w:tc>
      </w:tr>
      <w:tr w:rsidR="0002701C" w:rsidRPr="001E05F5" w14:paraId="71FD5D43"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941C18E" w14:textId="77777777" w:rsidR="0002701C" w:rsidRPr="001E05F5" w:rsidRDefault="0002701C" w:rsidP="0002701C">
            <w:pPr>
              <w:pStyle w:val="TableFont"/>
              <w:rPr>
                <w:rFonts w:cs="Arial"/>
                <w:szCs w:val="18"/>
              </w:rPr>
            </w:pPr>
          </w:p>
        </w:tc>
        <w:tc>
          <w:tcPr>
            <w:tcW w:w="7088" w:type="dxa"/>
            <w:tcBorders>
              <w:top w:val="single" w:sz="8" w:space="0" w:color="808080"/>
            </w:tcBorders>
            <w:shd w:val="clear" w:color="auto" w:fill="auto"/>
            <w:noWrap/>
            <w:tcMar>
              <w:left w:w="57" w:type="dxa"/>
              <w:right w:w="28" w:type="dxa"/>
            </w:tcMar>
            <w:vAlign w:val="center"/>
            <w:hideMark/>
          </w:tcPr>
          <w:p w14:paraId="2AAB3656" w14:textId="77777777" w:rsidR="0002701C" w:rsidRPr="001E05F5" w:rsidRDefault="0002701C" w:rsidP="0002701C">
            <w:pPr>
              <w:pStyle w:val="TableFont"/>
              <w:rPr>
                <w:rFonts w:cs="Arial"/>
                <w:szCs w:val="18"/>
              </w:rPr>
            </w:pPr>
            <w:r w:rsidRPr="001E05F5">
              <w:rPr>
                <w:rFonts w:cs="Arial"/>
                <w:szCs w:val="18"/>
              </w:rPr>
              <w:t>Significant reduction in tonnes of CO</w:t>
            </w:r>
            <w:r w:rsidRPr="001E05F5">
              <w:rPr>
                <w:rFonts w:cs="Arial"/>
                <w:szCs w:val="18"/>
                <w:vertAlign w:val="subscript"/>
              </w:rPr>
              <w:t>2</w:t>
            </w:r>
            <w:r w:rsidRPr="001E05F5">
              <w:rPr>
                <w:rFonts w:cs="Arial"/>
                <w:szCs w:val="18"/>
              </w:rPr>
              <w:t xml:space="preserve"> equivalents (&gt;30,000 tonnes CO2-Eq)</w:t>
            </w:r>
          </w:p>
        </w:tc>
        <w:tc>
          <w:tcPr>
            <w:tcW w:w="647" w:type="dxa"/>
            <w:tcBorders>
              <w:top w:val="single" w:sz="8" w:space="0" w:color="808080"/>
            </w:tcBorders>
            <w:shd w:val="clear" w:color="auto" w:fill="auto"/>
            <w:noWrap/>
            <w:tcMar>
              <w:left w:w="28" w:type="dxa"/>
              <w:right w:w="28" w:type="dxa"/>
            </w:tcMar>
            <w:vAlign w:val="center"/>
            <w:hideMark/>
          </w:tcPr>
          <w:p w14:paraId="05503B3E" w14:textId="77777777" w:rsidR="0002701C" w:rsidRPr="001E05F5" w:rsidRDefault="0002701C" w:rsidP="0002701C">
            <w:pPr>
              <w:pStyle w:val="TableFont"/>
              <w:jc w:val="center"/>
              <w:rPr>
                <w:rFonts w:cs="Arial"/>
                <w:szCs w:val="18"/>
              </w:rPr>
            </w:pPr>
            <w:r w:rsidRPr="001E05F5">
              <w:rPr>
                <w:rFonts w:cs="Arial"/>
                <w:szCs w:val="18"/>
              </w:rPr>
              <w:t>5</w:t>
            </w:r>
          </w:p>
        </w:tc>
      </w:tr>
      <w:tr w:rsidR="0002701C" w:rsidRPr="001E05F5" w14:paraId="5724A035"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1FEFC5D5"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4C8544D6" w14:textId="77777777" w:rsidR="0002701C" w:rsidRPr="001E05F5" w:rsidRDefault="0002701C" w:rsidP="0002701C">
            <w:pPr>
              <w:pStyle w:val="TableFont"/>
              <w:rPr>
                <w:rFonts w:cs="Arial"/>
                <w:szCs w:val="18"/>
              </w:rPr>
            </w:pPr>
            <w:r w:rsidRPr="001E05F5">
              <w:rPr>
                <w:rFonts w:cs="Arial"/>
                <w:szCs w:val="18"/>
              </w:rPr>
              <w:t>High reduction in tonnes of CO</w:t>
            </w:r>
            <w:r w:rsidRPr="001E05F5">
              <w:rPr>
                <w:rFonts w:cs="Arial"/>
                <w:szCs w:val="18"/>
                <w:vertAlign w:val="subscript"/>
              </w:rPr>
              <w:t>2</w:t>
            </w:r>
            <w:r w:rsidRPr="001E05F5">
              <w:rPr>
                <w:rFonts w:cs="Arial"/>
                <w:szCs w:val="18"/>
              </w:rPr>
              <w:t xml:space="preserve"> equivalents (20,000-30,000 tonnes CO2-Eq)</w:t>
            </w:r>
          </w:p>
        </w:tc>
        <w:tc>
          <w:tcPr>
            <w:tcW w:w="647" w:type="dxa"/>
            <w:shd w:val="clear" w:color="auto" w:fill="auto"/>
            <w:noWrap/>
            <w:tcMar>
              <w:left w:w="28" w:type="dxa"/>
              <w:right w:w="28" w:type="dxa"/>
            </w:tcMar>
            <w:vAlign w:val="center"/>
            <w:hideMark/>
          </w:tcPr>
          <w:p w14:paraId="2FAE9205" w14:textId="77777777" w:rsidR="0002701C" w:rsidRPr="001E05F5" w:rsidRDefault="0002701C" w:rsidP="0002701C">
            <w:pPr>
              <w:pStyle w:val="TableFont"/>
              <w:jc w:val="center"/>
              <w:rPr>
                <w:rFonts w:cs="Arial"/>
                <w:szCs w:val="18"/>
              </w:rPr>
            </w:pPr>
            <w:r w:rsidRPr="001E05F5">
              <w:rPr>
                <w:rFonts w:cs="Arial"/>
                <w:szCs w:val="18"/>
              </w:rPr>
              <w:t>4</w:t>
            </w:r>
          </w:p>
        </w:tc>
      </w:tr>
      <w:tr w:rsidR="0002701C" w:rsidRPr="001E05F5" w14:paraId="5B2FCFE1"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322FBA7"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601D0CCF" w14:textId="77777777" w:rsidR="0002701C" w:rsidRPr="001E05F5" w:rsidRDefault="0002701C" w:rsidP="0002701C">
            <w:pPr>
              <w:pStyle w:val="TableFont"/>
              <w:rPr>
                <w:rFonts w:cs="Arial"/>
                <w:szCs w:val="18"/>
              </w:rPr>
            </w:pPr>
            <w:r w:rsidRPr="001E05F5">
              <w:rPr>
                <w:rFonts w:cs="Arial"/>
                <w:szCs w:val="18"/>
              </w:rPr>
              <w:t>Medium reduction in tonnes of CO</w:t>
            </w:r>
            <w:r w:rsidRPr="001E05F5">
              <w:rPr>
                <w:rFonts w:cs="Arial"/>
                <w:szCs w:val="18"/>
                <w:vertAlign w:val="subscript"/>
              </w:rPr>
              <w:t xml:space="preserve">2 </w:t>
            </w:r>
            <w:r w:rsidRPr="001E05F5">
              <w:rPr>
                <w:rFonts w:cs="Arial"/>
                <w:szCs w:val="18"/>
              </w:rPr>
              <w:t>equivalents (10,000-19,999 tonnes CO2-Eq)</w:t>
            </w:r>
          </w:p>
        </w:tc>
        <w:tc>
          <w:tcPr>
            <w:tcW w:w="647" w:type="dxa"/>
            <w:shd w:val="clear" w:color="auto" w:fill="auto"/>
            <w:noWrap/>
            <w:tcMar>
              <w:left w:w="28" w:type="dxa"/>
              <w:right w:w="28" w:type="dxa"/>
            </w:tcMar>
            <w:vAlign w:val="center"/>
            <w:hideMark/>
          </w:tcPr>
          <w:p w14:paraId="5581448E" w14:textId="77777777" w:rsidR="0002701C" w:rsidRPr="001E05F5" w:rsidRDefault="0002701C" w:rsidP="0002701C">
            <w:pPr>
              <w:pStyle w:val="TableFont"/>
              <w:jc w:val="center"/>
              <w:rPr>
                <w:rFonts w:cs="Arial"/>
                <w:szCs w:val="18"/>
              </w:rPr>
            </w:pPr>
            <w:r w:rsidRPr="001E05F5">
              <w:rPr>
                <w:rFonts w:cs="Arial"/>
                <w:szCs w:val="18"/>
              </w:rPr>
              <w:t>3</w:t>
            </w:r>
          </w:p>
        </w:tc>
      </w:tr>
      <w:tr w:rsidR="0002701C" w:rsidRPr="001E05F5" w14:paraId="02E22662"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446D1D7"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3BECFC8C" w14:textId="77777777" w:rsidR="0002701C" w:rsidRPr="001E05F5" w:rsidRDefault="0002701C" w:rsidP="0002701C">
            <w:pPr>
              <w:pStyle w:val="TableFont"/>
              <w:rPr>
                <w:rFonts w:cs="Arial"/>
                <w:szCs w:val="18"/>
              </w:rPr>
            </w:pPr>
            <w:r w:rsidRPr="001E05F5">
              <w:rPr>
                <w:rFonts w:cs="Arial"/>
                <w:szCs w:val="18"/>
              </w:rPr>
              <w:t>Minor reduction in tonnes of CO</w:t>
            </w:r>
            <w:r w:rsidRPr="001E05F5">
              <w:rPr>
                <w:rFonts w:cs="Arial"/>
                <w:szCs w:val="18"/>
                <w:vertAlign w:val="subscript"/>
              </w:rPr>
              <w:t xml:space="preserve">2 </w:t>
            </w:r>
            <w:r w:rsidRPr="001E05F5">
              <w:rPr>
                <w:rFonts w:cs="Arial"/>
                <w:szCs w:val="18"/>
              </w:rPr>
              <w:t>equivalents (1,000-9,999 tonnes CO2-Eq)</w:t>
            </w:r>
          </w:p>
        </w:tc>
        <w:tc>
          <w:tcPr>
            <w:tcW w:w="647" w:type="dxa"/>
            <w:shd w:val="clear" w:color="auto" w:fill="auto"/>
            <w:noWrap/>
            <w:tcMar>
              <w:left w:w="28" w:type="dxa"/>
              <w:right w:w="28" w:type="dxa"/>
            </w:tcMar>
            <w:vAlign w:val="center"/>
            <w:hideMark/>
          </w:tcPr>
          <w:p w14:paraId="0DA15FBA" w14:textId="77777777" w:rsidR="0002701C" w:rsidRPr="001E05F5" w:rsidRDefault="0002701C" w:rsidP="0002701C">
            <w:pPr>
              <w:pStyle w:val="TableFont"/>
              <w:jc w:val="center"/>
              <w:rPr>
                <w:rFonts w:cs="Arial"/>
                <w:szCs w:val="18"/>
              </w:rPr>
            </w:pPr>
            <w:r w:rsidRPr="001E05F5">
              <w:rPr>
                <w:rFonts w:cs="Arial"/>
                <w:szCs w:val="18"/>
              </w:rPr>
              <w:t>2</w:t>
            </w:r>
          </w:p>
        </w:tc>
      </w:tr>
      <w:tr w:rsidR="0002701C" w:rsidRPr="001E05F5" w14:paraId="01B1013D"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8E73FD7"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1A88E477" w14:textId="77777777" w:rsidR="0002701C" w:rsidRPr="001E05F5" w:rsidRDefault="0002701C" w:rsidP="0002701C">
            <w:pPr>
              <w:pStyle w:val="TableFont"/>
              <w:rPr>
                <w:rFonts w:cs="Arial"/>
                <w:szCs w:val="18"/>
              </w:rPr>
            </w:pPr>
            <w:r w:rsidRPr="001E05F5">
              <w:rPr>
                <w:rFonts w:cs="Arial"/>
                <w:szCs w:val="18"/>
              </w:rPr>
              <w:t>No change in tonnes of CO</w:t>
            </w:r>
            <w:r w:rsidRPr="001E05F5">
              <w:rPr>
                <w:rFonts w:cs="Arial"/>
                <w:szCs w:val="18"/>
                <w:vertAlign w:val="subscript"/>
              </w:rPr>
              <w:t xml:space="preserve">2 </w:t>
            </w:r>
            <w:r w:rsidRPr="001E05F5">
              <w:rPr>
                <w:rFonts w:cs="Arial"/>
                <w:szCs w:val="18"/>
              </w:rPr>
              <w:t>equivalents from baseline (+/- 999 tonnes CO2-Eq)</w:t>
            </w:r>
          </w:p>
        </w:tc>
        <w:tc>
          <w:tcPr>
            <w:tcW w:w="647" w:type="dxa"/>
            <w:shd w:val="clear" w:color="auto" w:fill="auto"/>
            <w:noWrap/>
            <w:tcMar>
              <w:left w:w="28" w:type="dxa"/>
              <w:right w:w="28" w:type="dxa"/>
            </w:tcMar>
            <w:vAlign w:val="center"/>
            <w:hideMark/>
          </w:tcPr>
          <w:p w14:paraId="10B16D0B" w14:textId="77777777" w:rsidR="0002701C" w:rsidRPr="001E05F5" w:rsidRDefault="0002701C" w:rsidP="0002701C">
            <w:pPr>
              <w:pStyle w:val="TableFont"/>
              <w:jc w:val="center"/>
              <w:rPr>
                <w:rFonts w:cs="Arial"/>
                <w:szCs w:val="18"/>
              </w:rPr>
            </w:pPr>
            <w:r w:rsidRPr="001E05F5">
              <w:rPr>
                <w:rFonts w:cs="Arial"/>
                <w:szCs w:val="18"/>
              </w:rPr>
              <w:t>1</w:t>
            </w:r>
          </w:p>
        </w:tc>
      </w:tr>
      <w:tr w:rsidR="0002701C" w:rsidRPr="001E05F5" w14:paraId="3434066B"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7E892426"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auto" w:fill="auto"/>
            <w:noWrap/>
            <w:tcMar>
              <w:left w:w="57" w:type="dxa"/>
              <w:right w:w="28" w:type="dxa"/>
            </w:tcMar>
            <w:vAlign w:val="center"/>
            <w:hideMark/>
          </w:tcPr>
          <w:p w14:paraId="6E3CBF57" w14:textId="77777777" w:rsidR="0002701C" w:rsidRPr="001E05F5" w:rsidRDefault="0002701C" w:rsidP="0002701C">
            <w:pPr>
              <w:pStyle w:val="TableFont"/>
              <w:rPr>
                <w:rFonts w:cs="Arial"/>
                <w:szCs w:val="18"/>
              </w:rPr>
            </w:pPr>
            <w:r w:rsidRPr="001E05F5">
              <w:rPr>
                <w:rFonts w:cs="Arial"/>
                <w:szCs w:val="18"/>
              </w:rPr>
              <w:t>Increase in tonnes of CO</w:t>
            </w:r>
            <w:r w:rsidRPr="001E05F5">
              <w:rPr>
                <w:rFonts w:cs="Arial"/>
                <w:szCs w:val="18"/>
                <w:vertAlign w:val="subscript"/>
              </w:rPr>
              <w:t xml:space="preserve">2 </w:t>
            </w:r>
            <w:r w:rsidRPr="001E05F5">
              <w:rPr>
                <w:rFonts w:cs="Arial"/>
                <w:szCs w:val="18"/>
              </w:rPr>
              <w:t>equivalents (&gt;1,000 tonnes CO2-Eq)</w:t>
            </w:r>
          </w:p>
        </w:tc>
        <w:tc>
          <w:tcPr>
            <w:tcW w:w="647" w:type="dxa"/>
            <w:tcBorders>
              <w:bottom w:val="single" w:sz="4" w:space="0" w:color="A6A6A6" w:themeColor="background1" w:themeShade="A6"/>
            </w:tcBorders>
            <w:shd w:val="clear" w:color="auto" w:fill="auto"/>
            <w:noWrap/>
            <w:tcMar>
              <w:left w:w="28" w:type="dxa"/>
              <w:right w:w="28" w:type="dxa"/>
            </w:tcMar>
            <w:vAlign w:val="center"/>
            <w:hideMark/>
          </w:tcPr>
          <w:p w14:paraId="2B854EFD" w14:textId="77777777" w:rsidR="0002701C" w:rsidRPr="001E05F5" w:rsidRDefault="0002701C" w:rsidP="0002701C">
            <w:pPr>
              <w:pStyle w:val="TableFont"/>
              <w:jc w:val="center"/>
              <w:rPr>
                <w:rFonts w:cs="Arial"/>
                <w:szCs w:val="18"/>
              </w:rPr>
            </w:pPr>
            <w:r w:rsidRPr="001E05F5">
              <w:rPr>
                <w:rFonts w:cs="Arial"/>
                <w:szCs w:val="18"/>
              </w:rPr>
              <w:t>0</w:t>
            </w:r>
          </w:p>
        </w:tc>
      </w:tr>
      <w:tr w:rsidR="0002701C" w:rsidRPr="001E05F5" w14:paraId="1F208740" w14:textId="77777777" w:rsidTr="003E20B2">
        <w:tc>
          <w:tcPr>
            <w:tcW w:w="1701" w:type="dxa"/>
            <w:vMerge w:val="restart"/>
            <w:tcBorders>
              <w:top w:val="single" w:sz="8" w:space="0" w:color="808080"/>
              <w:bottom w:val="single" w:sz="8" w:space="0" w:color="808080"/>
              <w:right w:val="single" w:sz="4" w:space="0" w:color="A6A6A6" w:themeColor="background1" w:themeShade="A6"/>
            </w:tcBorders>
            <w:shd w:val="clear" w:color="auto" w:fill="D9D9D9" w:themeFill="background1" w:themeFillShade="D9"/>
            <w:tcMar>
              <w:left w:w="57" w:type="dxa"/>
              <w:right w:w="28" w:type="dxa"/>
            </w:tcMar>
            <w:vAlign w:val="center"/>
            <w:hideMark/>
          </w:tcPr>
          <w:p w14:paraId="4AE70DCA" w14:textId="77777777" w:rsidR="0002701C" w:rsidRPr="001E05F5" w:rsidRDefault="0002701C" w:rsidP="0002701C">
            <w:pPr>
              <w:spacing w:before="40" w:after="40"/>
              <w:rPr>
                <w:rFonts w:cs="Arial"/>
                <w:color w:val="000000"/>
                <w:sz w:val="18"/>
                <w:szCs w:val="18"/>
              </w:rPr>
            </w:pPr>
            <w:r w:rsidRPr="001E05F5">
              <w:rPr>
                <w:rFonts w:cs="Arial"/>
                <w:color w:val="000000"/>
                <w:sz w:val="18"/>
                <w:szCs w:val="18"/>
              </w:rPr>
              <w:t>9.</w:t>
            </w:r>
            <w:r w:rsidRPr="001E05F5">
              <w:rPr>
                <w:color w:val="000000"/>
                <w:sz w:val="14"/>
                <w:szCs w:val="14"/>
              </w:rPr>
              <w:t xml:space="preserve"> </w:t>
            </w:r>
            <w:r w:rsidRPr="001E05F5">
              <w:rPr>
                <w:rFonts w:cs="Arial"/>
                <w:color w:val="000000"/>
                <w:sz w:val="18"/>
                <w:szCs w:val="18"/>
              </w:rPr>
              <w:t>Affordable (long term measure)</w:t>
            </w:r>
          </w:p>
        </w:tc>
        <w:tc>
          <w:tcPr>
            <w:tcW w:w="7088" w:type="dxa"/>
            <w:tcBorders>
              <w:top w:val="single" w:sz="4" w:space="0" w:color="A6A6A6" w:themeColor="background1" w:themeShade="A6"/>
              <w:left w:val="single" w:sz="4" w:space="0" w:color="A6A6A6" w:themeColor="background1" w:themeShade="A6"/>
              <w:bottom w:val="single" w:sz="8" w:space="0" w:color="808080"/>
            </w:tcBorders>
            <w:shd w:val="clear" w:color="auto" w:fill="808080" w:themeFill="background1" w:themeFillShade="80"/>
            <w:tcMar>
              <w:left w:w="57" w:type="dxa"/>
              <w:right w:w="28" w:type="dxa"/>
            </w:tcMar>
            <w:vAlign w:val="center"/>
            <w:hideMark/>
          </w:tcPr>
          <w:p w14:paraId="1D08CCD6" w14:textId="77777777" w:rsidR="0002701C" w:rsidRPr="001E05F5" w:rsidRDefault="0002701C" w:rsidP="0002701C">
            <w:pPr>
              <w:spacing w:before="40" w:after="40"/>
              <w:rPr>
                <w:rFonts w:cs="Arial"/>
                <w:b/>
                <w:bCs/>
                <w:color w:val="FFFFFF"/>
                <w:sz w:val="18"/>
                <w:szCs w:val="18"/>
              </w:rPr>
            </w:pPr>
            <w:r w:rsidRPr="001E05F5">
              <w:rPr>
                <w:rFonts w:cs="Arial"/>
                <w:b/>
                <w:bCs/>
                <w:color w:val="FFFFFF"/>
                <w:sz w:val="18"/>
                <w:szCs w:val="18"/>
              </w:rPr>
              <w:t>Evaluation Criteria</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75A6E809" w14:textId="295E5C46" w:rsidR="0002701C" w:rsidRPr="001E05F5" w:rsidRDefault="00263072" w:rsidP="0002701C">
            <w:pPr>
              <w:spacing w:before="40" w:after="40"/>
              <w:jc w:val="center"/>
              <w:rPr>
                <w:rFonts w:cs="Arial"/>
                <w:b/>
                <w:bCs/>
                <w:color w:val="FFFFFF"/>
                <w:sz w:val="18"/>
                <w:szCs w:val="18"/>
              </w:rPr>
            </w:pPr>
            <w:r w:rsidRPr="001E05F5">
              <w:rPr>
                <w:rFonts w:cs="Arial"/>
                <w:b/>
                <w:bCs/>
                <w:color w:val="FFFFFF"/>
                <w:sz w:val="18"/>
                <w:szCs w:val="18"/>
              </w:rPr>
              <w:t>Score</w:t>
            </w:r>
          </w:p>
        </w:tc>
      </w:tr>
      <w:tr w:rsidR="0002701C" w:rsidRPr="001E05F5" w14:paraId="61F5AE9C"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DF15DF8" w14:textId="77777777" w:rsidR="0002701C" w:rsidRPr="001E05F5" w:rsidRDefault="0002701C" w:rsidP="0002701C">
            <w:pPr>
              <w:pStyle w:val="TableFont"/>
              <w:rPr>
                <w:rFonts w:cs="Arial"/>
                <w:szCs w:val="18"/>
              </w:rPr>
            </w:pPr>
          </w:p>
        </w:tc>
        <w:tc>
          <w:tcPr>
            <w:tcW w:w="7088" w:type="dxa"/>
            <w:tcBorders>
              <w:top w:val="single" w:sz="8" w:space="0" w:color="808080"/>
            </w:tcBorders>
            <w:shd w:val="clear" w:color="auto" w:fill="auto"/>
            <w:noWrap/>
            <w:tcMar>
              <w:left w:w="57" w:type="dxa"/>
              <w:right w:w="28" w:type="dxa"/>
            </w:tcMar>
            <w:vAlign w:val="center"/>
            <w:hideMark/>
          </w:tcPr>
          <w:p w14:paraId="6FAEC404" w14:textId="77777777" w:rsidR="0002701C" w:rsidRPr="001E05F5" w:rsidRDefault="0002701C" w:rsidP="0002701C">
            <w:pPr>
              <w:pStyle w:val="TableFont"/>
              <w:keepNext/>
              <w:rPr>
                <w:rFonts w:cs="Arial"/>
                <w:szCs w:val="18"/>
                <w:highlight w:val="yellow"/>
              </w:rPr>
            </w:pPr>
            <w:r w:rsidRPr="001E05F5">
              <w:rPr>
                <w:rFonts w:cs="Arial"/>
                <w:szCs w:val="18"/>
              </w:rPr>
              <w:t xml:space="preserve">Significant percentage savings in NPV achieved (&gt;10%) </w:t>
            </w:r>
          </w:p>
        </w:tc>
        <w:tc>
          <w:tcPr>
            <w:tcW w:w="647" w:type="dxa"/>
            <w:tcBorders>
              <w:top w:val="single" w:sz="8" w:space="0" w:color="808080"/>
            </w:tcBorders>
            <w:shd w:val="clear" w:color="auto" w:fill="auto"/>
            <w:noWrap/>
            <w:tcMar>
              <w:left w:w="28" w:type="dxa"/>
              <w:right w:w="28" w:type="dxa"/>
            </w:tcMar>
            <w:vAlign w:val="center"/>
            <w:hideMark/>
          </w:tcPr>
          <w:p w14:paraId="1EA2ADE3" w14:textId="77777777" w:rsidR="0002701C" w:rsidRPr="001E05F5" w:rsidRDefault="0002701C" w:rsidP="0002701C">
            <w:pPr>
              <w:pStyle w:val="TableFont"/>
              <w:keepNext/>
              <w:jc w:val="center"/>
              <w:rPr>
                <w:rFonts w:cs="Arial"/>
                <w:szCs w:val="18"/>
              </w:rPr>
            </w:pPr>
            <w:r w:rsidRPr="001E05F5">
              <w:rPr>
                <w:rFonts w:cs="Arial"/>
                <w:szCs w:val="18"/>
              </w:rPr>
              <w:t>5</w:t>
            </w:r>
          </w:p>
        </w:tc>
      </w:tr>
      <w:tr w:rsidR="0002701C" w:rsidRPr="001E05F5" w14:paraId="568DC093"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29388C03"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796013CC" w14:textId="77777777" w:rsidR="0002701C" w:rsidRPr="001E05F5" w:rsidRDefault="0002701C" w:rsidP="0002701C">
            <w:pPr>
              <w:pStyle w:val="TableFont"/>
              <w:keepNext/>
              <w:rPr>
                <w:rFonts w:cs="Arial"/>
                <w:szCs w:val="18"/>
                <w:highlight w:val="yellow"/>
              </w:rPr>
            </w:pPr>
            <w:r w:rsidRPr="001E05F5">
              <w:rPr>
                <w:rFonts w:cs="Arial"/>
                <w:szCs w:val="18"/>
              </w:rPr>
              <w:t>High percentage savings achieved in NPV (-7.5 to -10%)</w:t>
            </w:r>
          </w:p>
        </w:tc>
        <w:tc>
          <w:tcPr>
            <w:tcW w:w="647" w:type="dxa"/>
            <w:shd w:val="clear" w:color="auto" w:fill="auto"/>
            <w:noWrap/>
            <w:tcMar>
              <w:left w:w="28" w:type="dxa"/>
              <w:right w:w="28" w:type="dxa"/>
            </w:tcMar>
            <w:vAlign w:val="center"/>
            <w:hideMark/>
          </w:tcPr>
          <w:p w14:paraId="75E4689A" w14:textId="77777777" w:rsidR="0002701C" w:rsidRPr="001E05F5" w:rsidRDefault="0002701C" w:rsidP="0002701C">
            <w:pPr>
              <w:pStyle w:val="TableFont"/>
              <w:keepNext/>
              <w:jc w:val="center"/>
              <w:rPr>
                <w:rFonts w:cs="Arial"/>
                <w:szCs w:val="18"/>
              </w:rPr>
            </w:pPr>
            <w:r w:rsidRPr="001E05F5">
              <w:rPr>
                <w:rFonts w:cs="Arial"/>
                <w:szCs w:val="18"/>
              </w:rPr>
              <w:t>4</w:t>
            </w:r>
          </w:p>
        </w:tc>
      </w:tr>
      <w:tr w:rsidR="0002701C" w:rsidRPr="001E05F5" w14:paraId="018F0C36"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17219F25"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7FE31CD0" w14:textId="77777777" w:rsidR="0002701C" w:rsidRPr="001E05F5" w:rsidRDefault="0002701C" w:rsidP="0002701C">
            <w:pPr>
              <w:pStyle w:val="TableFont"/>
              <w:keepNext/>
              <w:rPr>
                <w:rFonts w:cs="Arial"/>
                <w:szCs w:val="18"/>
                <w:highlight w:val="yellow"/>
              </w:rPr>
            </w:pPr>
            <w:r w:rsidRPr="001E05F5">
              <w:rPr>
                <w:rFonts w:cs="Arial"/>
                <w:szCs w:val="18"/>
              </w:rPr>
              <w:t>Medium percentage savings in NPV (-5% to -7.49%)</w:t>
            </w:r>
          </w:p>
        </w:tc>
        <w:tc>
          <w:tcPr>
            <w:tcW w:w="647" w:type="dxa"/>
            <w:shd w:val="clear" w:color="auto" w:fill="auto"/>
            <w:noWrap/>
            <w:tcMar>
              <w:left w:w="28" w:type="dxa"/>
              <w:right w:w="28" w:type="dxa"/>
            </w:tcMar>
            <w:vAlign w:val="center"/>
            <w:hideMark/>
          </w:tcPr>
          <w:p w14:paraId="46D5579D" w14:textId="77777777" w:rsidR="0002701C" w:rsidRPr="001E05F5" w:rsidRDefault="0002701C" w:rsidP="0002701C">
            <w:pPr>
              <w:pStyle w:val="TableFont"/>
              <w:keepNext/>
              <w:jc w:val="center"/>
              <w:rPr>
                <w:rFonts w:cs="Arial"/>
                <w:szCs w:val="18"/>
              </w:rPr>
            </w:pPr>
            <w:r w:rsidRPr="001E05F5">
              <w:rPr>
                <w:rFonts w:cs="Arial"/>
                <w:szCs w:val="18"/>
              </w:rPr>
              <w:t>3</w:t>
            </w:r>
          </w:p>
        </w:tc>
      </w:tr>
      <w:tr w:rsidR="0002701C" w:rsidRPr="001E05F5" w14:paraId="0016433B"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7D435DA"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5322DBEA" w14:textId="77777777" w:rsidR="0002701C" w:rsidRPr="001E05F5" w:rsidRDefault="0002701C" w:rsidP="0002701C">
            <w:pPr>
              <w:pStyle w:val="TableFont"/>
              <w:keepNext/>
              <w:rPr>
                <w:rFonts w:cs="Arial"/>
                <w:szCs w:val="18"/>
              </w:rPr>
            </w:pPr>
            <w:r w:rsidRPr="001E05F5">
              <w:rPr>
                <w:rFonts w:cs="Arial"/>
                <w:szCs w:val="18"/>
              </w:rPr>
              <w:t>Minor percentage savings in NPV (-2.5% to -4.99%)</w:t>
            </w:r>
          </w:p>
        </w:tc>
        <w:tc>
          <w:tcPr>
            <w:tcW w:w="647" w:type="dxa"/>
            <w:shd w:val="clear" w:color="auto" w:fill="auto"/>
            <w:noWrap/>
            <w:tcMar>
              <w:left w:w="28" w:type="dxa"/>
              <w:right w:w="28" w:type="dxa"/>
            </w:tcMar>
            <w:vAlign w:val="center"/>
            <w:hideMark/>
          </w:tcPr>
          <w:p w14:paraId="7B5B7EA4" w14:textId="77777777" w:rsidR="0002701C" w:rsidRPr="001E05F5" w:rsidRDefault="0002701C" w:rsidP="0002701C">
            <w:pPr>
              <w:pStyle w:val="TableFont"/>
              <w:keepNext/>
              <w:jc w:val="center"/>
              <w:rPr>
                <w:rFonts w:cs="Arial"/>
                <w:szCs w:val="18"/>
              </w:rPr>
            </w:pPr>
            <w:r w:rsidRPr="001E05F5">
              <w:rPr>
                <w:rFonts w:cs="Arial"/>
                <w:szCs w:val="18"/>
              </w:rPr>
              <w:t>2</w:t>
            </w:r>
          </w:p>
        </w:tc>
      </w:tr>
      <w:tr w:rsidR="0002701C" w:rsidRPr="001E05F5" w14:paraId="4B3F6185"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711DE667"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231CF18F" w14:textId="77777777" w:rsidR="0002701C" w:rsidRPr="001E05F5" w:rsidRDefault="0002701C" w:rsidP="0002701C">
            <w:pPr>
              <w:pStyle w:val="TableFont"/>
              <w:keepNext/>
              <w:rPr>
                <w:rFonts w:cs="Arial"/>
                <w:szCs w:val="18"/>
              </w:rPr>
            </w:pPr>
            <w:r w:rsidRPr="001E05F5">
              <w:rPr>
                <w:rFonts w:cs="Arial"/>
                <w:szCs w:val="18"/>
              </w:rPr>
              <w:t>No significant percentage change in NPV (+/- 2.49%)</w:t>
            </w:r>
          </w:p>
        </w:tc>
        <w:tc>
          <w:tcPr>
            <w:tcW w:w="647" w:type="dxa"/>
            <w:shd w:val="clear" w:color="auto" w:fill="auto"/>
            <w:noWrap/>
            <w:tcMar>
              <w:left w:w="28" w:type="dxa"/>
              <w:right w:w="28" w:type="dxa"/>
            </w:tcMar>
            <w:vAlign w:val="center"/>
            <w:hideMark/>
          </w:tcPr>
          <w:p w14:paraId="286BD10B" w14:textId="77777777" w:rsidR="0002701C" w:rsidRPr="001E05F5" w:rsidRDefault="0002701C" w:rsidP="0002701C">
            <w:pPr>
              <w:pStyle w:val="TableFont"/>
              <w:keepNext/>
              <w:jc w:val="center"/>
              <w:rPr>
                <w:rFonts w:cs="Arial"/>
                <w:szCs w:val="18"/>
              </w:rPr>
            </w:pPr>
            <w:r w:rsidRPr="001E05F5">
              <w:rPr>
                <w:rFonts w:cs="Arial"/>
                <w:szCs w:val="18"/>
              </w:rPr>
              <w:t>1</w:t>
            </w:r>
          </w:p>
        </w:tc>
      </w:tr>
      <w:tr w:rsidR="0002701C" w:rsidRPr="001E05F5" w14:paraId="40C73AB1"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98D12F1"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auto" w:fill="auto"/>
            <w:noWrap/>
            <w:tcMar>
              <w:left w:w="57" w:type="dxa"/>
              <w:right w:w="28" w:type="dxa"/>
            </w:tcMar>
            <w:vAlign w:val="center"/>
            <w:hideMark/>
          </w:tcPr>
          <w:p w14:paraId="141C8969" w14:textId="77777777" w:rsidR="0002701C" w:rsidRPr="001E05F5" w:rsidRDefault="0002701C" w:rsidP="0002701C">
            <w:pPr>
              <w:pStyle w:val="TableFont"/>
              <w:rPr>
                <w:rFonts w:cs="Arial"/>
                <w:szCs w:val="18"/>
              </w:rPr>
            </w:pPr>
            <w:r w:rsidRPr="001E05F5">
              <w:rPr>
                <w:rFonts w:cs="Arial"/>
                <w:szCs w:val="18"/>
              </w:rPr>
              <w:t>Some percentage increase in NPV (&gt;+2.5%)</w:t>
            </w:r>
          </w:p>
        </w:tc>
        <w:tc>
          <w:tcPr>
            <w:tcW w:w="647" w:type="dxa"/>
            <w:tcBorders>
              <w:bottom w:val="single" w:sz="4" w:space="0" w:color="A6A6A6" w:themeColor="background1" w:themeShade="A6"/>
            </w:tcBorders>
            <w:shd w:val="clear" w:color="auto" w:fill="auto"/>
            <w:noWrap/>
            <w:tcMar>
              <w:left w:w="28" w:type="dxa"/>
              <w:right w:w="28" w:type="dxa"/>
            </w:tcMar>
            <w:vAlign w:val="center"/>
            <w:hideMark/>
          </w:tcPr>
          <w:p w14:paraId="25D03D2A" w14:textId="77777777" w:rsidR="0002701C" w:rsidRPr="001E05F5" w:rsidRDefault="0002701C" w:rsidP="0002701C">
            <w:pPr>
              <w:pStyle w:val="TableFont"/>
              <w:jc w:val="center"/>
              <w:rPr>
                <w:rFonts w:cs="Arial"/>
                <w:szCs w:val="18"/>
              </w:rPr>
            </w:pPr>
            <w:r w:rsidRPr="001E05F5">
              <w:rPr>
                <w:rFonts w:cs="Arial"/>
                <w:szCs w:val="18"/>
              </w:rPr>
              <w:t>0</w:t>
            </w:r>
          </w:p>
        </w:tc>
      </w:tr>
      <w:tr w:rsidR="0002701C" w:rsidRPr="001E05F5" w14:paraId="265D3B8A" w14:textId="77777777" w:rsidTr="003E20B2">
        <w:tc>
          <w:tcPr>
            <w:tcW w:w="1701" w:type="dxa"/>
            <w:vMerge w:val="restart"/>
            <w:tcBorders>
              <w:top w:val="single" w:sz="8" w:space="0" w:color="808080"/>
              <w:bottom w:val="single" w:sz="8" w:space="0" w:color="808080"/>
              <w:right w:val="single" w:sz="4" w:space="0" w:color="A6A6A6" w:themeColor="background1" w:themeShade="A6"/>
            </w:tcBorders>
            <w:shd w:val="clear" w:color="auto" w:fill="D9D9D9" w:themeFill="background1" w:themeFillShade="D9"/>
            <w:tcMar>
              <w:left w:w="57" w:type="dxa"/>
              <w:right w:w="28" w:type="dxa"/>
            </w:tcMar>
            <w:vAlign w:val="center"/>
            <w:hideMark/>
          </w:tcPr>
          <w:p w14:paraId="36236840" w14:textId="77777777" w:rsidR="0002701C" w:rsidRPr="001E05F5" w:rsidRDefault="0002701C" w:rsidP="0002701C">
            <w:pPr>
              <w:spacing w:before="40" w:after="40"/>
              <w:rPr>
                <w:rFonts w:cs="Arial"/>
                <w:color w:val="000000"/>
                <w:sz w:val="18"/>
                <w:szCs w:val="18"/>
              </w:rPr>
            </w:pPr>
            <w:r w:rsidRPr="001E05F5">
              <w:rPr>
                <w:rFonts w:cs="Arial"/>
                <w:color w:val="000000"/>
                <w:sz w:val="18"/>
                <w:szCs w:val="18"/>
              </w:rPr>
              <w:t>10.</w:t>
            </w:r>
            <w:r w:rsidRPr="001E05F5">
              <w:rPr>
                <w:color w:val="000000"/>
                <w:sz w:val="14"/>
                <w:szCs w:val="14"/>
              </w:rPr>
              <w:t xml:space="preserve"> </w:t>
            </w:r>
            <w:r w:rsidRPr="001E05F5">
              <w:rPr>
                <w:rFonts w:cs="Arial"/>
                <w:color w:val="000000"/>
                <w:sz w:val="18"/>
                <w:szCs w:val="18"/>
              </w:rPr>
              <w:t>Deliverability</w:t>
            </w:r>
          </w:p>
        </w:tc>
        <w:tc>
          <w:tcPr>
            <w:tcW w:w="7088" w:type="dxa"/>
            <w:tcBorders>
              <w:top w:val="single" w:sz="4" w:space="0" w:color="A6A6A6" w:themeColor="background1" w:themeShade="A6"/>
              <w:left w:val="single" w:sz="4" w:space="0" w:color="A6A6A6" w:themeColor="background1" w:themeShade="A6"/>
              <w:bottom w:val="single" w:sz="8" w:space="0" w:color="808080"/>
            </w:tcBorders>
            <w:shd w:val="clear" w:color="auto" w:fill="808080" w:themeFill="background1" w:themeFillShade="80"/>
            <w:tcMar>
              <w:left w:w="57" w:type="dxa"/>
              <w:right w:w="28" w:type="dxa"/>
            </w:tcMar>
            <w:vAlign w:val="center"/>
            <w:hideMark/>
          </w:tcPr>
          <w:p w14:paraId="076331D3" w14:textId="77777777" w:rsidR="0002701C" w:rsidRPr="001E05F5" w:rsidRDefault="0002701C" w:rsidP="0002701C">
            <w:pPr>
              <w:spacing w:before="40" w:after="40"/>
              <w:rPr>
                <w:rFonts w:cs="Arial"/>
                <w:b/>
                <w:bCs/>
                <w:color w:val="FFFFFF"/>
                <w:sz w:val="18"/>
                <w:szCs w:val="18"/>
              </w:rPr>
            </w:pPr>
            <w:r w:rsidRPr="001E05F5">
              <w:rPr>
                <w:rFonts w:cs="Arial"/>
                <w:b/>
                <w:bCs/>
                <w:color w:val="FFFFFF"/>
                <w:sz w:val="18"/>
                <w:szCs w:val="18"/>
              </w:rPr>
              <w:t>Evaluation Criteria</w:t>
            </w:r>
          </w:p>
        </w:tc>
        <w:tc>
          <w:tcPr>
            <w:tcW w:w="647" w:type="dxa"/>
            <w:tcBorders>
              <w:top w:val="single" w:sz="4" w:space="0" w:color="A6A6A6" w:themeColor="background1" w:themeShade="A6"/>
              <w:bottom w:val="single" w:sz="8" w:space="0" w:color="808080"/>
            </w:tcBorders>
            <w:shd w:val="clear" w:color="auto" w:fill="808080" w:themeFill="background1" w:themeFillShade="80"/>
            <w:noWrap/>
            <w:tcMar>
              <w:left w:w="28" w:type="dxa"/>
              <w:right w:w="28" w:type="dxa"/>
            </w:tcMar>
            <w:vAlign w:val="center"/>
            <w:hideMark/>
          </w:tcPr>
          <w:p w14:paraId="037B2593" w14:textId="2406BDE0" w:rsidR="0002701C" w:rsidRPr="001E05F5" w:rsidRDefault="00263072" w:rsidP="0002701C">
            <w:pPr>
              <w:spacing w:before="40" w:after="40"/>
              <w:jc w:val="center"/>
              <w:rPr>
                <w:rFonts w:cs="Arial"/>
                <w:b/>
                <w:bCs/>
                <w:color w:val="FFFFFF"/>
                <w:sz w:val="18"/>
                <w:szCs w:val="18"/>
              </w:rPr>
            </w:pPr>
            <w:r w:rsidRPr="001E05F5">
              <w:rPr>
                <w:rFonts w:cs="Arial"/>
                <w:b/>
                <w:bCs/>
                <w:color w:val="FFFFFF"/>
                <w:sz w:val="18"/>
                <w:szCs w:val="18"/>
              </w:rPr>
              <w:t>Score</w:t>
            </w:r>
          </w:p>
        </w:tc>
      </w:tr>
      <w:tr w:rsidR="0002701C" w:rsidRPr="001E05F5" w14:paraId="5CFC7C82"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1C1ED61" w14:textId="77777777" w:rsidR="0002701C" w:rsidRPr="001E05F5" w:rsidRDefault="0002701C" w:rsidP="0002701C">
            <w:pPr>
              <w:pStyle w:val="TableFont"/>
              <w:rPr>
                <w:rFonts w:cs="Arial"/>
                <w:szCs w:val="18"/>
              </w:rPr>
            </w:pPr>
          </w:p>
        </w:tc>
        <w:tc>
          <w:tcPr>
            <w:tcW w:w="7088" w:type="dxa"/>
            <w:tcBorders>
              <w:top w:val="single" w:sz="8" w:space="0" w:color="808080"/>
            </w:tcBorders>
            <w:shd w:val="clear" w:color="auto" w:fill="auto"/>
            <w:noWrap/>
            <w:tcMar>
              <w:left w:w="57" w:type="dxa"/>
              <w:right w:w="28" w:type="dxa"/>
            </w:tcMar>
            <w:vAlign w:val="center"/>
            <w:hideMark/>
          </w:tcPr>
          <w:p w14:paraId="67BC90AE" w14:textId="77777777" w:rsidR="0002701C" w:rsidRPr="001E05F5" w:rsidRDefault="0002701C" w:rsidP="0002701C">
            <w:pPr>
              <w:pStyle w:val="TableFont"/>
              <w:keepNext/>
              <w:rPr>
                <w:rFonts w:cs="Arial"/>
                <w:szCs w:val="18"/>
                <w:highlight w:val="yellow"/>
              </w:rPr>
            </w:pPr>
            <w:r w:rsidRPr="001E05F5">
              <w:rPr>
                <w:rFonts w:cs="Arial"/>
                <w:szCs w:val="18"/>
              </w:rPr>
              <w:t>No major deliverability challenges envisaged</w:t>
            </w:r>
          </w:p>
        </w:tc>
        <w:tc>
          <w:tcPr>
            <w:tcW w:w="647" w:type="dxa"/>
            <w:tcBorders>
              <w:top w:val="single" w:sz="8" w:space="0" w:color="808080"/>
            </w:tcBorders>
            <w:shd w:val="clear" w:color="auto" w:fill="auto"/>
            <w:noWrap/>
            <w:tcMar>
              <w:left w:w="28" w:type="dxa"/>
              <w:right w:w="28" w:type="dxa"/>
            </w:tcMar>
            <w:vAlign w:val="center"/>
            <w:hideMark/>
          </w:tcPr>
          <w:p w14:paraId="4807595F" w14:textId="77777777" w:rsidR="0002701C" w:rsidRPr="001E05F5" w:rsidRDefault="0002701C" w:rsidP="0002701C">
            <w:pPr>
              <w:pStyle w:val="TableFont"/>
              <w:keepNext/>
              <w:jc w:val="center"/>
              <w:rPr>
                <w:rFonts w:cs="Arial"/>
                <w:szCs w:val="18"/>
              </w:rPr>
            </w:pPr>
            <w:r w:rsidRPr="001E05F5">
              <w:rPr>
                <w:rFonts w:cs="Arial"/>
                <w:szCs w:val="18"/>
              </w:rPr>
              <w:t>5</w:t>
            </w:r>
          </w:p>
        </w:tc>
      </w:tr>
      <w:tr w:rsidR="0002701C" w:rsidRPr="001E05F5" w14:paraId="0FB9D0AD"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5D416FC0"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32690180" w14:textId="77777777" w:rsidR="0002701C" w:rsidRPr="001E05F5" w:rsidRDefault="0002701C" w:rsidP="0002701C">
            <w:pPr>
              <w:pStyle w:val="TableFont"/>
              <w:keepNext/>
              <w:rPr>
                <w:rFonts w:cs="Arial"/>
                <w:szCs w:val="18"/>
              </w:rPr>
            </w:pPr>
            <w:r w:rsidRPr="001E05F5">
              <w:rPr>
                <w:rFonts w:cs="Arial"/>
                <w:szCs w:val="18"/>
              </w:rPr>
              <w:t>Some minor deliverability issues</w:t>
            </w:r>
          </w:p>
        </w:tc>
        <w:tc>
          <w:tcPr>
            <w:tcW w:w="647" w:type="dxa"/>
            <w:shd w:val="clear" w:color="auto" w:fill="auto"/>
            <w:noWrap/>
            <w:tcMar>
              <w:left w:w="28" w:type="dxa"/>
              <w:right w:w="28" w:type="dxa"/>
            </w:tcMar>
            <w:vAlign w:val="center"/>
            <w:hideMark/>
          </w:tcPr>
          <w:p w14:paraId="016B62CC" w14:textId="77777777" w:rsidR="0002701C" w:rsidRPr="001E05F5" w:rsidRDefault="0002701C" w:rsidP="0002701C">
            <w:pPr>
              <w:pStyle w:val="TableFont"/>
              <w:keepNext/>
              <w:jc w:val="center"/>
              <w:rPr>
                <w:rFonts w:cs="Arial"/>
                <w:szCs w:val="18"/>
              </w:rPr>
            </w:pPr>
            <w:r w:rsidRPr="001E05F5">
              <w:rPr>
                <w:rFonts w:cs="Arial"/>
                <w:szCs w:val="18"/>
              </w:rPr>
              <w:t>4</w:t>
            </w:r>
          </w:p>
        </w:tc>
      </w:tr>
      <w:tr w:rsidR="0002701C" w:rsidRPr="001E05F5" w14:paraId="05F8D604"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68748E6"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6F0492E7" w14:textId="77777777" w:rsidR="0002701C" w:rsidRPr="001E05F5" w:rsidRDefault="0002701C" w:rsidP="0002701C">
            <w:pPr>
              <w:pStyle w:val="TableFont"/>
              <w:keepNext/>
              <w:rPr>
                <w:rFonts w:cs="Arial"/>
                <w:szCs w:val="18"/>
              </w:rPr>
            </w:pPr>
            <w:r w:rsidRPr="001E05F5">
              <w:rPr>
                <w:rFonts w:cs="Arial"/>
                <w:szCs w:val="18"/>
              </w:rPr>
              <w:t>Some moderate deliverability issues</w:t>
            </w:r>
          </w:p>
        </w:tc>
        <w:tc>
          <w:tcPr>
            <w:tcW w:w="647" w:type="dxa"/>
            <w:shd w:val="clear" w:color="auto" w:fill="auto"/>
            <w:noWrap/>
            <w:tcMar>
              <w:left w:w="28" w:type="dxa"/>
              <w:right w:w="28" w:type="dxa"/>
            </w:tcMar>
            <w:vAlign w:val="center"/>
            <w:hideMark/>
          </w:tcPr>
          <w:p w14:paraId="1D84AD4B" w14:textId="77777777" w:rsidR="0002701C" w:rsidRPr="001E05F5" w:rsidRDefault="0002701C" w:rsidP="0002701C">
            <w:pPr>
              <w:pStyle w:val="TableFont"/>
              <w:keepNext/>
              <w:jc w:val="center"/>
              <w:rPr>
                <w:rFonts w:cs="Arial"/>
                <w:szCs w:val="18"/>
              </w:rPr>
            </w:pPr>
            <w:r w:rsidRPr="001E05F5">
              <w:rPr>
                <w:rFonts w:cs="Arial"/>
                <w:szCs w:val="18"/>
              </w:rPr>
              <w:t>3</w:t>
            </w:r>
          </w:p>
        </w:tc>
      </w:tr>
      <w:tr w:rsidR="0002701C" w:rsidRPr="001E05F5" w14:paraId="44446640"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3636FAAC"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763B5A32" w14:textId="77777777" w:rsidR="0002701C" w:rsidRPr="001E05F5" w:rsidRDefault="0002701C" w:rsidP="0002701C">
            <w:pPr>
              <w:pStyle w:val="TableFont"/>
              <w:keepNext/>
              <w:rPr>
                <w:rFonts w:cs="Arial"/>
                <w:szCs w:val="18"/>
              </w:rPr>
            </w:pPr>
            <w:r w:rsidRPr="001E05F5">
              <w:rPr>
                <w:rFonts w:cs="Arial"/>
                <w:szCs w:val="18"/>
              </w:rPr>
              <w:t>Some substantial deliverability issues</w:t>
            </w:r>
          </w:p>
        </w:tc>
        <w:tc>
          <w:tcPr>
            <w:tcW w:w="647" w:type="dxa"/>
            <w:shd w:val="clear" w:color="auto" w:fill="auto"/>
            <w:noWrap/>
            <w:tcMar>
              <w:left w:w="28" w:type="dxa"/>
              <w:right w:w="28" w:type="dxa"/>
            </w:tcMar>
            <w:vAlign w:val="center"/>
            <w:hideMark/>
          </w:tcPr>
          <w:p w14:paraId="5E001577" w14:textId="77777777" w:rsidR="0002701C" w:rsidRPr="001E05F5" w:rsidRDefault="0002701C" w:rsidP="0002701C">
            <w:pPr>
              <w:pStyle w:val="TableFont"/>
              <w:keepNext/>
              <w:jc w:val="center"/>
              <w:rPr>
                <w:rFonts w:cs="Arial"/>
                <w:szCs w:val="18"/>
              </w:rPr>
            </w:pPr>
            <w:r w:rsidRPr="001E05F5">
              <w:rPr>
                <w:rFonts w:cs="Arial"/>
                <w:szCs w:val="18"/>
              </w:rPr>
              <w:t>2</w:t>
            </w:r>
          </w:p>
        </w:tc>
      </w:tr>
      <w:tr w:rsidR="0002701C" w:rsidRPr="001E05F5" w14:paraId="3D89F09E"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0F136DEF" w14:textId="77777777" w:rsidR="0002701C" w:rsidRPr="001E05F5" w:rsidRDefault="0002701C" w:rsidP="0002701C">
            <w:pPr>
              <w:pStyle w:val="TableFont"/>
              <w:rPr>
                <w:rFonts w:cs="Arial"/>
                <w:szCs w:val="18"/>
              </w:rPr>
            </w:pPr>
          </w:p>
        </w:tc>
        <w:tc>
          <w:tcPr>
            <w:tcW w:w="7088" w:type="dxa"/>
            <w:shd w:val="clear" w:color="auto" w:fill="auto"/>
            <w:noWrap/>
            <w:tcMar>
              <w:left w:w="57" w:type="dxa"/>
              <w:right w:w="28" w:type="dxa"/>
            </w:tcMar>
            <w:vAlign w:val="center"/>
            <w:hideMark/>
          </w:tcPr>
          <w:p w14:paraId="776D24A4" w14:textId="77777777" w:rsidR="0002701C" w:rsidRPr="001E05F5" w:rsidRDefault="0002701C" w:rsidP="0002701C">
            <w:pPr>
              <w:pStyle w:val="TableFont"/>
              <w:keepNext/>
              <w:rPr>
                <w:rFonts w:cs="Arial"/>
                <w:szCs w:val="18"/>
              </w:rPr>
            </w:pPr>
            <w:r w:rsidRPr="001E05F5">
              <w:rPr>
                <w:rFonts w:cs="Arial"/>
                <w:szCs w:val="18"/>
              </w:rPr>
              <w:t>Major deliverability risks</w:t>
            </w:r>
          </w:p>
        </w:tc>
        <w:tc>
          <w:tcPr>
            <w:tcW w:w="647" w:type="dxa"/>
            <w:shd w:val="clear" w:color="auto" w:fill="auto"/>
            <w:noWrap/>
            <w:tcMar>
              <w:left w:w="28" w:type="dxa"/>
              <w:right w:w="28" w:type="dxa"/>
            </w:tcMar>
            <w:vAlign w:val="center"/>
            <w:hideMark/>
          </w:tcPr>
          <w:p w14:paraId="312397F9" w14:textId="77777777" w:rsidR="0002701C" w:rsidRPr="001E05F5" w:rsidRDefault="0002701C" w:rsidP="0002701C">
            <w:pPr>
              <w:pStyle w:val="TableFont"/>
              <w:keepNext/>
              <w:jc w:val="center"/>
              <w:rPr>
                <w:rFonts w:cs="Arial"/>
                <w:szCs w:val="18"/>
              </w:rPr>
            </w:pPr>
            <w:r w:rsidRPr="001E05F5">
              <w:rPr>
                <w:rFonts w:cs="Arial"/>
                <w:szCs w:val="18"/>
              </w:rPr>
              <w:t>1</w:t>
            </w:r>
          </w:p>
        </w:tc>
      </w:tr>
      <w:tr w:rsidR="0002701C" w:rsidRPr="001E05F5" w14:paraId="303EE3C6" w14:textId="77777777" w:rsidTr="003E20B2">
        <w:tc>
          <w:tcPr>
            <w:tcW w:w="1701" w:type="dxa"/>
            <w:vMerge/>
            <w:tcBorders>
              <w:top w:val="single" w:sz="8" w:space="0" w:color="808080"/>
              <w:bottom w:val="single" w:sz="8" w:space="0" w:color="808080"/>
            </w:tcBorders>
            <w:shd w:val="clear" w:color="auto" w:fill="D9D9D9" w:themeFill="background1" w:themeFillShade="D9"/>
            <w:tcMar>
              <w:left w:w="57" w:type="dxa"/>
              <w:right w:w="28" w:type="dxa"/>
            </w:tcMar>
            <w:vAlign w:val="center"/>
            <w:hideMark/>
          </w:tcPr>
          <w:p w14:paraId="6FE0A9F9" w14:textId="77777777" w:rsidR="0002701C" w:rsidRPr="001E05F5" w:rsidRDefault="0002701C" w:rsidP="0002701C">
            <w:pPr>
              <w:pStyle w:val="TableFont"/>
              <w:rPr>
                <w:rFonts w:cs="Arial"/>
                <w:szCs w:val="18"/>
              </w:rPr>
            </w:pPr>
          </w:p>
        </w:tc>
        <w:tc>
          <w:tcPr>
            <w:tcW w:w="7088" w:type="dxa"/>
            <w:tcBorders>
              <w:bottom w:val="single" w:sz="4" w:space="0" w:color="A6A6A6" w:themeColor="background1" w:themeShade="A6"/>
            </w:tcBorders>
            <w:shd w:val="clear" w:color="auto" w:fill="auto"/>
            <w:noWrap/>
            <w:tcMar>
              <w:left w:w="57" w:type="dxa"/>
              <w:right w:w="28" w:type="dxa"/>
            </w:tcMar>
            <w:vAlign w:val="center"/>
            <w:hideMark/>
          </w:tcPr>
          <w:p w14:paraId="18E5A7BA" w14:textId="77777777" w:rsidR="0002701C" w:rsidRPr="001E05F5" w:rsidRDefault="0002701C" w:rsidP="0002701C">
            <w:pPr>
              <w:pStyle w:val="TableFont"/>
              <w:rPr>
                <w:rFonts w:cs="Arial"/>
                <w:szCs w:val="18"/>
              </w:rPr>
            </w:pPr>
            <w:r w:rsidRPr="001E05F5">
              <w:rPr>
                <w:rFonts w:cs="Arial"/>
                <w:szCs w:val="18"/>
              </w:rPr>
              <w:t>High chance of being undeliverable</w:t>
            </w:r>
          </w:p>
        </w:tc>
        <w:tc>
          <w:tcPr>
            <w:tcW w:w="647" w:type="dxa"/>
            <w:tcBorders>
              <w:bottom w:val="single" w:sz="4" w:space="0" w:color="A6A6A6" w:themeColor="background1" w:themeShade="A6"/>
            </w:tcBorders>
            <w:shd w:val="clear" w:color="auto" w:fill="auto"/>
            <w:noWrap/>
            <w:tcMar>
              <w:left w:w="28" w:type="dxa"/>
              <w:right w:w="28" w:type="dxa"/>
            </w:tcMar>
            <w:vAlign w:val="center"/>
            <w:hideMark/>
          </w:tcPr>
          <w:p w14:paraId="3D603E32" w14:textId="77777777" w:rsidR="0002701C" w:rsidRPr="001E05F5" w:rsidRDefault="0002701C" w:rsidP="0002701C">
            <w:pPr>
              <w:pStyle w:val="TableFont"/>
              <w:jc w:val="center"/>
              <w:rPr>
                <w:rFonts w:cs="Arial"/>
                <w:szCs w:val="18"/>
              </w:rPr>
            </w:pPr>
            <w:r w:rsidRPr="001E05F5">
              <w:rPr>
                <w:rFonts w:cs="Arial"/>
                <w:szCs w:val="18"/>
              </w:rPr>
              <w:t>0</w:t>
            </w:r>
          </w:p>
        </w:tc>
      </w:tr>
    </w:tbl>
    <w:p w14:paraId="77B4F413" w14:textId="77777777" w:rsidR="003E20B2" w:rsidRPr="001E05F5" w:rsidRDefault="003E20B2" w:rsidP="003E20B2">
      <w:pPr>
        <w:pStyle w:val="Heading2"/>
      </w:pPr>
      <w:bookmarkStart w:id="9" w:name="_Toc521426498"/>
      <w:r w:rsidRPr="001E05F5">
        <w:lastRenderedPageBreak/>
        <w:t>Weighting of Evaluation Criteria</w:t>
      </w:r>
      <w:bookmarkEnd w:id="9"/>
    </w:p>
    <w:p w14:paraId="5832EBAC" w14:textId="59D364C4" w:rsidR="00FE0151" w:rsidRPr="001E05F5" w:rsidRDefault="00C93C84" w:rsidP="00342EDB">
      <w:r w:rsidRPr="001E05F5">
        <w:t xml:space="preserve">It </w:t>
      </w:r>
      <w:r w:rsidR="003E20B2" w:rsidRPr="001E05F5">
        <w:t xml:space="preserve">is common practice to weight evaluation criteria to reflect local </w:t>
      </w:r>
      <w:r w:rsidR="00385764" w:rsidRPr="001E05F5">
        <w:t>conditions</w:t>
      </w:r>
      <w:r w:rsidR="000C188C" w:rsidRPr="001E05F5">
        <w:t>.</w:t>
      </w:r>
      <w:r w:rsidR="003E20B2" w:rsidRPr="001E05F5">
        <w:t xml:space="preserve">  </w:t>
      </w:r>
      <w:r w:rsidR="000C188C" w:rsidRPr="001E05F5">
        <w:t>I</w:t>
      </w:r>
      <w:r w:rsidR="00FE0151" w:rsidRPr="001E05F5">
        <w:t xml:space="preserve">t was agreed at the </w:t>
      </w:r>
      <w:r w:rsidR="00FE0151" w:rsidRPr="001E05F5">
        <w:rPr>
          <w:szCs w:val="20"/>
        </w:rPr>
        <w:t>Options Appraisal Workshop</w:t>
      </w:r>
      <w:r w:rsidR="00FE0151" w:rsidRPr="001E05F5">
        <w:t xml:space="preserve"> that the weightings should be </w:t>
      </w:r>
      <w:r w:rsidR="001E05F5" w:rsidRPr="001E05F5">
        <w:t xml:space="preserve">based on the prioritisation at the Members and Officers Workshop </w:t>
      </w:r>
      <w:r w:rsidR="001E05F5">
        <w:t xml:space="preserve">but also </w:t>
      </w:r>
      <w:r w:rsidR="00FE0151" w:rsidRPr="001E05F5">
        <w:t>revised to more broadly reflect the T</w:t>
      </w:r>
      <w:r w:rsidR="002515AA" w:rsidRPr="001E05F5">
        <w:t xml:space="preserve">ees </w:t>
      </w:r>
      <w:r w:rsidR="00FE0151" w:rsidRPr="001E05F5">
        <w:t>V</w:t>
      </w:r>
      <w:r w:rsidR="002515AA" w:rsidRPr="001E05F5">
        <w:t xml:space="preserve">alley </w:t>
      </w:r>
      <w:r w:rsidR="00FE0151" w:rsidRPr="001E05F5">
        <w:t>C</w:t>
      </w:r>
      <w:r w:rsidR="002515AA" w:rsidRPr="001E05F5">
        <w:t xml:space="preserve">ombined </w:t>
      </w:r>
      <w:r w:rsidR="00FE0151" w:rsidRPr="001E05F5">
        <w:t>A</w:t>
      </w:r>
      <w:r w:rsidR="002515AA" w:rsidRPr="001E05F5">
        <w:t xml:space="preserve">uthority </w:t>
      </w:r>
      <w:r w:rsidR="00FE0151" w:rsidRPr="001E05F5">
        <w:t>aims</w:t>
      </w:r>
      <w:r w:rsidR="001E05F5">
        <w:t xml:space="preserve"> of driving economic growth and </w:t>
      </w:r>
      <w:r w:rsidR="003B36EC">
        <w:t xml:space="preserve">for </w:t>
      </w:r>
      <w:r w:rsidR="001E05F5">
        <w:t xml:space="preserve">Tees Valley </w:t>
      </w:r>
      <w:r w:rsidR="003B36EC">
        <w:t>to become</w:t>
      </w:r>
      <w:r w:rsidR="001E05F5">
        <w:t xml:space="preserve"> </w:t>
      </w:r>
      <w:r w:rsidR="00000E6E" w:rsidRPr="003B36EC">
        <w:rPr>
          <w:rFonts w:cs="Arial"/>
          <w:color w:val="000000" w:themeColor="text1"/>
        </w:rPr>
        <w:t>a high-value, low-carbon, diverse and inclusive economy</w:t>
      </w:r>
      <w:r w:rsidR="00CC6C7C">
        <w:rPr>
          <w:color w:val="000000" w:themeColor="text1"/>
        </w:rPr>
        <w:t>. The weightings</w:t>
      </w:r>
      <w:r w:rsidR="00FE0151" w:rsidRPr="001E05F5">
        <w:t xml:space="preserve"> </w:t>
      </w:r>
      <w:r w:rsidR="00CC6C7C">
        <w:t>are</w:t>
      </w:r>
      <w:r w:rsidR="00FE0151" w:rsidRPr="001E05F5">
        <w:t xml:space="preserve"> shown in Table 3.</w:t>
      </w:r>
      <w:r w:rsidR="000C188C" w:rsidRPr="001E05F5">
        <w:t>4</w:t>
      </w:r>
      <w:r w:rsidR="00CC6C7C">
        <w:t>.</w:t>
      </w:r>
    </w:p>
    <w:p w14:paraId="34880DB6" w14:textId="72904900" w:rsidR="00FE0151" w:rsidRDefault="00FE0151" w:rsidP="00FE0151">
      <w:pPr>
        <w:pStyle w:val="Default"/>
        <w:spacing w:after="120"/>
        <w:rPr>
          <w:b/>
          <w:sz w:val="20"/>
          <w:szCs w:val="20"/>
        </w:rPr>
      </w:pPr>
      <w:r w:rsidRPr="001E05F5">
        <w:rPr>
          <w:b/>
          <w:sz w:val="20"/>
          <w:szCs w:val="20"/>
        </w:rPr>
        <w:t>Table 3</w:t>
      </w:r>
      <w:r w:rsidR="002515AA" w:rsidRPr="001E05F5">
        <w:rPr>
          <w:b/>
          <w:sz w:val="20"/>
          <w:szCs w:val="20"/>
        </w:rPr>
        <w:t>.</w:t>
      </w:r>
      <w:r w:rsidR="000C188C" w:rsidRPr="001E05F5">
        <w:rPr>
          <w:b/>
          <w:sz w:val="20"/>
          <w:szCs w:val="20"/>
        </w:rPr>
        <w:t>4</w:t>
      </w:r>
      <w:r w:rsidRPr="001E05F5">
        <w:rPr>
          <w:b/>
          <w:sz w:val="20"/>
          <w:szCs w:val="20"/>
        </w:rPr>
        <w:t xml:space="preserve">: </w:t>
      </w:r>
      <w:r w:rsidRPr="001E05F5">
        <w:rPr>
          <w:rFonts w:eastAsia="Calibri"/>
          <w:b/>
          <w:sz w:val="20"/>
          <w:szCs w:val="20"/>
        </w:rPr>
        <w:t xml:space="preserve">Weighting for </w:t>
      </w:r>
      <w:r w:rsidRPr="001E05F5">
        <w:rPr>
          <w:b/>
          <w:sz w:val="20"/>
          <w:szCs w:val="20"/>
        </w:rPr>
        <w:t>Evaluation Criteria</w:t>
      </w:r>
    </w:p>
    <w:tbl>
      <w:tblPr>
        <w:tblStyle w:val="TableGrid"/>
        <w:tblW w:w="0" w:type="auto"/>
        <w:tblInd w:w="-5" w:type="dxa"/>
        <w:tblLook w:val="04A0" w:firstRow="1" w:lastRow="0" w:firstColumn="1" w:lastColumn="0" w:noHBand="0" w:noVBand="1"/>
      </w:tblPr>
      <w:tblGrid>
        <w:gridCol w:w="7513"/>
        <w:gridCol w:w="1116"/>
      </w:tblGrid>
      <w:tr w:rsidR="00E902AA" w:rsidRPr="001E05F5" w14:paraId="6AF33726" w14:textId="77777777" w:rsidTr="00E902AA">
        <w:tc>
          <w:tcPr>
            <w:tcW w:w="7513" w:type="dxa"/>
            <w:tcBorders>
              <w:bottom w:val="single" w:sz="4" w:space="0" w:color="auto"/>
            </w:tcBorders>
            <w:shd w:val="clear" w:color="auto" w:fill="D9D9D9" w:themeFill="background1" w:themeFillShade="D9"/>
          </w:tcPr>
          <w:p w14:paraId="673C882C" w14:textId="63BF7970" w:rsidR="00E902AA" w:rsidRPr="001E05F5" w:rsidRDefault="00E902AA" w:rsidP="00E902AA">
            <w:pPr>
              <w:pStyle w:val="Default"/>
              <w:keepNext/>
              <w:spacing w:before="40" w:after="40"/>
              <w:ind w:left="3297" w:hanging="3297"/>
              <w:jc w:val="center"/>
              <w:rPr>
                <w:rFonts w:eastAsia="Calibri"/>
                <w:b/>
                <w:sz w:val="20"/>
                <w:szCs w:val="20"/>
              </w:rPr>
            </w:pPr>
            <w:r w:rsidRPr="001E05F5">
              <w:rPr>
                <w:b/>
                <w:sz w:val="20"/>
                <w:szCs w:val="20"/>
              </w:rPr>
              <w:t xml:space="preserve">Evaluation Criteria </w:t>
            </w:r>
          </w:p>
        </w:tc>
        <w:tc>
          <w:tcPr>
            <w:tcW w:w="1116" w:type="dxa"/>
            <w:tcBorders>
              <w:bottom w:val="single" w:sz="4" w:space="0" w:color="auto"/>
            </w:tcBorders>
            <w:shd w:val="clear" w:color="auto" w:fill="D9D9D9" w:themeFill="background1" w:themeFillShade="D9"/>
          </w:tcPr>
          <w:p w14:paraId="4ED8B70C" w14:textId="65DCEB52" w:rsidR="00E902AA" w:rsidRPr="001E05F5" w:rsidRDefault="00E902AA" w:rsidP="0026711B">
            <w:pPr>
              <w:pStyle w:val="Default"/>
              <w:keepNext/>
              <w:spacing w:before="40" w:after="40"/>
              <w:jc w:val="center"/>
              <w:rPr>
                <w:rFonts w:eastAsia="Calibri"/>
                <w:b/>
                <w:sz w:val="20"/>
                <w:szCs w:val="20"/>
              </w:rPr>
            </w:pPr>
            <w:r w:rsidRPr="001E05F5">
              <w:rPr>
                <w:rFonts w:eastAsia="Calibri"/>
                <w:b/>
                <w:sz w:val="20"/>
                <w:szCs w:val="20"/>
              </w:rPr>
              <w:t>Weighing</w:t>
            </w:r>
          </w:p>
        </w:tc>
      </w:tr>
      <w:tr w:rsidR="00E902AA" w:rsidRPr="001E05F5" w14:paraId="664064E0" w14:textId="77777777" w:rsidTr="00E902AA">
        <w:tc>
          <w:tcPr>
            <w:tcW w:w="7513" w:type="dxa"/>
          </w:tcPr>
          <w:p w14:paraId="0C419632" w14:textId="43A29D39" w:rsidR="00E902AA" w:rsidRPr="001E05F5" w:rsidRDefault="00E902AA" w:rsidP="00E902AA">
            <w:pPr>
              <w:pStyle w:val="Default"/>
              <w:spacing w:before="40" w:after="40"/>
              <w:rPr>
                <w:sz w:val="20"/>
                <w:szCs w:val="18"/>
              </w:rPr>
            </w:pPr>
            <w:r w:rsidRPr="001E05F5">
              <w:rPr>
                <w:rFonts w:eastAsia="Calibri"/>
                <w:sz w:val="20"/>
                <w:szCs w:val="20"/>
              </w:rPr>
              <w:t>Delivers an accessible service with engagement and customer satisfaction</w:t>
            </w:r>
          </w:p>
        </w:tc>
        <w:tc>
          <w:tcPr>
            <w:tcW w:w="1116" w:type="dxa"/>
            <w:shd w:val="clear" w:color="auto" w:fill="auto"/>
          </w:tcPr>
          <w:p w14:paraId="48E076F5" w14:textId="1840E298" w:rsidR="00E902AA" w:rsidRPr="001E05F5" w:rsidRDefault="00E902AA" w:rsidP="0026711B">
            <w:pPr>
              <w:pStyle w:val="Default"/>
              <w:spacing w:before="40" w:after="40"/>
              <w:jc w:val="center"/>
              <w:rPr>
                <w:sz w:val="20"/>
                <w:szCs w:val="18"/>
              </w:rPr>
            </w:pPr>
            <w:r w:rsidRPr="001E05F5">
              <w:rPr>
                <w:sz w:val="20"/>
                <w:szCs w:val="18"/>
              </w:rPr>
              <w:t>3</w:t>
            </w:r>
          </w:p>
        </w:tc>
      </w:tr>
      <w:tr w:rsidR="00E902AA" w:rsidRPr="001E05F5" w14:paraId="716A7AD9" w14:textId="77777777" w:rsidTr="00E902AA">
        <w:tc>
          <w:tcPr>
            <w:tcW w:w="7513" w:type="dxa"/>
            <w:tcBorders>
              <w:bottom w:val="single" w:sz="4" w:space="0" w:color="auto"/>
            </w:tcBorders>
          </w:tcPr>
          <w:p w14:paraId="6867FC71" w14:textId="50765DE3" w:rsidR="00E902AA" w:rsidRPr="00E902AA" w:rsidRDefault="00E902AA" w:rsidP="00E902AA">
            <w:pPr>
              <w:pStyle w:val="Default"/>
              <w:spacing w:before="40" w:after="40"/>
              <w:rPr>
                <w:rFonts w:eastAsia="Calibri"/>
                <w:sz w:val="20"/>
                <w:szCs w:val="20"/>
              </w:rPr>
            </w:pPr>
            <w:r w:rsidRPr="00E902AA">
              <w:rPr>
                <w:rFonts w:eastAsia="Calibri"/>
                <w:sz w:val="20"/>
                <w:szCs w:val="20"/>
              </w:rPr>
              <w:t>Deliverability</w:t>
            </w:r>
          </w:p>
        </w:tc>
        <w:tc>
          <w:tcPr>
            <w:tcW w:w="1116" w:type="dxa"/>
            <w:tcBorders>
              <w:bottom w:val="single" w:sz="4" w:space="0" w:color="auto"/>
            </w:tcBorders>
            <w:shd w:val="clear" w:color="auto" w:fill="auto"/>
          </w:tcPr>
          <w:p w14:paraId="50D40902" w14:textId="4B2BBFC0" w:rsidR="00E902AA" w:rsidRPr="001E05F5" w:rsidRDefault="00E902AA" w:rsidP="0026711B">
            <w:pPr>
              <w:pStyle w:val="Default"/>
              <w:spacing w:before="40" w:after="40"/>
              <w:jc w:val="center"/>
              <w:rPr>
                <w:sz w:val="20"/>
                <w:szCs w:val="18"/>
              </w:rPr>
            </w:pPr>
            <w:r w:rsidRPr="001E05F5">
              <w:rPr>
                <w:sz w:val="20"/>
                <w:szCs w:val="18"/>
              </w:rPr>
              <w:t>3</w:t>
            </w:r>
          </w:p>
        </w:tc>
      </w:tr>
      <w:tr w:rsidR="00E902AA" w:rsidRPr="001E05F5" w14:paraId="46A3468A" w14:textId="77777777" w:rsidTr="00E902AA">
        <w:tc>
          <w:tcPr>
            <w:tcW w:w="7513" w:type="dxa"/>
          </w:tcPr>
          <w:p w14:paraId="28832566" w14:textId="67FCA08F" w:rsidR="00E902AA" w:rsidRPr="00E902AA" w:rsidRDefault="00E902AA" w:rsidP="00E902AA">
            <w:pPr>
              <w:pStyle w:val="Default"/>
              <w:spacing w:before="40" w:after="40"/>
              <w:rPr>
                <w:rFonts w:eastAsia="Calibri"/>
                <w:sz w:val="20"/>
                <w:szCs w:val="20"/>
              </w:rPr>
            </w:pPr>
            <w:r w:rsidRPr="001E05F5">
              <w:rPr>
                <w:rFonts w:eastAsia="Calibri"/>
                <w:sz w:val="20"/>
                <w:szCs w:val="20"/>
              </w:rPr>
              <w:t>Affordable (long term measure)</w:t>
            </w:r>
          </w:p>
        </w:tc>
        <w:tc>
          <w:tcPr>
            <w:tcW w:w="1116" w:type="dxa"/>
            <w:shd w:val="clear" w:color="auto" w:fill="auto"/>
          </w:tcPr>
          <w:p w14:paraId="6A187090" w14:textId="784C7721" w:rsidR="00E902AA" w:rsidRPr="001E05F5" w:rsidRDefault="00E902AA" w:rsidP="0026711B">
            <w:pPr>
              <w:pStyle w:val="Default"/>
              <w:spacing w:before="40" w:after="40"/>
              <w:jc w:val="center"/>
              <w:rPr>
                <w:sz w:val="20"/>
                <w:szCs w:val="18"/>
              </w:rPr>
            </w:pPr>
            <w:r w:rsidRPr="001E05F5">
              <w:rPr>
                <w:sz w:val="20"/>
                <w:szCs w:val="18"/>
              </w:rPr>
              <w:t>3</w:t>
            </w:r>
          </w:p>
        </w:tc>
      </w:tr>
      <w:tr w:rsidR="00E902AA" w:rsidRPr="001E05F5" w14:paraId="46BD27A7" w14:textId="77777777" w:rsidTr="00E902AA">
        <w:tc>
          <w:tcPr>
            <w:tcW w:w="7513" w:type="dxa"/>
          </w:tcPr>
          <w:p w14:paraId="5D271096" w14:textId="61A878A5" w:rsidR="00E902AA" w:rsidRPr="00E902AA" w:rsidRDefault="00E902AA" w:rsidP="00E902AA">
            <w:pPr>
              <w:pStyle w:val="Default"/>
              <w:spacing w:before="40" w:after="40"/>
              <w:rPr>
                <w:rFonts w:eastAsia="Calibri"/>
                <w:sz w:val="20"/>
                <w:szCs w:val="20"/>
              </w:rPr>
            </w:pPr>
            <w:r w:rsidRPr="001E05F5">
              <w:rPr>
                <w:rFonts w:eastAsia="Calibri"/>
                <w:sz w:val="20"/>
                <w:szCs w:val="20"/>
              </w:rPr>
              <w:t>Increases reuse and recycling</w:t>
            </w:r>
          </w:p>
        </w:tc>
        <w:tc>
          <w:tcPr>
            <w:tcW w:w="1116" w:type="dxa"/>
            <w:shd w:val="clear" w:color="auto" w:fill="auto"/>
          </w:tcPr>
          <w:p w14:paraId="2983F790" w14:textId="4A3E8FFF" w:rsidR="00E902AA" w:rsidRPr="001E05F5" w:rsidRDefault="00E902AA" w:rsidP="0026711B">
            <w:pPr>
              <w:pStyle w:val="Default"/>
              <w:spacing w:before="40" w:after="40"/>
              <w:jc w:val="center"/>
              <w:rPr>
                <w:sz w:val="20"/>
                <w:szCs w:val="18"/>
              </w:rPr>
            </w:pPr>
            <w:r w:rsidRPr="001E05F5">
              <w:rPr>
                <w:sz w:val="20"/>
                <w:szCs w:val="18"/>
              </w:rPr>
              <w:t>3</w:t>
            </w:r>
          </w:p>
        </w:tc>
      </w:tr>
      <w:tr w:rsidR="00E902AA" w:rsidRPr="001E05F5" w14:paraId="1C6B4B97" w14:textId="77777777" w:rsidTr="00E902AA">
        <w:tc>
          <w:tcPr>
            <w:tcW w:w="7513" w:type="dxa"/>
            <w:tcBorders>
              <w:bottom w:val="single" w:sz="4" w:space="0" w:color="auto"/>
            </w:tcBorders>
          </w:tcPr>
          <w:p w14:paraId="232FBC88" w14:textId="172944F6" w:rsidR="00E902AA" w:rsidRPr="00E902AA" w:rsidRDefault="00E902AA" w:rsidP="00E902AA">
            <w:pPr>
              <w:pStyle w:val="Default"/>
              <w:spacing w:before="40" w:after="40"/>
              <w:rPr>
                <w:rFonts w:eastAsia="Calibri"/>
                <w:sz w:val="20"/>
                <w:szCs w:val="20"/>
              </w:rPr>
            </w:pPr>
            <w:r w:rsidRPr="001E05F5">
              <w:rPr>
                <w:rFonts w:eastAsia="Calibri"/>
                <w:sz w:val="20"/>
                <w:szCs w:val="20"/>
              </w:rPr>
              <w:t>Reduces the amount of waste generated by householders and the Councils</w:t>
            </w:r>
          </w:p>
        </w:tc>
        <w:tc>
          <w:tcPr>
            <w:tcW w:w="1116" w:type="dxa"/>
            <w:tcBorders>
              <w:bottom w:val="single" w:sz="4" w:space="0" w:color="auto"/>
            </w:tcBorders>
            <w:shd w:val="clear" w:color="auto" w:fill="auto"/>
          </w:tcPr>
          <w:p w14:paraId="630D9DCA" w14:textId="3EB43A5C" w:rsidR="00E902AA" w:rsidRPr="001E05F5" w:rsidRDefault="00E902AA" w:rsidP="0026711B">
            <w:pPr>
              <w:pStyle w:val="Default"/>
              <w:spacing w:before="40" w:after="40"/>
              <w:jc w:val="center"/>
              <w:rPr>
                <w:sz w:val="20"/>
                <w:szCs w:val="18"/>
              </w:rPr>
            </w:pPr>
            <w:r w:rsidRPr="001E05F5">
              <w:rPr>
                <w:sz w:val="20"/>
                <w:szCs w:val="18"/>
              </w:rPr>
              <w:t>3</w:t>
            </w:r>
          </w:p>
        </w:tc>
      </w:tr>
      <w:tr w:rsidR="00E902AA" w:rsidRPr="001E05F5" w14:paraId="03606C6C" w14:textId="77777777" w:rsidTr="00E902AA">
        <w:tc>
          <w:tcPr>
            <w:tcW w:w="7513" w:type="dxa"/>
          </w:tcPr>
          <w:p w14:paraId="03C774E1" w14:textId="25473DE0" w:rsidR="00E902AA" w:rsidRPr="00E902AA" w:rsidRDefault="00E902AA" w:rsidP="00E902AA">
            <w:pPr>
              <w:pStyle w:val="Default"/>
              <w:spacing w:before="40" w:after="40"/>
              <w:rPr>
                <w:rFonts w:eastAsia="Calibri"/>
                <w:sz w:val="20"/>
                <w:szCs w:val="20"/>
              </w:rPr>
            </w:pPr>
            <w:r w:rsidRPr="001E05F5">
              <w:rPr>
                <w:rFonts w:eastAsia="Calibri"/>
                <w:sz w:val="20"/>
                <w:szCs w:val="20"/>
              </w:rPr>
              <w:t>Economic regeneration, including employment and a more circular economy</w:t>
            </w:r>
          </w:p>
        </w:tc>
        <w:tc>
          <w:tcPr>
            <w:tcW w:w="1116" w:type="dxa"/>
            <w:shd w:val="clear" w:color="auto" w:fill="auto"/>
          </w:tcPr>
          <w:p w14:paraId="34037306" w14:textId="79607077" w:rsidR="00E902AA" w:rsidRPr="001E05F5" w:rsidRDefault="00E902AA" w:rsidP="0026711B">
            <w:pPr>
              <w:pStyle w:val="Default"/>
              <w:spacing w:before="40" w:after="40"/>
              <w:jc w:val="center"/>
              <w:rPr>
                <w:sz w:val="20"/>
                <w:szCs w:val="18"/>
              </w:rPr>
            </w:pPr>
            <w:r w:rsidRPr="001E05F5">
              <w:rPr>
                <w:sz w:val="20"/>
                <w:szCs w:val="18"/>
              </w:rPr>
              <w:t>3</w:t>
            </w:r>
          </w:p>
        </w:tc>
      </w:tr>
      <w:tr w:rsidR="00E902AA" w:rsidRPr="001E05F5" w14:paraId="42D78EB7" w14:textId="77777777" w:rsidTr="00E902AA">
        <w:tc>
          <w:tcPr>
            <w:tcW w:w="7513" w:type="dxa"/>
          </w:tcPr>
          <w:p w14:paraId="210C99EF" w14:textId="391D902B" w:rsidR="00E902AA" w:rsidRPr="00E902AA" w:rsidRDefault="00E902AA" w:rsidP="00E902AA">
            <w:pPr>
              <w:pStyle w:val="Default"/>
              <w:spacing w:before="40" w:after="40"/>
              <w:rPr>
                <w:rFonts w:eastAsia="Calibri"/>
                <w:sz w:val="20"/>
                <w:szCs w:val="20"/>
              </w:rPr>
            </w:pPr>
            <w:r w:rsidRPr="001E05F5">
              <w:rPr>
                <w:rFonts w:eastAsia="Calibri"/>
                <w:sz w:val="20"/>
                <w:szCs w:val="20"/>
              </w:rPr>
              <w:t>Protection of the environment and natural resources</w:t>
            </w:r>
          </w:p>
        </w:tc>
        <w:tc>
          <w:tcPr>
            <w:tcW w:w="1116" w:type="dxa"/>
            <w:shd w:val="clear" w:color="auto" w:fill="auto"/>
          </w:tcPr>
          <w:p w14:paraId="2A63699E" w14:textId="15DB81BB" w:rsidR="00E902AA" w:rsidRPr="001E05F5" w:rsidRDefault="00E902AA" w:rsidP="0026711B">
            <w:pPr>
              <w:pStyle w:val="Default"/>
              <w:spacing w:before="40" w:after="40"/>
              <w:jc w:val="center"/>
              <w:rPr>
                <w:sz w:val="20"/>
                <w:szCs w:val="18"/>
              </w:rPr>
            </w:pPr>
            <w:r w:rsidRPr="001E05F5">
              <w:rPr>
                <w:sz w:val="20"/>
                <w:szCs w:val="18"/>
              </w:rPr>
              <w:t>2</w:t>
            </w:r>
          </w:p>
        </w:tc>
      </w:tr>
      <w:tr w:rsidR="00E902AA" w:rsidRPr="001E05F5" w14:paraId="61C6D0E6" w14:textId="77777777" w:rsidTr="00E902AA">
        <w:tc>
          <w:tcPr>
            <w:tcW w:w="7513" w:type="dxa"/>
          </w:tcPr>
          <w:p w14:paraId="18069B2E" w14:textId="3E309AA3" w:rsidR="00E902AA" w:rsidRPr="00E902AA" w:rsidRDefault="00E902AA" w:rsidP="00E902AA">
            <w:pPr>
              <w:pStyle w:val="Default"/>
              <w:spacing w:before="40" w:after="40"/>
              <w:rPr>
                <w:rFonts w:eastAsia="Calibri"/>
                <w:sz w:val="20"/>
                <w:szCs w:val="20"/>
              </w:rPr>
            </w:pPr>
            <w:r w:rsidRPr="001E05F5">
              <w:rPr>
                <w:rFonts w:eastAsia="Calibri"/>
                <w:sz w:val="20"/>
                <w:szCs w:val="20"/>
              </w:rPr>
              <w:t>Reducing the carbon impact of waste management</w:t>
            </w:r>
          </w:p>
        </w:tc>
        <w:tc>
          <w:tcPr>
            <w:tcW w:w="1116" w:type="dxa"/>
            <w:shd w:val="clear" w:color="auto" w:fill="auto"/>
          </w:tcPr>
          <w:p w14:paraId="0577D8DA" w14:textId="7B7A25BC" w:rsidR="00E902AA" w:rsidRPr="001E05F5" w:rsidRDefault="00E902AA" w:rsidP="0026711B">
            <w:pPr>
              <w:pStyle w:val="Default"/>
              <w:spacing w:before="40" w:after="40"/>
              <w:jc w:val="center"/>
              <w:rPr>
                <w:sz w:val="20"/>
                <w:szCs w:val="18"/>
              </w:rPr>
            </w:pPr>
            <w:r w:rsidRPr="001E05F5">
              <w:rPr>
                <w:sz w:val="20"/>
                <w:szCs w:val="18"/>
              </w:rPr>
              <w:t>2</w:t>
            </w:r>
          </w:p>
        </w:tc>
      </w:tr>
      <w:tr w:rsidR="00E902AA" w:rsidRPr="001E05F5" w14:paraId="1895AD59" w14:textId="77777777" w:rsidTr="00E902AA">
        <w:tc>
          <w:tcPr>
            <w:tcW w:w="7513" w:type="dxa"/>
          </w:tcPr>
          <w:p w14:paraId="3D46E3C4" w14:textId="69A930F6" w:rsidR="00E902AA" w:rsidRPr="00E902AA" w:rsidRDefault="00E902AA" w:rsidP="00E902AA">
            <w:pPr>
              <w:pStyle w:val="Default"/>
              <w:spacing w:before="40" w:after="40"/>
              <w:rPr>
                <w:rFonts w:eastAsia="Calibri"/>
                <w:sz w:val="20"/>
                <w:szCs w:val="20"/>
              </w:rPr>
            </w:pPr>
            <w:r w:rsidRPr="001E05F5">
              <w:rPr>
                <w:rFonts w:eastAsia="Calibri"/>
                <w:sz w:val="20"/>
                <w:szCs w:val="20"/>
              </w:rPr>
              <w:t>Maximises recovery of waste</w:t>
            </w:r>
          </w:p>
        </w:tc>
        <w:tc>
          <w:tcPr>
            <w:tcW w:w="1116" w:type="dxa"/>
            <w:shd w:val="clear" w:color="auto" w:fill="auto"/>
          </w:tcPr>
          <w:p w14:paraId="42963C57" w14:textId="507BED2E" w:rsidR="00E902AA" w:rsidRPr="001E05F5" w:rsidRDefault="00E902AA" w:rsidP="0026711B">
            <w:pPr>
              <w:pStyle w:val="Default"/>
              <w:spacing w:before="40" w:after="40"/>
              <w:jc w:val="center"/>
              <w:rPr>
                <w:sz w:val="20"/>
                <w:szCs w:val="18"/>
              </w:rPr>
            </w:pPr>
            <w:r w:rsidRPr="001E05F5">
              <w:rPr>
                <w:sz w:val="20"/>
                <w:szCs w:val="18"/>
              </w:rPr>
              <w:t>2</w:t>
            </w:r>
          </w:p>
        </w:tc>
      </w:tr>
      <w:tr w:rsidR="00E902AA" w:rsidRPr="001E05F5" w14:paraId="58C7F326" w14:textId="77777777" w:rsidTr="00E902AA">
        <w:tc>
          <w:tcPr>
            <w:tcW w:w="7513" w:type="dxa"/>
          </w:tcPr>
          <w:p w14:paraId="099F4FC3" w14:textId="1AC82DBA" w:rsidR="00E902AA" w:rsidRPr="00E902AA" w:rsidRDefault="00E902AA" w:rsidP="00E902AA">
            <w:pPr>
              <w:pStyle w:val="Default"/>
              <w:spacing w:before="40" w:after="40"/>
              <w:rPr>
                <w:rFonts w:eastAsia="Calibri"/>
                <w:sz w:val="20"/>
                <w:szCs w:val="20"/>
              </w:rPr>
            </w:pPr>
            <w:r w:rsidRPr="001E05F5">
              <w:rPr>
                <w:rFonts w:eastAsia="Calibri"/>
                <w:sz w:val="20"/>
                <w:szCs w:val="20"/>
              </w:rPr>
              <w:t>Working towards zero waste to landfill</w:t>
            </w:r>
          </w:p>
        </w:tc>
        <w:tc>
          <w:tcPr>
            <w:tcW w:w="1116" w:type="dxa"/>
            <w:shd w:val="clear" w:color="auto" w:fill="auto"/>
          </w:tcPr>
          <w:p w14:paraId="363CE272" w14:textId="639C98D0" w:rsidR="00E902AA" w:rsidRPr="001E05F5" w:rsidRDefault="00E902AA" w:rsidP="0026711B">
            <w:pPr>
              <w:pStyle w:val="Default"/>
              <w:spacing w:before="40" w:after="40"/>
              <w:jc w:val="center"/>
              <w:rPr>
                <w:sz w:val="20"/>
                <w:szCs w:val="18"/>
              </w:rPr>
            </w:pPr>
            <w:r w:rsidRPr="001E05F5">
              <w:rPr>
                <w:sz w:val="20"/>
                <w:szCs w:val="18"/>
              </w:rPr>
              <w:t>1</w:t>
            </w:r>
          </w:p>
        </w:tc>
      </w:tr>
    </w:tbl>
    <w:p w14:paraId="09C7DA71" w14:textId="77777777" w:rsidR="00C91FCF" w:rsidRPr="001E05F5" w:rsidRDefault="00C91FCF" w:rsidP="00191DC2">
      <w:pPr>
        <w:pStyle w:val="Heading1"/>
      </w:pPr>
      <w:bookmarkStart w:id="10" w:name="_Toc521426499"/>
      <w:r w:rsidRPr="001E05F5">
        <w:lastRenderedPageBreak/>
        <w:t>Options Appraisal Scenarios</w:t>
      </w:r>
      <w:bookmarkEnd w:id="10"/>
    </w:p>
    <w:p w14:paraId="5313C82A" w14:textId="57BC2E1E" w:rsidR="00480370" w:rsidRPr="001E05F5" w:rsidRDefault="00480370" w:rsidP="00480370">
      <w:pPr>
        <w:spacing w:line="264" w:lineRule="auto"/>
      </w:pPr>
      <w:r w:rsidRPr="001E05F5">
        <w:rPr>
          <w:rFonts w:cs="Arial"/>
          <w:szCs w:val="20"/>
        </w:rPr>
        <w:t xml:space="preserve">Whilst a key output of the </w:t>
      </w:r>
      <w:r w:rsidR="001C6210" w:rsidRPr="001E05F5">
        <w:rPr>
          <w:rFonts w:cs="Arial"/>
          <w:szCs w:val="20"/>
        </w:rPr>
        <w:t>revised JWMS</w:t>
      </w:r>
      <w:r w:rsidRPr="001E05F5">
        <w:rPr>
          <w:rFonts w:cs="Arial"/>
          <w:szCs w:val="20"/>
        </w:rPr>
        <w:t xml:space="preserve"> is to help </w:t>
      </w:r>
      <w:r w:rsidR="002167B0" w:rsidRPr="001E05F5">
        <w:rPr>
          <w:rFonts w:cs="Arial"/>
          <w:szCs w:val="20"/>
        </w:rPr>
        <w:t xml:space="preserve">determine the nature of any </w:t>
      </w:r>
      <w:r w:rsidRPr="001E05F5">
        <w:rPr>
          <w:rFonts w:cs="Arial"/>
          <w:szCs w:val="20"/>
        </w:rPr>
        <w:t xml:space="preserve">future residual waste treatment </w:t>
      </w:r>
      <w:r w:rsidR="002167B0" w:rsidRPr="001E05F5">
        <w:rPr>
          <w:rFonts w:cs="Arial"/>
          <w:szCs w:val="20"/>
        </w:rPr>
        <w:t xml:space="preserve">facility </w:t>
      </w:r>
      <w:r w:rsidRPr="001E05F5">
        <w:rPr>
          <w:rFonts w:cs="Arial"/>
          <w:szCs w:val="20"/>
        </w:rPr>
        <w:t xml:space="preserve">for the Tees Valley, it is also intended </w:t>
      </w:r>
      <w:r w:rsidR="001C6210" w:rsidRPr="001E05F5">
        <w:rPr>
          <w:rFonts w:cs="Arial"/>
          <w:szCs w:val="20"/>
        </w:rPr>
        <w:t xml:space="preserve">that the revised JWMS </w:t>
      </w:r>
      <w:r w:rsidRPr="001E05F5">
        <w:rPr>
          <w:rFonts w:cs="Arial"/>
          <w:szCs w:val="20"/>
        </w:rPr>
        <w:t>help</w:t>
      </w:r>
      <w:r w:rsidR="001C6210" w:rsidRPr="001E05F5">
        <w:rPr>
          <w:rFonts w:cs="Arial"/>
          <w:szCs w:val="20"/>
        </w:rPr>
        <w:t>s</w:t>
      </w:r>
      <w:r w:rsidRPr="001E05F5">
        <w:rPr>
          <w:rFonts w:cs="Arial"/>
          <w:szCs w:val="20"/>
        </w:rPr>
        <w:t xml:space="preserve"> each Council make decisions about </w:t>
      </w:r>
      <w:r w:rsidRPr="001E05F5">
        <w:rPr>
          <w:szCs w:val="20"/>
        </w:rPr>
        <w:t xml:space="preserve">waste prevention, reuse and recycling </w:t>
      </w:r>
      <w:r w:rsidRPr="001E05F5">
        <w:rPr>
          <w:rFonts w:cs="Arial"/>
          <w:szCs w:val="20"/>
        </w:rPr>
        <w:t>options they may wish to adopt in the future.  Therefore</w:t>
      </w:r>
      <w:r w:rsidR="001C6210" w:rsidRPr="001E05F5">
        <w:rPr>
          <w:rFonts w:cs="Arial"/>
          <w:szCs w:val="20"/>
        </w:rPr>
        <w:t>,</w:t>
      </w:r>
      <w:r w:rsidRPr="001E05F5">
        <w:rPr>
          <w:rFonts w:cs="Arial"/>
          <w:szCs w:val="20"/>
        </w:rPr>
        <w:t xml:space="preserve"> a range of options were agreed</w:t>
      </w:r>
      <w:r w:rsidRPr="001E05F5">
        <w:t xml:space="preserve"> across the waste hierarchy </w:t>
      </w:r>
      <w:r w:rsidR="000A6535" w:rsidRPr="001E05F5">
        <w:t xml:space="preserve">having </w:t>
      </w:r>
      <w:r w:rsidR="00C91FCF" w:rsidRPr="001E05F5">
        <w:t xml:space="preserve">regard to the policy and legislation review, potential collection systems for the Tees Valley </w:t>
      </w:r>
      <w:r w:rsidRPr="001E05F5">
        <w:t>Authorities and</w:t>
      </w:r>
      <w:r w:rsidR="00C91FCF" w:rsidRPr="001E05F5">
        <w:t xml:space="preserve"> the ranking of themes at the </w:t>
      </w:r>
      <w:r w:rsidRPr="001E05F5">
        <w:t xml:space="preserve">first </w:t>
      </w:r>
      <w:r w:rsidR="00C91FCF" w:rsidRPr="001E05F5">
        <w:t xml:space="preserve">workshop.  </w:t>
      </w:r>
    </w:p>
    <w:p w14:paraId="38F2C60E" w14:textId="77777777" w:rsidR="00C91FCF" w:rsidRPr="001E05F5" w:rsidRDefault="00C91FCF" w:rsidP="00480370">
      <w:pPr>
        <w:spacing w:line="264" w:lineRule="auto"/>
      </w:pPr>
      <w:r w:rsidRPr="001E05F5">
        <w:t>The agreed options for consideration in the options appraisal process are:</w:t>
      </w:r>
    </w:p>
    <w:p w14:paraId="54A4D5E9" w14:textId="77777777" w:rsidR="00C91FCF" w:rsidRPr="001E05F5" w:rsidRDefault="00C91FCF" w:rsidP="00C91FCF">
      <w:pPr>
        <w:keepNext/>
        <w:keepLines/>
        <w:spacing w:before="200" w:after="0"/>
        <w:outlineLvl w:val="3"/>
        <w:rPr>
          <w:rFonts w:cs="Arial"/>
          <w:b/>
          <w:bCs/>
          <w:i/>
          <w:iCs/>
          <w:szCs w:val="20"/>
        </w:rPr>
      </w:pPr>
      <w:r w:rsidRPr="001E05F5">
        <w:rPr>
          <w:rFonts w:cs="Arial"/>
          <w:b/>
          <w:bCs/>
          <w:i/>
          <w:iCs/>
        </w:rPr>
        <w:t>Waste Prevention</w:t>
      </w:r>
      <w:r w:rsidR="009E5BB6" w:rsidRPr="001E05F5">
        <w:rPr>
          <w:rFonts w:cs="Arial"/>
          <w:b/>
          <w:bCs/>
          <w:i/>
          <w:iCs/>
        </w:rPr>
        <w:t xml:space="preserve">, </w:t>
      </w:r>
      <w:r w:rsidRPr="001E05F5">
        <w:rPr>
          <w:rFonts w:cs="Arial"/>
          <w:b/>
          <w:bCs/>
          <w:i/>
          <w:iCs/>
        </w:rPr>
        <w:t xml:space="preserve">Reuse </w:t>
      </w:r>
      <w:r w:rsidR="009E5BB6" w:rsidRPr="001E05F5">
        <w:rPr>
          <w:rFonts w:cs="Arial"/>
          <w:b/>
          <w:bCs/>
          <w:i/>
          <w:iCs/>
        </w:rPr>
        <w:t>and Recycling Initiatives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6067"/>
      </w:tblGrid>
      <w:tr w:rsidR="00C91FCF" w:rsidRPr="001E05F5" w14:paraId="2F913D45" w14:textId="77777777" w:rsidTr="009E5BB6">
        <w:tc>
          <w:tcPr>
            <w:tcW w:w="3050" w:type="dxa"/>
          </w:tcPr>
          <w:p w14:paraId="52AF28C8" w14:textId="77777777" w:rsidR="00C91FCF" w:rsidRPr="001E05F5" w:rsidRDefault="00C91FCF" w:rsidP="009E5BB6">
            <w:pPr>
              <w:spacing w:before="60"/>
              <w:rPr>
                <w:rFonts w:ascii="Arial" w:eastAsia="Calibri" w:hAnsi="Arial" w:cs="Arial"/>
                <w:szCs w:val="18"/>
              </w:rPr>
            </w:pPr>
            <w:r w:rsidRPr="001E05F5">
              <w:rPr>
                <w:rFonts w:ascii="Arial" w:eastAsia="Calibri" w:hAnsi="Arial" w:cs="Arial"/>
                <w:color w:val="000000"/>
                <w:szCs w:val="18"/>
              </w:rPr>
              <w:t>Raising waste awareness and education campaigns</w:t>
            </w:r>
          </w:p>
        </w:tc>
        <w:tc>
          <w:tcPr>
            <w:tcW w:w="6236" w:type="dxa"/>
          </w:tcPr>
          <w:p w14:paraId="24BC5208" w14:textId="77777777" w:rsidR="00C91FCF" w:rsidRPr="001E05F5" w:rsidRDefault="00C91FCF" w:rsidP="009E5BB6">
            <w:pPr>
              <w:spacing w:before="60" w:after="40"/>
              <w:rPr>
                <w:rFonts w:ascii="Arial" w:eastAsia="Calibri" w:hAnsi="Arial" w:cs="Arial"/>
                <w:szCs w:val="18"/>
              </w:rPr>
            </w:pPr>
            <w:r w:rsidRPr="001E05F5">
              <w:rPr>
                <w:rFonts w:ascii="Arial" w:eastAsia="Calibri" w:hAnsi="Arial" w:cs="Arial"/>
                <w:szCs w:val="18"/>
              </w:rPr>
              <w:t>Various campaigns designed to raise awareness and increase participation in waste prevention and reuse activities, including:</w:t>
            </w:r>
          </w:p>
          <w:p w14:paraId="67A3BA6C" w14:textId="77777777" w:rsidR="00C91FCF" w:rsidRPr="001E05F5" w:rsidRDefault="00C91FCF" w:rsidP="00D17D3B">
            <w:pPr>
              <w:numPr>
                <w:ilvl w:val="0"/>
                <w:numId w:val="12"/>
              </w:numPr>
              <w:spacing w:line="264" w:lineRule="auto"/>
              <w:contextualSpacing/>
              <w:rPr>
                <w:rFonts w:ascii="Arial" w:eastAsia="Calibri" w:hAnsi="Arial" w:cs="Arial"/>
                <w:szCs w:val="18"/>
              </w:rPr>
            </w:pPr>
            <w:r w:rsidRPr="001E05F5">
              <w:rPr>
                <w:rFonts w:ascii="Arial" w:eastAsia="Calibri" w:hAnsi="Arial" w:cs="Arial"/>
                <w:szCs w:val="18"/>
              </w:rPr>
              <w:t>general education and waste prevention initiatives;</w:t>
            </w:r>
          </w:p>
          <w:p w14:paraId="0F339FF2" w14:textId="77777777" w:rsidR="00C91FCF" w:rsidRPr="001E05F5" w:rsidRDefault="00C91FCF" w:rsidP="00D17D3B">
            <w:pPr>
              <w:numPr>
                <w:ilvl w:val="0"/>
                <w:numId w:val="12"/>
              </w:numPr>
              <w:spacing w:after="0" w:line="264" w:lineRule="auto"/>
              <w:ind w:left="714" w:hanging="357"/>
              <w:rPr>
                <w:rFonts w:ascii="Arial" w:eastAsia="Calibri" w:hAnsi="Arial" w:cs="Arial"/>
                <w:szCs w:val="18"/>
              </w:rPr>
            </w:pPr>
            <w:r w:rsidRPr="001E05F5">
              <w:rPr>
                <w:rFonts w:ascii="Arial" w:eastAsia="Calibri" w:hAnsi="Arial" w:cs="Arial"/>
                <w:szCs w:val="18"/>
              </w:rPr>
              <w:t>general reuse initiatives</w:t>
            </w:r>
          </w:p>
          <w:p w14:paraId="4A8BD12B" w14:textId="77777777" w:rsidR="00C91FCF" w:rsidRPr="001E05F5" w:rsidRDefault="00C91FCF" w:rsidP="00D17D3B">
            <w:pPr>
              <w:numPr>
                <w:ilvl w:val="0"/>
                <w:numId w:val="12"/>
              </w:numPr>
              <w:autoSpaceDE w:val="0"/>
              <w:autoSpaceDN w:val="0"/>
              <w:adjustRightInd w:val="0"/>
              <w:spacing w:after="0" w:line="240" w:lineRule="auto"/>
              <w:rPr>
                <w:rFonts w:ascii="Arial" w:eastAsia="Calibri" w:hAnsi="Arial" w:cs="Arial"/>
                <w:color w:val="000000"/>
                <w:szCs w:val="18"/>
              </w:rPr>
            </w:pPr>
            <w:r w:rsidRPr="001E05F5">
              <w:rPr>
                <w:rFonts w:ascii="Arial" w:eastAsia="Calibri" w:hAnsi="Arial" w:cs="Arial"/>
                <w:color w:val="000000"/>
                <w:szCs w:val="18"/>
              </w:rPr>
              <w:t xml:space="preserve">Love Food Hate Waste </w:t>
            </w:r>
          </w:p>
          <w:p w14:paraId="70E438AF" w14:textId="77777777" w:rsidR="00C91FCF" w:rsidRPr="001E05F5" w:rsidRDefault="00C91FCF" w:rsidP="00D17D3B">
            <w:pPr>
              <w:numPr>
                <w:ilvl w:val="0"/>
                <w:numId w:val="12"/>
              </w:numPr>
              <w:autoSpaceDE w:val="0"/>
              <w:autoSpaceDN w:val="0"/>
              <w:adjustRightInd w:val="0"/>
              <w:spacing w:after="0" w:line="240" w:lineRule="auto"/>
              <w:rPr>
                <w:rFonts w:ascii="Arial" w:eastAsia="Calibri" w:hAnsi="Arial" w:cs="Arial"/>
                <w:color w:val="000000"/>
                <w:szCs w:val="18"/>
              </w:rPr>
            </w:pPr>
            <w:r w:rsidRPr="001E05F5">
              <w:rPr>
                <w:rFonts w:ascii="Arial" w:eastAsia="Calibri" w:hAnsi="Arial" w:cs="Arial"/>
                <w:color w:val="000000"/>
                <w:szCs w:val="18"/>
              </w:rPr>
              <w:t xml:space="preserve">Junk Mail </w:t>
            </w:r>
          </w:p>
          <w:p w14:paraId="7E5F7826" w14:textId="77777777" w:rsidR="00C91FCF" w:rsidRPr="001E05F5" w:rsidRDefault="00C91FCF" w:rsidP="00D17D3B">
            <w:pPr>
              <w:numPr>
                <w:ilvl w:val="0"/>
                <w:numId w:val="12"/>
              </w:numPr>
              <w:autoSpaceDE w:val="0"/>
              <w:autoSpaceDN w:val="0"/>
              <w:adjustRightInd w:val="0"/>
              <w:spacing w:after="0" w:line="240" w:lineRule="auto"/>
              <w:rPr>
                <w:rFonts w:ascii="Arial" w:eastAsia="Calibri" w:hAnsi="Arial" w:cs="Arial"/>
                <w:color w:val="000000"/>
                <w:szCs w:val="18"/>
              </w:rPr>
            </w:pPr>
            <w:r w:rsidRPr="001E05F5">
              <w:rPr>
                <w:rFonts w:ascii="Arial" w:eastAsia="Calibri" w:hAnsi="Arial" w:cs="Arial"/>
                <w:color w:val="000000"/>
                <w:szCs w:val="18"/>
              </w:rPr>
              <w:t xml:space="preserve">promoting smart shopping practices </w:t>
            </w:r>
          </w:p>
        </w:tc>
      </w:tr>
      <w:tr w:rsidR="00C91FCF" w:rsidRPr="001E05F5" w14:paraId="1B146510" w14:textId="77777777" w:rsidTr="009E5BB6">
        <w:tc>
          <w:tcPr>
            <w:tcW w:w="3050" w:type="dxa"/>
          </w:tcPr>
          <w:p w14:paraId="71E85675" w14:textId="77777777" w:rsidR="00C91FCF" w:rsidRPr="001E05F5" w:rsidRDefault="00C91FCF" w:rsidP="009E5BB6">
            <w:pPr>
              <w:spacing w:before="120"/>
              <w:rPr>
                <w:rFonts w:ascii="Arial" w:eastAsia="Calibri" w:hAnsi="Arial" w:cs="Arial"/>
                <w:color w:val="000000"/>
                <w:szCs w:val="18"/>
              </w:rPr>
            </w:pPr>
            <w:r w:rsidRPr="001E05F5">
              <w:rPr>
                <w:rFonts w:ascii="Arial" w:eastAsia="Calibri" w:hAnsi="Arial" w:cs="Arial"/>
                <w:color w:val="000000"/>
                <w:szCs w:val="18"/>
              </w:rPr>
              <w:t>Home Composting / Digestion</w:t>
            </w:r>
          </w:p>
        </w:tc>
        <w:tc>
          <w:tcPr>
            <w:tcW w:w="6236" w:type="dxa"/>
          </w:tcPr>
          <w:p w14:paraId="7949B0E6" w14:textId="23DEDAE1" w:rsidR="00C91FCF" w:rsidRPr="001E05F5" w:rsidRDefault="00C91FCF" w:rsidP="009E5BB6">
            <w:pPr>
              <w:spacing w:before="120"/>
              <w:rPr>
                <w:rFonts w:ascii="Arial" w:eastAsia="Calibri" w:hAnsi="Arial" w:cs="Arial"/>
                <w:szCs w:val="18"/>
              </w:rPr>
            </w:pPr>
            <w:r w:rsidRPr="001E05F5">
              <w:rPr>
                <w:rFonts w:ascii="Arial" w:eastAsia="Calibri" w:hAnsi="Arial" w:cs="Arial"/>
                <w:szCs w:val="18"/>
              </w:rPr>
              <w:t>Promote home composting (or anaerobic digestion) to reduce the demand on collection services and treatment capacity</w:t>
            </w:r>
          </w:p>
        </w:tc>
      </w:tr>
      <w:tr w:rsidR="00C91FCF" w:rsidRPr="001E05F5" w14:paraId="6313F521" w14:textId="77777777" w:rsidTr="009E5BB6">
        <w:tc>
          <w:tcPr>
            <w:tcW w:w="3050" w:type="dxa"/>
          </w:tcPr>
          <w:p w14:paraId="7875D3E0" w14:textId="77777777" w:rsidR="00C91FCF" w:rsidRPr="001E05F5" w:rsidRDefault="00C91FCF" w:rsidP="009E5BB6">
            <w:pPr>
              <w:spacing w:before="60"/>
              <w:rPr>
                <w:rFonts w:ascii="Arial" w:eastAsia="Calibri" w:hAnsi="Arial" w:cs="Arial"/>
                <w:color w:val="000000"/>
                <w:szCs w:val="18"/>
              </w:rPr>
            </w:pPr>
            <w:r w:rsidRPr="001E05F5">
              <w:rPr>
                <w:rFonts w:ascii="Arial" w:eastAsia="Calibri" w:hAnsi="Arial" w:cs="Arial"/>
                <w:color w:val="000000"/>
                <w:szCs w:val="18"/>
              </w:rPr>
              <w:t>Reuse at HWRCs</w:t>
            </w:r>
          </w:p>
        </w:tc>
        <w:tc>
          <w:tcPr>
            <w:tcW w:w="6236" w:type="dxa"/>
          </w:tcPr>
          <w:p w14:paraId="5B4E3A00" w14:textId="77777777" w:rsidR="00C91FCF" w:rsidRPr="001E05F5" w:rsidRDefault="00C91FCF" w:rsidP="009E5BB6">
            <w:pPr>
              <w:spacing w:before="60"/>
              <w:rPr>
                <w:rFonts w:ascii="Arial" w:eastAsia="Calibri" w:hAnsi="Arial" w:cs="Arial"/>
                <w:szCs w:val="18"/>
              </w:rPr>
            </w:pPr>
            <w:r w:rsidRPr="001E05F5">
              <w:rPr>
                <w:rFonts w:ascii="Arial" w:eastAsia="Calibri" w:hAnsi="Arial" w:cs="Arial"/>
                <w:szCs w:val="18"/>
              </w:rPr>
              <w:t>Install facilities at HWRCs that allow members of the public to leave and collect items such as furniture. This can include awareness and promotional campaigns of the service.</w:t>
            </w:r>
          </w:p>
        </w:tc>
      </w:tr>
      <w:tr w:rsidR="00C91FCF" w:rsidRPr="001E05F5" w14:paraId="64FCA7F1" w14:textId="77777777" w:rsidTr="009E5BB6">
        <w:tc>
          <w:tcPr>
            <w:tcW w:w="3050" w:type="dxa"/>
          </w:tcPr>
          <w:p w14:paraId="0FAFD8BF" w14:textId="77777777" w:rsidR="00C91FCF" w:rsidRPr="001E05F5" w:rsidRDefault="00C91FCF" w:rsidP="009E5BB6">
            <w:pPr>
              <w:spacing w:before="60"/>
              <w:rPr>
                <w:rFonts w:ascii="Arial" w:eastAsia="Calibri" w:hAnsi="Arial" w:cs="Arial"/>
                <w:color w:val="000000"/>
                <w:szCs w:val="18"/>
              </w:rPr>
            </w:pPr>
            <w:r w:rsidRPr="001E05F5">
              <w:rPr>
                <w:rFonts w:ascii="Arial" w:eastAsia="Calibri" w:hAnsi="Arial" w:cs="Arial"/>
                <w:color w:val="000000"/>
                <w:szCs w:val="18"/>
              </w:rPr>
              <w:t>Bulky Collection Reuse</w:t>
            </w:r>
          </w:p>
        </w:tc>
        <w:tc>
          <w:tcPr>
            <w:tcW w:w="6236" w:type="dxa"/>
          </w:tcPr>
          <w:p w14:paraId="681ABE1F" w14:textId="77777777" w:rsidR="00C91FCF" w:rsidRPr="001E05F5" w:rsidRDefault="00C91FCF" w:rsidP="009E5BB6">
            <w:pPr>
              <w:spacing w:before="60" w:after="60"/>
              <w:rPr>
                <w:rFonts w:ascii="Arial" w:eastAsia="Calibri" w:hAnsi="Arial" w:cs="Arial"/>
                <w:color w:val="000000"/>
                <w:szCs w:val="18"/>
              </w:rPr>
            </w:pPr>
            <w:r w:rsidRPr="001E05F5">
              <w:rPr>
                <w:rFonts w:ascii="Arial" w:eastAsia="Calibri" w:hAnsi="Arial" w:cs="Arial"/>
                <w:color w:val="000000"/>
                <w:szCs w:val="18"/>
              </w:rPr>
              <w:t xml:space="preserve">Sort bulky waste collections to extract reusable goods with a view to refurbishment, reuse and resale. This can include awareness and promotional campaigns. </w:t>
            </w:r>
          </w:p>
        </w:tc>
      </w:tr>
    </w:tbl>
    <w:p w14:paraId="4BC3ABFB" w14:textId="77777777" w:rsidR="00C91FCF" w:rsidRPr="001E05F5" w:rsidRDefault="00C91FCF" w:rsidP="00C91FCF">
      <w:pPr>
        <w:keepNext/>
        <w:keepLines/>
        <w:spacing w:before="120" w:after="0"/>
        <w:outlineLvl w:val="3"/>
        <w:rPr>
          <w:rFonts w:cs="Arial"/>
          <w:b/>
          <w:bCs/>
          <w:i/>
          <w:iCs/>
        </w:rPr>
      </w:pPr>
      <w:r w:rsidRPr="001E05F5">
        <w:rPr>
          <w:rFonts w:cs="Arial"/>
          <w:b/>
          <w:bCs/>
          <w:i/>
          <w:iCs/>
        </w:rPr>
        <w:t>Recycling and Composting Options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6055"/>
      </w:tblGrid>
      <w:tr w:rsidR="00C91FCF" w:rsidRPr="001E05F5" w14:paraId="5671A182" w14:textId="77777777" w:rsidTr="009E5BB6">
        <w:tc>
          <w:tcPr>
            <w:tcW w:w="3055" w:type="dxa"/>
          </w:tcPr>
          <w:p w14:paraId="2CA99773" w14:textId="77777777" w:rsidR="00C91FCF" w:rsidRPr="001E05F5" w:rsidRDefault="00977E4F" w:rsidP="009E5BB6">
            <w:pPr>
              <w:spacing w:before="60"/>
              <w:rPr>
                <w:rFonts w:ascii="Arial" w:eastAsia="Calibri" w:hAnsi="Arial" w:cs="Arial"/>
                <w:szCs w:val="20"/>
              </w:rPr>
            </w:pPr>
            <w:r w:rsidRPr="001E05F5">
              <w:rPr>
                <w:rFonts w:ascii="Arial" w:eastAsia="Calibri" w:hAnsi="Arial" w:cs="Arial"/>
                <w:color w:val="000000"/>
                <w:szCs w:val="20"/>
              </w:rPr>
              <w:t>High</w:t>
            </w:r>
            <w:r w:rsidR="00C91FCF" w:rsidRPr="001E05F5">
              <w:rPr>
                <w:rFonts w:ascii="Arial" w:eastAsia="Calibri" w:hAnsi="Arial" w:cs="Arial"/>
                <w:color w:val="000000"/>
                <w:szCs w:val="20"/>
              </w:rPr>
              <w:t xml:space="preserve"> </w:t>
            </w:r>
            <w:r w:rsidR="00F16ADC" w:rsidRPr="001E05F5">
              <w:rPr>
                <w:rFonts w:ascii="Arial" w:eastAsia="Calibri" w:hAnsi="Arial" w:cs="Arial"/>
                <w:color w:val="000000"/>
                <w:szCs w:val="20"/>
              </w:rPr>
              <w:t xml:space="preserve">efficiency </w:t>
            </w:r>
            <w:r w:rsidR="00C91FCF" w:rsidRPr="001E05F5">
              <w:rPr>
                <w:rFonts w:ascii="Arial" w:eastAsia="Calibri" w:hAnsi="Arial" w:cs="Arial"/>
                <w:color w:val="000000"/>
                <w:szCs w:val="20"/>
              </w:rPr>
              <w:t>scenario</w:t>
            </w:r>
          </w:p>
        </w:tc>
        <w:tc>
          <w:tcPr>
            <w:tcW w:w="6231" w:type="dxa"/>
          </w:tcPr>
          <w:p w14:paraId="0123D366" w14:textId="77777777" w:rsidR="00C91FCF" w:rsidRPr="001E05F5" w:rsidRDefault="00C91FCF" w:rsidP="009E5BB6">
            <w:pPr>
              <w:spacing w:before="60"/>
              <w:rPr>
                <w:rFonts w:ascii="Arial" w:eastAsia="Calibri" w:hAnsi="Arial" w:cs="Arial"/>
                <w:szCs w:val="20"/>
              </w:rPr>
            </w:pPr>
            <w:r w:rsidRPr="001E05F5">
              <w:rPr>
                <w:rFonts w:ascii="Arial" w:eastAsia="Calibri" w:hAnsi="Arial" w:cs="Arial"/>
                <w:szCs w:val="20"/>
              </w:rPr>
              <w:t xml:space="preserve">Which </w:t>
            </w:r>
            <w:r w:rsidR="00F16ADC" w:rsidRPr="001E05F5">
              <w:rPr>
                <w:rFonts w:ascii="Arial" w:eastAsia="Calibri" w:hAnsi="Arial" w:cs="Arial"/>
                <w:szCs w:val="20"/>
              </w:rPr>
              <w:t>would</w:t>
            </w:r>
            <w:r w:rsidRPr="001E05F5">
              <w:rPr>
                <w:rFonts w:ascii="Arial" w:eastAsia="Calibri" w:hAnsi="Arial" w:cs="Arial"/>
                <w:szCs w:val="20"/>
              </w:rPr>
              <w:t xml:space="preserve"> look at increasing dry recycling performance, through a reduction in residual waste capacity and introducing a charge for garden waste services</w:t>
            </w:r>
          </w:p>
        </w:tc>
      </w:tr>
      <w:tr w:rsidR="00C91FCF" w:rsidRPr="001E05F5" w14:paraId="1FEB03FF" w14:textId="77777777" w:rsidTr="009E5BB6">
        <w:tc>
          <w:tcPr>
            <w:tcW w:w="3055" w:type="dxa"/>
          </w:tcPr>
          <w:p w14:paraId="604DCD92" w14:textId="77777777" w:rsidR="00C91FCF" w:rsidRPr="001E05F5" w:rsidRDefault="00C91FCF" w:rsidP="009E5BB6">
            <w:pPr>
              <w:spacing w:before="60"/>
              <w:rPr>
                <w:rFonts w:ascii="Arial" w:eastAsia="Calibri" w:hAnsi="Arial" w:cs="Arial"/>
                <w:color w:val="000000"/>
                <w:szCs w:val="20"/>
              </w:rPr>
            </w:pPr>
            <w:r w:rsidRPr="001E05F5">
              <w:rPr>
                <w:rFonts w:ascii="Arial" w:eastAsia="Calibri" w:hAnsi="Arial" w:cs="Arial"/>
                <w:color w:val="000000"/>
                <w:szCs w:val="20"/>
              </w:rPr>
              <w:t>High recycling performance scenario</w:t>
            </w:r>
          </w:p>
        </w:tc>
        <w:tc>
          <w:tcPr>
            <w:tcW w:w="6231" w:type="dxa"/>
          </w:tcPr>
          <w:p w14:paraId="23D43B13" w14:textId="77777777" w:rsidR="00C91FCF" w:rsidRPr="001E05F5" w:rsidRDefault="00C91FCF" w:rsidP="009E5BB6">
            <w:pPr>
              <w:spacing w:before="60"/>
              <w:rPr>
                <w:rFonts w:ascii="Arial" w:eastAsia="Calibri" w:hAnsi="Arial" w:cs="Arial"/>
                <w:szCs w:val="20"/>
              </w:rPr>
            </w:pPr>
            <w:r w:rsidRPr="001E05F5">
              <w:rPr>
                <w:rFonts w:ascii="Arial" w:eastAsia="Calibri" w:hAnsi="Arial" w:cs="Arial"/>
                <w:szCs w:val="20"/>
              </w:rPr>
              <w:t xml:space="preserve">Which </w:t>
            </w:r>
            <w:r w:rsidR="00F16ADC" w:rsidRPr="001E05F5">
              <w:rPr>
                <w:rFonts w:ascii="Arial" w:eastAsia="Calibri" w:hAnsi="Arial" w:cs="Arial"/>
                <w:szCs w:val="20"/>
              </w:rPr>
              <w:t>would</w:t>
            </w:r>
            <w:r w:rsidRPr="001E05F5">
              <w:rPr>
                <w:rFonts w:ascii="Arial" w:eastAsia="Calibri" w:hAnsi="Arial" w:cs="Arial"/>
                <w:szCs w:val="20"/>
              </w:rPr>
              <w:t xml:space="preserve"> look at increasing dry recycling performance through introducing separate food waste collections, reducing residual waste capacity and introducing a charge for garden waste services </w:t>
            </w:r>
          </w:p>
        </w:tc>
      </w:tr>
    </w:tbl>
    <w:p w14:paraId="16051B0A" w14:textId="77777777" w:rsidR="00C91FCF" w:rsidRPr="001E05F5" w:rsidRDefault="00C91FCF" w:rsidP="00C91FCF">
      <w:pPr>
        <w:rPr>
          <w:rFonts w:eastAsia="Calibri" w:cs="Arial"/>
          <w:szCs w:val="20"/>
        </w:rPr>
      </w:pPr>
      <w:r w:rsidRPr="001E05F5">
        <w:rPr>
          <w:rFonts w:eastAsia="Calibri" w:cs="Arial"/>
          <w:szCs w:val="20"/>
        </w:rPr>
        <w:t xml:space="preserve">Alongside these primary options, the following </w:t>
      </w:r>
      <w:r w:rsidR="009E5BB6" w:rsidRPr="001E05F5">
        <w:rPr>
          <w:rFonts w:eastAsia="Calibri" w:cs="Arial"/>
          <w:szCs w:val="20"/>
        </w:rPr>
        <w:t xml:space="preserve">Initiatives </w:t>
      </w:r>
      <w:r w:rsidR="00F16ADC" w:rsidRPr="001E05F5">
        <w:rPr>
          <w:rFonts w:eastAsia="Calibri" w:cs="Arial"/>
          <w:szCs w:val="20"/>
        </w:rPr>
        <w:t>would</w:t>
      </w:r>
      <w:r w:rsidRPr="001E05F5">
        <w:rPr>
          <w:rFonts w:eastAsia="Calibri" w:cs="Arial"/>
          <w:szCs w:val="20"/>
        </w:rPr>
        <w:t xml:space="preserve"> be assessed:</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6031"/>
      </w:tblGrid>
      <w:tr w:rsidR="00C91FCF" w:rsidRPr="001E05F5" w14:paraId="69304F52" w14:textId="77777777" w:rsidTr="009E5BB6">
        <w:tc>
          <w:tcPr>
            <w:tcW w:w="3063" w:type="dxa"/>
          </w:tcPr>
          <w:p w14:paraId="5CEB1A75" w14:textId="77777777" w:rsidR="00C91FCF" w:rsidRPr="001E05F5" w:rsidRDefault="00C91FCF" w:rsidP="009E5BB6">
            <w:pPr>
              <w:spacing w:before="60"/>
              <w:rPr>
                <w:rFonts w:ascii="Arial" w:eastAsia="Calibri" w:hAnsi="Arial" w:cs="Arial"/>
                <w:color w:val="000000"/>
              </w:rPr>
            </w:pPr>
            <w:r w:rsidRPr="001E05F5">
              <w:rPr>
                <w:rFonts w:ascii="Arial" w:eastAsia="Calibri" w:hAnsi="Arial" w:cs="Arial"/>
                <w:color w:val="000000"/>
                <w:szCs w:val="20"/>
              </w:rPr>
              <w:t>Bulky Waste Recycling</w:t>
            </w:r>
          </w:p>
        </w:tc>
        <w:tc>
          <w:tcPr>
            <w:tcW w:w="6223" w:type="dxa"/>
          </w:tcPr>
          <w:p w14:paraId="4262F3D0" w14:textId="77777777" w:rsidR="00C91FCF" w:rsidRPr="001E05F5" w:rsidRDefault="00C91FCF" w:rsidP="009E5BB6">
            <w:pPr>
              <w:spacing w:before="60"/>
              <w:rPr>
                <w:rFonts w:ascii="Arial" w:eastAsia="Calibri" w:hAnsi="Arial" w:cs="Arial"/>
                <w:szCs w:val="20"/>
              </w:rPr>
            </w:pPr>
            <w:r w:rsidRPr="001E05F5">
              <w:rPr>
                <w:rFonts w:ascii="Arial" w:eastAsia="Calibri" w:hAnsi="Arial" w:cs="Arial"/>
                <w:szCs w:val="20"/>
              </w:rPr>
              <w:t>Sort bulky waste collections to extract recyclable goods in order to improve recycling performance across the councils in Tees Valley. This can include awareness and promotional campaigns of the services provided.</w:t>
            </w:r>
          </w:p>
        </w:tc>
      </w:tr>
      <w:tr w:rsidR="00C91FCF" w:rsidRPr="001E05F5" w14:paraId="6D546984" w14:textId="77777777" w:rsidTr="009E5BB6">
        <w:tc>
          <w:tcPr>
            <w:tcW w:w="3063" w:type="dxa"/>
          </w:tcPr>
          <w:p w14:paraId="7D5FF80B" w14:textId="77777777" w:rsidR="00C91FCF" w:rsidRPr="001E05F5" w:rsidRDefault="00C91FCF" w:rsidP="009E5BB6">
            <w:pPr>
              <w:spacing w:before="60"/>
              <w:rPr>
                <w:rFonts w:ascii="Arial" w:eastAsia="Calibri" w:hAnsi="Arial" w:cs="Arial"/>
                <w:color w:val="000000"/>
                <w:szCs w:val="20"/>
              </w:rPr>
            </w:pPr>
            <w:r w:rsidRPr="001E05F5">
              <w:rPr>
                <w:rFonts w:ascii="Arial" w:eastAsia="Calibri" w:hAnsi="Arial" w:cs="Arial"/>
                <w:color w:val="000000"/>
                <w:szCs w:val="20"/>
              </w:rPr>
              <w:t>Reducing contamination in recycling/composting</w:t>
            </w:r>
          </w:p>
        </w:tc>
        <w:tc>
          <w:tcPr>
            <w:tcW w:w="6223" w:type="dxa"/>
          </w:tcPr>
          <w:p w14:paraId="65BBB67B" w14:textId="77777777" w:rsidR="00C91FCF" w:rsidRPr="001E05F5" w:rsidRDefault="00C91FCF" w:rsidP="009E5BB6">
            <w:pPr>
              <w:spacing w:before="60"/>
              <w:rPr>
                <w:rFonts w:ascii="Arial" w:eastAsia="Calibri" w:hAnsi="Arial" w:cs="Arial"/>
                <w:szCs w:val="20"/>
              </w:rPr>
            </w:pPr>
            <w:r w:rsidRPr="001E05F5">
              <w:rPr>
                <w:rFonts w:ascii="Arial" w:eastAsia="Calibri" w:hAnsi="Arial" w:cs="Arial"/>
                <w:szCs w:val="20"/>
              </w:rPr>
              <w:t>Stronger engagement with residents to increase public understanding of the issues associated with contamination of recycling/composting collections to deliver behaviour change. Combined with tighter management of contamination</w:t>
            </w:r>
            <w:r w:rsidRPr="001E05F5">
              <w:rPr>
                <w:rFonts w:ascii="Arial" w:eastAsia="Calibri" w:hAnsi="Arial" w:cs="Arial"/>
              </w:rPr>
              <w:t xml:space="preserve"> </w:t>
            </w:r>
            <w:r w:rsidRPr="001E05F5">
              <w:rPr>
                <w:rFonts w:ascii="Arial" w:eastAsia="Calibri" w:hAnsi="Arial" w:cs="Arial"/>
                <w:szCs w:val="20"/>
              </w:rPr>
              <w:t>across all Tees Valley councils.</w:t>
            </w:r>
          </w:p>
        </w:tc>
      </w:tr>
    </w:tbl>
    <w:p w14:paraId="5A60EF2D" w14:textId="77777777" w:rsidR="00C91FCF" w:rsidRPr="001E05F5" w:rsidRDefault="00C91FCF" w:rsidP="00C91FCF">
      <w:pPr>
        <w:keepNext/>
        <w:keepLines/>
        <w:spacing w:before="120" w:after="0"/>
        <w:outlineLvl w:val="3"/>
        <w:rPr>
          <w:rFonts w:cs="Arial"/>
          <w:b/>
          <w:bCs/>
          <w:i/>
          <w:iCs/>
        </w:rPr>
      </w:pPr>
      <w:r w:rsidRPr="001E05F5">
        <w:rPr>
          <w:rFonts w:cs="Arial"/>
          <w:b/>
          <w:bCs/>
          <w:i/>
          <w:iCs/>
        </w:rPr>
        <w:lastRenderedPageBreak/>
        <w:t>Residual Waste Treatment Options</w:t>
      </w:r>
    </w:p>
    <w:p w14:paraId="53C485DC" w14:textId="77777777" w:rsidR="00C91FCF" w:rsidRPr="001E05F5" w:rsidRDefault="00C91FCF" w:rsidP="001C6210">
      <w:pPr>
        <w:rPr>
          <w:rFonts w:eastAsia="Calibri"/>
        </w:rPr>
      </w:pPr>
      <w:r w:rsidRPr="001E05F5">
        <w:rPr>
          <w:rFonts w:eastAsia="Calibri"/>
        </w:rPr>
        <w:t xml:space="preserve">The primary waste treatment scenarios that </w:t>
      </w:r>
      <w:r w:rsidR="00F16ADC" w:rsidRPr="001E05F5">
        <w:rPr>
          <w:rFonts w:eastAsia="Calibri"/>
        </w:rPr>
        <w:t>would</w:t>
      </w:r>
      <w:r w:rsidRPr="001E05F5">
        <w:rPr>
          <w:rFonts w:eastAsia="Calibri"/>
        </w:rPr>
        <w:t xml:space="preserve"> be assessed on the Tees Valley level are:  </w:t>
      </w:r>
    </w:p>
    <w:p w14:paraId="35503412" w14:textId="79324F13" w:rsidR="00C91FCF" w:rsidRPr="00CC6C7C" w:rsidRDefault="00683E09" w:rsidP="00D17D3B">
      <w:pPr>
        <w:pStyle w:val="ListParagraph"/>
        <w:numPr>
          <w:ilvl w:val="0"/>
          <w:numId w:val="13"/>
        </w:numPr>
        <w:spacing w:line="240" w:lineRule="auto"/>
        <w:rPr>
          <w:szCs w:val="20"/>
        </w:rPr>
      </w:pPr>
      <w:r w:rsidRPr="00CC6C7C">
        <w:rPr>
          <w:szCs w:val="20"/>
        </w:rPr>
        <w:t>C</w:t>
      </w:r>
      <w:r w:rsidR="00C91FCF" w:rsidRPr="00CC6C7C">
        <w:rPr>
          <w:szCs w:val="20"/>
        </w:rPr>
        <w:t>ontract extension (beyond 2025) for existing EfW contract</w:t>
      </w:r>
    </w:p>
    <w:p w14:paraId="60EA66A3" w14:textId="77777777" w:rsidR="00C91FCF" w:rsidRPr="001E05F5" w:rsidRDefault="00C91FCF" w:rsidP="00D17D3B">
      <w:pPr>
        <w:pStyle w:val="ListParagraph"/>
        <w:numPr>
          <w:ilvl w:val="0"/>
          <w:numId w:val="13"/>
        </w:numPr>
        <w:spacing w:line="240" w:lineRule="auto"/>
        <w:rPr>
          <w:szCs w:val="20"/>
        </w:rPr>
      </w:pPr>
      <w:r w:rsidRPr="001E05F5">
        <w:rPr>
          <w:szCs w:val="20"/>
        </w:rPr>
        <w:t>New build energy recovery facility</w:t>
      </w:r>
    </w:p>
    <w:p w14:paraId="1B705BBA" w14:textId="77777777" w:rsidR="00C91FCF" w:rsidRPr="001E05F5" w:rsidRDefault="00C91FCF" w:rsidP="00D17D3B">
      <w:pPr>
        <w:pStyle w:val="ListParagraph"/>
        <w:numPr>
          <w:ilvl w:val="0"/>
          <w:numId w:val="13"/>
        </w:numPr>
        <w:spacing w:line="240" w:lineRule="auto"/>
        <w:rPr>
          <w:szCs w:val="20"/>
        </w:rPr>
      </w:pPr>
      <w:r w:rsidRPr="001E05F5">
        <w:rPr>
          <w:szCs w:val="20"/>
        </w:rPr>
        <w:t xml:space="preserve">New build </w:t>
      </w:r>
      <w:proofErr w:type="gramStart"/>
      <w:r w:rsidRPr="001E05F5">
        <w:rPr>
          <w:szCs w:val="20"/>
        </w:rPr>
        <w:t>refuse</w:t>
      </w:r>
      <w:proofErr w:type="gramEnd"/>
      <w:r w:rsidRPr="001E05F5">
        <w:rPr>
          <w:szCs w:val="20"/>
        </w:rPr>
        <w:t xml:space="preserve"> derived fuel facility (RDF)</w:t>
      </w:r>
    </w:p>
    <w:p w14:paraId="407BA040" w14:textId="77777777" w:rsidR="00C91FCF" w:rsidRPr="001E05F5" w:rsidRDefault="00C91FCF" w:rsidP="00D17D3B">
      <w:pPr>
        <w:pStyle w:val="ListParagraph"/>
        <w:numPr>
          <w:ilvl w:val="0"/>
          <w:numId w:val="13"/>
        </w:numPr>
        <w:spacing w:line="240" w:lineRule="auto"/>
        <w:rPr>
          <w:szCs w:val="20"/>
        </w:rPr>
      </w:pPr>
      <w:r w:rsidRPr="001E05F5">
        <w:rPr>
          <w:szCs w:val="20"/>
        </w:rPr>
        <w:t>Utilise third party energy recovery facility capacity</w:t>
      </w:r>
    </w:p>
    <w:p w14:paraId="61BF7B22" w14:textId="444EB762" w:rsidR="001C6210" w:rsidRPr="001E05F5" w:rsidRDefault="001C6210" w:rsidP="001C6210">
      <w:pPr>
        <w:pStyle w:val="Heading2"/>
      </w:pPr>
      <w:bookmarkStart w:id="11" w:name="_Toc521426500"/>
      <w:r w:rsidRPr="001E05F5">
        <w:t xml:space="preserve">Scenarios </w:t>
      </w:r>
      <w:r w:rsidR="00683E09" w:rsidRPr="001E05F5">
        <w:t>Assessment</w:t>
      </w:r>
      <w:bookmarkEnd w:id="11"/>
    </w:p>
    <w:p w14:paraId="09E3B6EC" w14:textId="5EBD9EA9" w:rsidR="00480370" w:rsidRPr="001E05F5" w:rsidRDefault="00C91FCF" w:rsidP="00480370">
      <w:r w:rsidRPr="001E05F5">
        <w:t xml:space="preserve">It was agreed </w:t>
      </w:r>
      <w:r w:rsidR="00977E4F" w:rsidRPr="001E05F5">
        <w:t xml:space="preserve">that </w:t>
      </w:r>
      <w:r w:rsidRPr="001E05F5">
        <w:t xml:space="preserve">the options </w:t>
      </w:r>
      <w:r w:rsidR="00480370" w:rsidRPr="001E05F5">
        <w:t xml:space="preserve">would be </w:t>
      </w:r>
      <w:r w:rsidRPr="001E05F5">
        <w:t>grouped together into scenarios to highlight what could be achieved by</w:t>
      </w:r>
      <w:r w:rsidR="00480370" w:rsidRPr="001E05F5">
        <w:t xml:space="preserve">: </w:t>
      </w:r>
    </w:p>
    <w:p w14:paraId="7FED40F7" w14:textId="77777777" w:rsidR="00480370" w:rsidRPr="001E05F5" w:rsidRDefault="00C91FCF" w:rsidP="00D17D3B">
      <w:pPr>
        <w:pStyle w:val="ListParagraph"/>
        <w:numPr>
          <w:ilvl w:val="0"/>
          <w:numId w:val="13"/>
        </w:numPr>
        <w:spacing w:line="240" w:lineRule="auto"/>
        <w:rPr>
          <w:szCs w:val="20"/>
        </w:rPr>
      </w:pPr>
      <w:r w:rsidRPr="001E05F5">
        <w:rPr>
          <w:szCs w:val="20"/>
        </w:rPr>
        <w:t xml:space="preserve">residual waste treatment options alone; </w:t>
      </w:r>
    </w:p>
    <w:p w14:paraId="4BE23DA3" w14:textId="77777777" w:rsidR="00480370" w:rsidRPr="001E05F5" w:rsidRDefault="00C91FCF" w:rsidP="00D17D3B">
      <w:pPr>
        <w:pStyle w:val="ListParagraph"/>
        <w:numPr>
          <w:ilvl w:val="0"/>
          <w:numId w:val="13"/>
        </w:numPr>
        <w:spacing w:line="240" w:lineRule="auto"/>
        <w:rPr>
          <w:szCs w:val="20"/>
        </w:rPr>
      </w:pPr>
      <w:r w:rsidRPr="001E05F5">
        <w:rPr>
          <w:szCs w:val="20"/>
        </w:rPr>
        <w:t>implementing the residual waste treatment option alongside collection changes</w:t>
      </w:r>
      <w:r w:rsidR="00480370" w:rsidRPr="001E05F5">
        <w:rPr>
          <w:szCs w:val="20"/>
        </w:rPr>
        <w:t xml:space="preserve">; </w:t>
      </w:r>
      <w:r w:rsidRPr="001E05F5">
        <w:rPr>
          <w:szCs w:val="20"/>
        </w:rPr>
        <w:t xml:space="preserve">or </w:t>
      </w:r>
    </w:p>
    <w:p w14:paraId="4163846F" w14:textId="41FB40CF" w:rsidR="00480370" w:rsidRPr="001E05F5" w:rsidRDefault="00C91FCF" w:rsidP="00D17D3B">
      <w:pPr>
        <w:pStyle w:val="ListParagraph"/>
        <w:numPr>
          <w:ilvl w:val="0"/>
          <w:numId w:val="13"/>
        </w:numPr>
        <w:spacing w:line="240" w:lineRule="auto"/>
        <w:rPr>
          <w:szCs w:val="20"/>
        </w:rPr>
      </w:pPr>
      <w:r w:rsidRPr="001E05F5">
        <w:rPr>
          <w:szCs w:val="20"/>
        </w:rPr>
        <w:t>by implementing a full range of prevention, reuse and recycling options</w:t>
      </w:r>
      <w:r w:rsidR="00480370" w:rsidRPr="001E05F5">
        <w:rPr>
          <w:szCs w:val="20"/>
        </w:rPr>
        <w:t xml:space="preserve"> alongside collection changes and </w:t>
      </w:r>
      <w:r w:rsidR="00683E09" w:rsidRPr="001E05F5">
        <w:rPr>
          <w:szCs w:val="20"/>
        </w:rPr>
        <w:t>residual</w:t>
      </w:r>
      <w:r w:rsidR="00480370" w:rsidRPr="001E05F5">
        <w:rPr>
          <w:szCs w:val="20"/>
        </w:rPr>
        <w:t xml:space="preserve"> waste treatment options</w:t>
      </w:r>
      <w:r w:rsidRPr="001E05F5">
        <w:rPr>
          <w:szCs w:val="20"/>
        </w:rPr>
        <w:t xml:space="preserve">.  </w:t>
      </w:r>
    </w:p>
    <w:p w14:paraId="21DC7795" w14:textId="36175535" w:rsidR="00C91FCF" w:rsidRPr="001E05F5" w:rsidRDefault="00C91FCF" w:rsidP="00977E4F">
      <w:r w:rsidRPr="001E05F5">
        <w:t xml:space="preserve">This approach </w:t>
      </w:r>
      <w:r w:rsidR="00977E4F" w:rsidRPr="001E05F5">
        <w:t>provide</w:t>
      </w:r>
      <w:r w:rsidR="00683E09" w:rsidRPr="001E05F5">
        <w:t>d</w:t>
      </w:r>
      <w:r w:rsidR="00977E4F" w:rsidRPr="001E05F5">
        <w:t xml:space="preserve"> an insight </w:t>
      </w:r>
      <w:r w:rsidR="00D13658" w:rsidRPr="001E05F5">
        <w:t>in</w:t>
      </w:r>
      <w:r w:rsidR="00977E4F" w:rsidRPr="001E05F5">
        <w:t xml:space="preserve">to how the different </w:t>
      </w:r>
      <w:r w:rsidR="00E36987" w:rsidRPr="001E05F5">
        <w:t xml:space="preserve">waste management </w:t>
      </w:r>
      <w:r w:rsidR="00977E4F" w:rsidRPr="001E05F5">
        <w:t>‘building blocks’ could be arranged</w:t>
      </w:r>
      <w:r w:rsidR="00E36987" w:rsidRPr="001E05F5">
        <w:t xml:space="preserve">, </w:t>
      </w:r>
      <w:r w:rsidR="00977E4F" w:rsidRPr="001E05F5">
        <w:t xml:space="preserve">what </w:t>
      </w:r>
      <w:r w:rsidR="00683E09" w:rsidRPr="001E05F5">
        <w:t xml:space="preserve">might </w:t>
      </w:r>
      <w:r w:rsidRPr="001E05F5">
        <w:t xml:space="preserve">be achieved and </w:t>
      </w:r>
      <w:r w:rsidR="00E36987" w:rsidRPr="001E05F5">
        <w:t>how</w:t>
      </w:r>
      <w:r w:rsidR="00977E4F" w:rsidRPr="001E05F5">
        <w:t xml:space="preserve"> the </w:t>
      </w:r>
      <w:r w:rsidR="00683E09" w:rsidRPr="001E05F5">
        <w:t xml:space="preserve">combination of </w:t>
      </w:r>
      <w:r w:rsidRPr="001E05F5">
        <w:t xml:space="preserve">variables </w:t>
      </w:r>
      <w:r w:rsidR="00E36987" w:rsidRPr="001E05F5">
        <w:t>effect the</w:t>
      </w:r>
      <w:r w:rsidRPr="001E05F5">
        <w:t xml:space="preserve"> residual waste treatment options.  The scenarios are summarised </w:t>
      </w:r>
      <w:r w:rsidR="00977E4F" w:rsidRPr="001E05F5">
        <w:t>in Figure 4.1</w:t>
      </w:r>
      <w:r w:rsidR="00CF3EC7" w:rsidRPr="001E05F5">
        <w:t xml:space="preserve"> and Table 4.1</w:t>
      </w:r>
      <w:r w:rsidR="00977E4F" w:rsidRPr="001E05F5">
        <w:t xml:space="preserve">; </w:t>
      </w:r>
      <w:r w:rsidRPr="001E05F5">
        <w:t>this approach is broadly consistent with the approach taken in the 2008 options appraisal.</w:t>
      </w:r>
    </w:p>
    <w:p w14:paraId="21E46021" w14:textId="77777777" w:rsidR="002608D7" w:rsidRPr="001E05F5" w:rsidRDefault="002608D7" w:rsidP="002608D7">
      <w:pPr>
        <w:rPr>
          <w:b/>
        </w:rPr>
      </w:pPr>
      <w:r w:rsidRPr="001E05F5">
        <w:rPr>
          <w:b/>
        </w:rPr>
        <w:t>Table 4.1: Assessment Scenarios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17"/>
        <w:gridCol w:w="2404"/>
        <w:gridCol w:w="3969"/>
      </w:tblGrid>
      <w:tr w:rsidR="00CF3EC7" w:rsidRPr="001E05F5" w14:paraId="6C546BA3" w14:textId="77777777" w:rsidTr="00DE34D1">
        <w:tc>
          <w:tcPr>
            <w:tcW w:w="977" w:type="dxa"/>
            <w:shd w:val="clear" w:color="auto" w:fill="D9D9D9"/>
            <w:noWrap/>
            <w:tcMar>
              <w:left w:w="57" w:type="dxa"/>
              <w:right w:w="28" w:type="dxa"/>
            </w:tcMar>
            <w:vAlign w:val="center"/>
            <w:hideMark/>
          </w:tcPr>
          <w:p w14:paraId="51489306" w14:textId="77777777" w:rsidR="00CF3EC7" w:rsidRPr="001E05F5" w:rsidRDefault="00CF3EC7" w:rsidP="00CF3EC7">
            <w:pPr>
              <w:spacing w:after="0" w:line="240" w:lineRule="auto"/>
              <w:rPr>
                <w:rFonts w:cs="Arial"/>
                <w:b/>
                <w:bCs/>
                <w:sz w:val="18"/>
                <w:szCs w:val="18"/>
                <w:lang w:eastAsia="en-GB"/>
              </w:rPr>
            </w:pPr>
            <w:r w:rsidRPr="001E05F5">
              <w:rPr>
                <w:rFonts w:cs="Arial"/>
                <w:b/>
                <w:bCs/>
                <w:sz w:val="18"/>
                <w:szCs w:val="18"/>
                <w:lang w:eastAsia="en-GB"/>
              </w:rPr>
              <w:t>Scenario</w:t>
            </w:r>
          </w:p>
        </w:tc>
        <w:tc>
          <w:tcPr>
            <w:tcW w:w="1717" w:type="dxa"/>
            <w:shd w:val="clear" w:color="auto" w:fill="D9D9D9"/>
            <w:noWrap/>
            <w:tcMar>
              <w:left w:w="57" w:type="dxa"/>
              <w:right w:w="28" w:type="dxa"/>
            </w:tcMar>
            <w:vAlign w:val="center"/>
            <w:hideMark/>
          </w:tcPr>
          <w:p w14:paraId="683D407E" w14:textId="77777777" w:rsidR="00CF3EC7" w:rsidRPr="001E05F5" w:rsidRDefault="00CF3EC7" w:rsidP="00CF3EC7">
            <w:pPr>
              <w:spacing w:after="0" w:line="240" w:lineRule="auto"/>
              <w:rPr>
                <w:rFonts w:cs="Arial"/>
                <w:b/>
                <w:bCs/>
                <w:sz w:val="18"/>
                <w:szCs w:val="18"/>
                <w:lang w:eastAsia="en-GB"/>
              </w:rPr>
            </w:pPr>
            <w:r w:rsidRPr="001E05F5">
              <w:rPr>
                <w:rFonts w:cs="Arial"/>
                <w:b/>
                <w:bCs/>
                <w:sz w:val="18"/>
                <w:szCs w:val="18"/>
                <w:lang w:eastAsia="en-GB"/>
              </w:rPr>
              <w:t>Prevention, reuse and recycling</w:t>
            </w:r>
          </w:p>
        </w:tc>
        <w:tc>
          <w:tcPr>
            <w:tcW w:w="2404" w:type="dxa"/>
            <w:shd w:val="clear" w:color="auto" w:fill="D9D9D9"/>
            <w:noWrap/>
            <w:tcMar>
              <w:left w:w="57" w:type="dxa"/>
              <w:right w:w="28" w:type="dxa"/>
            </w:tcMar>
            <w:vAlign w:val="center"/>
            <w:hideMark/>
          </w:tcPr>
          <w:p w14:paraId="10E01085" w14:textId="77777777" w:rsidR="00CF3EC7" w:rsidRPr="001E05F5" w:rsidRDefault="00CF3EC7" w:rsidP="00CF3EC7">
            <w:pPr>
              <w:spacing w:after="0" w:line="240" w:lineRule="auto"/>
              <w:rPr>
                <w:rFonts w:cs="Arial"/>
                <w:b/>
                <w:bCs/>
                <w:sz w:val="18"/>
                <w:szCs w:val="18"/>
                <w:lang w:eastAsia="en-GB"/>
              </w:rPr>
            </w:pPr>
            <w:r w:rsidRPr="001E05F5">
              <w:rPr>
                <w:rFonts w:cs="Arial"/>
                <w:b/>
                <w:bCs/>
                <w:sz w:val="18"/>
                <w:szCs w:val="18"/>
                <w:lang w:eastAsia="en-GB"/>
              </w:rPr>
              <w:t>Collection</w:t>
            </w:r>
          </w:p>
        </w:tc>
        <w:tc>
          <w:tcPr>
            <w:tcW w:w="3969" w:type="dxa"/>
            <w:shd w:val="clear" w:color="auto" w:fill="D9D9D9"/>
            <w:noWrap/>
            <w:tcMar>
              <w:left w:w="57" w:type="dxa"/>
              <w:right w:w="28" w:type="dxa"/>
            </w:tcMar>
            <w:vAlign w:val="center"/>
            <w:hideMark/>
          </w:tcPr>
          <w:p w14:paraId="7EE6839F" w14:textId="77777777" w:rsidR="00CF3EC7" w:rsidRPr="001E05F5" w:rsidRDefault="00CF3EC7" w:rsidP="00CF3EC7">
            <w:pPr>
              <w:spacing w:after="0" w:line="240" w:lineRule="auto"/>
              <w:rPr>
                <w:rFonts w:cs="Arial"/>
                <w:b/>
                <w:bCs/>
                <w:sz w:val="18"/>
                <w:szCs w:val="18"/>
                <w:lang w:eastAsia="en-GB"/>
              </w:rPr>
            </w:pPr>
            <w:r w:rsidRPr="001E05F5">
              <w:rPr>
                <w:rFonts w:cs="Arial"/>
                <w:b/>
                <w:bCs/>
                <w:sz w:val="18"/>
                <w:szCs w:val="18"/>
                <w:lang w:eastAsia="en-GB"/>
              </w:rPr>
              <w:t>Residual Treatment</w:t>
            </w:r>
          </w:p>
        </w:tc>
      </w:tr>
      <w:tr w:rsidR="002608D7" w:rsidRPr="001E05F5" w14:paraId="0E1D73ED" w14:textId="77777777" w:rsidTr="002608D7">
        <w:trPr>
          <w:trHeight w:val="300"/>
        </w:trPr>
        <w:tc>
          <w:tcPr>
            <w:tcW w:w="977" w:type="dxa"/>
            <w:shd w:val="clear" w:color="auto" w:fill="auto"/>
            <w:tcMar>
              <w:left w:w="57" w:type="dxa"/>
              <w:right w:w="28" w:type="dxa"/>
            </w:tcMar>
            <w:vAlign w:val="center"/>
            <w:hideMark/>
          </w:tcPr>
          <w:p w14:paraId="7DB2363C"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1a</w:t>
            </w:r>
          </w:p>
        </w:tc>
        <w:tc>
          <w:tcPr>
            <w:tcW w:w="1717" w:type="dxa"/>
            <w:shd w:val="clear" w:color="auto" w:fill="auto"/>
            <w:tcMar>
              <w:left w:w="57" w:type="dxa"/>
              <w:right w:w="28" w:type="dxa"/>
            </w:tcMar>
            <w:vAlign w:val="center"/>
            <w:hideMark/>
          </w:tcPr>
          <w:p w14:paraId="38D79CE6"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42AAFC32"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3969" w:type="dxa"/>
            <w:shd w:val="clear" w:color="auto" w:fill="auto"/>
            <w:tcMar>
              <w:left w:w="57" w:type="dxa"/>
              <w:right w:w="28" w:type="dxa"/>
            </w:tcMar>
            <w:vAlign w:val="center"/>
            <w:hideMark/>
          </w:tcPr>
          <w:p w14:paraId="3499DF6F" w14:textId="31AF090D" w:rsidR="00CF3EC7" w:rsidRPr="001E05F5" w:rsidRDefault="00DE34D1" w:rsidP="002608D7">
            <w:pPr>
              <w:spacing w:after="0" w:line="240" w:lineRule="auto"/>
              <w:rPr>
                <w:rFonts w:cs="Arial"/>
                <w:color w:val="000000"/>
                <w:sz w:val="18"/>
                <w:szCs w:val="18"/>
                <w:lang w:eastAsia="en-GB"/>
              </w:rPr>
            </w:pPr>
            <w:bookmarkStart w:id="12" w:name="_Hlk518985301"/>
            <w:r>
              <w:rPr>
                <w:rFonts w:cs="Arial"/>
                <w:color w:val="000000"/>
                <w:sz w:val="18"/>
                <w:szCs w:val="18"/>
                <w:lang w:eastAsia="en-GB"/>
              </w:rPr>
              <w:t>C</w:t>
            </w:r>
            <w:r w:rsidR="00CF3EC7" w:rsidRPr="001E05F5">
              <w:rPr>
                <w:rFonts w:cs="Arial"/>
                <w:color w:val="000000"/>
                <w:sz w:val="18"/>
                <w:szCs w:val="18"/>
                <w:lang w:eastAsia="en-GB"/>
              </w:rPr>
              <w:t>ontract extension (beyond 2025) for existing EfW contract</w:t>
            </w:r>
            <w:bookmarkEnd w:id="12"/>
            <w:r w:rsidR="00D039DE" w:rsidRPr="001E05F5">
              <w:rPr>
                <w:rFonts w:cs="Arial"/>
                <w:color w:val="000000"/>
                <w:sz w:val="18"/>
                <w:szCs w:val="18"/>
                <w:lang w:eastAsia="en-GB"/>
              </w:rPr>
              <w:t xml:space="preserve"> (No change)</w:t>
            </w:r>
          </w:p>
        </w:tc>
      </w:tr>
      <w:tr w:rsidR="002608D7" w:rsidRPr="001E05F5" w14:paraId="44AE52EC" w14:textId="77777777" w:rsidTr="002608D7">
        <w:trPr>
          <w:trHeight w:val="300"/>
        </w:trPr>
        <w:tc>
          <w:tcPr>
            <w:tcW w:w="977" w:type="dxa"/>
            <w:shd w:val="clear" w:color="auto" w:fill="auto"/>
            <w:tcMar>
              <w:left w:w="57" w:type="dxa"/>
              <w:right w:w="28" w:type="dxa"/>
            </w:tcMar>
            <w:vAlign w:val="center"/>
            <w:hideMark/>
          </w:tcPr>
          <w:p w14:paraId="1AF51355"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1b</w:t>
            </w:r>
          </w:p>
        </w:tc>
        <w:tc>
          <w:tcPr>
            <w:tcW w:w="1717" w:type="dxa"/>
            <w:shd w:val="clear" w:color="auto" w:fill="auto"/>
            <w:tcMar>
              <w:left w:w="57" w:type="dxa"/>
              <w:right w:w="28" w:type="dxa"/>
            </w:tcMar>
            <w:vAlign w:val="center"/>
            <w:hideMark/>
          </w:tcPr>
          <w:p w14:paraId="46F35B40"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01008902"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3969" w:type="dxa"/>
            <w:shd w:val="clear" w:color="auto" w:fill="auto"/>
            <w:tcMar>
              <w:left w:w="57" w:type="dxa"/>
              <w:right w:w="28" w:type="dxa"/>
            </w:tcMar>
            <w:vAlign w:val="center"/>
            <w:hideMark/>
          </w:tcPr>
          <w:p w14:paraId="0C94D4A4"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New build energy recovery facility</w:t>
            </w:r>
          </w:p>
        </w:tc>
      </w:tr>
      <w:tr w:rsidR="002608D7" w:rsidRPr="001E05F5" w14:paraId="4CF22909" w14:textId="77777777" w:rsidTr="002608D7">
        <w:trPr>
          <w:trHeight w:val="300"/>
        </w:trPr>
        <w:tc>
          <w:tcPr>
            <w:tcW w:w="977" w:type="dxa"/>
            <w:shd w:val="clear" w:color="auto" w:fill="auto"/>
            <w:tcMar>
              <w:left w:w="57" w:type="dxa"/>
              <w:right w:w="28" w:type="dxa"/>
            </w:tcMar>
            <w:vAlign w:val="center"/>
            <w:hideMark/>
          </w:tcPr>
          <w:p w14:paraId="6EB007AD"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1c</w:t>
            </w:r>
          </w:p>
        </w:tc>
        <w:tc>
          <w:tcPr>
            <w:tcW w:w="1717" w:type="dxa"/>
            <w:shd w:val="clear" w:color="auto" w:fill="auto"/>
            <w:tcMar>
              <w:left w:w="57" w:type="dxa"/>
              <w:right w:w="28" w:type="dxa"/>
            </w:tcMar>
            <w:vAlign w:val="center"/>
            <w:hideMark/>
          </w:tcPr>
          <w:p w14:paraId="72237B92"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56487677"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3969" w:type="dxa"/>
            <w:shd w:val="clear" w:color="auto" w:fill="auto"/>
            <w:tcMar>
              <w:left w:w="57" w:type="dxa"/>
              <w:right w:w="28" w:type="dxa"/>
            </w:tcMar>
            <w:vAlign w:val="center"/>
            <w:hideMark/>
          </w:tcPr>
          <w:p w14:paraId="34F598C2"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New build </w:t>
            </w:r>
            <w:proofErr w:type="gramStart"/>
            <w:r w:rsidRPr="001E05F5">
              <w:rPr>
                <w:rFonts w:cs="Arial"/>
                <w:color w:val="000000"/>
                <w:sz w:val="18"/>
                <w:szCs w:val="18"/>
                <w:lang w:eastAsia="en-GB"/>
              </w:rPr>
              <w:t>refuse</w:t>
            </w:r>
            <w:proofErr w:type="gramEnd"/>
            <w:r w:rsidRPr="001E05F5">
              <w:rPr>
                <w:rFonts w:cs="Arial"/>
                <w:color w:val="000000"/>
                <w:sz w:val="18"/>
                <w:szCs w:val="18"/>
                <w:lang w:eastAsia="en-GB"/>
              </w:rPr>
              <w:t xml:space="preserve"> derived fuel facility (RDF)</w:t>
            </w:r>
          </w:p>
        </w:tc>
      </w:tr>
      <w:tr w:rsidR="002608D7" w:rsidRPr="001E05F5" w14:paraId="7F23534F" w14:textId="77777777" w:rsidTr="002608D7">
        <w:trPr>
          <w:trHeight w:val="300"/>
        </w:trPr>
        <w:tc>
          <w:tcPr>
            <w:tcW w:w="977" w:type="dxa"/>
            <w:shd w:val="clear" w:color="auto" w:fill="auto"/>
            <w:tcMar>
              <w:left w:w="57" w:type="dxa"/>
              <w:right w:w="28" w:type="dxa"/>
            </w:tcMar>
            <w:vAlign w:val="center"/>
            <w:hideMark/>
          </w:tcPr>
          <w:p w14:paraId="011D20F4"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1d</w:t>
            </w:r>
          </w:p>
        </w:tc>
        <w:tc>
          <w:tcPr>
            <w:tcW w:w="1717" w:type="dxa"/>
            <w:shd w:val="clear" w:color="auto" w:fill="auto"/>
            <w:tcMar>
              <w:left w:w="57" w:type="dxa"/>
              <w:right w:w="28" w:type="dxa"/>
            </w:tcMar>
            <w:vAlign w:val="center"/>
            <w:hideMark/>
          </w:tcPr>
          <w:p w14:paraId="5585EC95"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0DD1F5F6"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3969" w:type="dxa"/>
            <w:shd w:val="clear" w:color="auto" w:fill="auto"/>
            <w:tcMar>
              <w:left w:w="57" w:type="dxa"/>
              <w:right w:w="28" w:type="dxa"/>
            </w:tcMar>
            <w:vAlign w:val="center"/>
            <w:hideMark/>
          </w:tcPr>
          <w:p w14:paraId="4AD5978A"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Utilise </w:t>
            </w:r>
            <w:r w:rsidR="002608D7" w:rsidRPr="001E05F5">
              <w:rPr>
                <w:rFonts w:cs="Arial"/>
                <w:color w:val="000000"/>
                <w:sz w:val="18"/>
                <w:szCs w:val="18"/>
                <w:lang w:eastAsia="en-GB"/>
              </w:rPr>
              <w:t>3</w:t>
            </w:r>
            <w:r w:rsidR="002608D7" w:rsidRPr="001E05F5">
              <w:rPr>
                <w:rFonts w:cs="Arial"/>
                <w:color w:val="000000"/>
                <w:sz w:val="18"/>
                <w:szCs w:val="18"/>
                <w:vertAlign w:val="superscript"/>
                <w:lang w:eastAsia="en-GB"/>
              </w:rPr>
              <w:t>rd</w:t>
            </w:r>
            <w:r w:rsidR="002608D7" w:rsidRPr="001E05F5">
              <w:rPr>
                <w:rFonts w:cs="Arial"/>
                <w:color w:val="000000"/>
                <w:sz w:val="18"/>
                <w:szCs w:val="18"/>
                <w:lang w:eastAsia="en-GB"/>
              </w:rPr>
              <w:t xml:space="preserve"> </w:t>
            </w:r>
            <w:r w:rsidRPr="001E05F5">
              <w:rPr>
                <w:rFonts w:cs="Arial"/>
                <w:color w:val="000000"/>
                <w:sz w:val="18"/>
                <w:szCs w:val="18"/>
                <w:lang w:eastAsia="en-GB"/>
              </w:rPr>
              <w:t>party energy recovery facility capacity</w:t>
            </w:r>
          </w:p>
        </w:tc>
      </w:tr>
      <w:tr w:rsidR="002608D7" w:rsidRPr="001E05F5" w14:paraId="73DB2247" w14:textId="77777777" w:rsidTr="002608D7">
        <w:trPr>
          <w:trHeight w:val="300"/>
        </w:trPr>
        <w:tc>
          <w:tcPr>
            <w:tcW w:w="977" w:type="dxa"/>
            <w:shd w:val="clear" w:color="auto" w:fill="auto"/>
            <w:tcMar>
              <w:left w:w="57" w:type="dxa"/>
              <w:right w:w="28" w:type="dxa"/>
            </w:tcMar>
            <w:vAlign w:val="center"/>
            <w:hideMark/>
          </w:tcPr>
          <w:p w14:paraId="093FF729"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2a</w:t>
            </w:r>
          </w:p>
        </w:tc>
        <w:tc>
          <w:tcPr>
            <w:tcW w:w="1717" w:type="dxa"/>
            <w:shd w:val="clear" w:color="auto" w:fill="auto"/>
            <w:tcMar>
              <w:left w:w="57" w:type="dxa"/>
              <w:right w:w="28" w:type="dxa"/>
            </w:tcMar>
            <w:vAlign w:val="center"/>
            <w:hideMark/>
          </w:tcPr>
          <w:p w14:paraId="75F9A44D"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052117F6"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efficiency</w:t>
            </w:r>
          </w:p>
        </w:tc>
        <w:tc>
          <w:tcPr>
            <w:tcW w:w="3969" w:type="dxa"/>
            <w:shd w:val="clear" w:color="auto" w:fill="auto"/>
            <w:tcMar>
              <w:left w:w="57" w:type="dxa"/>
              <w:right w:w="28" w:type="dxa"/>
            </w:tcMar>
            <w:vAlign w:val="center"/>
            <w:hideMark/>
          </w:tcPr>
          <w:p w14:paraId="61A0E0C0" w14:textId="028787D5" w:rsidR="00CF3EC7" w:rsidRPr="001E05F5" w:rsidRDefault="00DE34D1" w:rsidP="002608D7">
            <w:pPr>
              <w:spacing w:after="0" w:line="240" w:lineRule="auto"/>
              <w:rPr>
                <w:rFonts w:cs="Arial"/>
                <w:color w:val="000000"/>
                <w:sz w:val="18"/>
                <w:szCs w:val="18"/>
                <w:lang w:eastAsia="en-GB"/>
              </w:rPr>
            </w:pPr>
            <w:r>
              <w:rPr>
                <w:rFonts w:cs="Arial"/>
                <w:color w:val="000000"/>
                <w:sz w:val="18"/>
                <w:szCs w:val="18"/>
                <w:lang w:eastAsia="en-GB"/>
              </w:rPr>
              <w:t>C</w:t>
            </w:r>
            <w:r w:rsidR="00CF3EC7" w:rsidRPr="001E05F5">
              <w:rPr>
                <w:rFonts w:cs="Arial"/>
                <w:color w:val="000000"/>
                <w:sz w:val="18"/>
                <w:szCs w:val="18"/>
                <w:lang w:eastAsia="en-GB"/>
              </w:rPr>
              <w:t>ontract extension (beyond 2025) for existing EfW contract</w:t>
            </w:r>
          </w:p>
        </w:tc>
      </w:tr>
      <w:tr w:rsidR="002608D7" w:rsidRPr="001E05F5" w14:paraId="76AEC9AE" w14:textId="77777777" w:rsidTr="002608D7">
        <w:trPr>
          <w:trHeight w:val="300"/>
        </w:trPr>
        <w:tc>
          <w:tcPr>
            <w:tcW w:w="977" w:type="dxa"/>
            <w:shd w:val="clear" w:color="auto" w:fill="auto"/>
            <w:tcMar>
              <w:left w:w="57" w:type="dxa"/>
              <w:right w:w="28" w:type="dxa"/>
            </w:tcMar>
            <w:vAlign w:val="center"/>
            <w:hideMark/>
          </w:tcPr>
          <w:p w14:paraId="38BEF9A6"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2b</w:t>
            </w:r>
          </w:p>
        </w:tc>
        <w:tc>
          <w:tcPr>
            <w:tcW w:w="1717" w:type="dxa"/>
            <w:shd w:val="clear" w:color="auto" w:fill="auto"/>
            <w:tcMar>
              <w:left w:w="57" w:type="dxa"/>
              <w:right w:w="28" w:type="dxa"/>
            </w:tcMar>
            <w:vAlign w:val="center"/>
            <w:hideMark/>
          </w:tcPr>
          <w:p w14:paraId="117C38E3"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659F1F4D"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High efficiency </w:t>
            </w:r>
          </w:p>
        </w:tc>
        <w:tc>
          <w:tcPr>
            <w:tcW w:w="3969" w:type="dxa"/>
            <w:shd w:val="clear" w:color="auto" w:fill="auto"/>
            <w:tcMar>
              <w:left w:w="57" w:type="dxa"/>
              <w:right w:w="28" w:type="dxa"/>
            </w:tcMar>
            <w:vAlign w:val="center"/>
            <w:hideMark/>
          </w:tcPr>
          <w:p w14:paraId="2480A7B6"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New build energy recovery facility</w:t>
            </w:r>
          </w:p>
        </w:tc>
      </w:tr>
      <w:tr w:rsidR="002608D7" w:rsidRPr="001E05F5" w14:paraId="7641A49C" w14:textId="77777777" w:rsidTr="002608D7">
        <w:trPr>
          <w:trHeight w:val="300"/>
        </w:trPr>
        <w:tc>
          <w:tcPr>
            <w:tcW w:w="977" w:type="dxa"/>
            <w:shd w:val="clear" w:color="auto" w:fill="auto"/>
            <w:tcMar>
              <w:left w:w="57" w:type="dxa"/>
              <w:right w:w="28" w:type="dxa"/>
            </w:tcMar>
            <w:vAlign w:val="center"/>
            <w:hideMark/>
          </w:tcPr>
          <w:p w14:paraId="2A7C0CE0"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2c</w:t>
            </w:r>
          </w:p>
        </w:tc>
        <w:tc>
          <w:tcPr>
            <w:tcW w:w="1717" w:type="dxa"/>
            <w:shd w:val="clear" w:color="auto" w:fill="auto"/>
            <w:tcMar>
              <w:left w:w="57" w:type="dxa"/>
              <w:right w:w="28" w:type="dxa"/>
            </w:tcMar>
            <w:vAlign w:val="center"/>
            <w:hideMark/>
          </w:tcPr>
          <w:p w14:paraId="7406C02B"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420726CF"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High efficiency </w:t>
            </w:r>
          </w:p>
        </w:tc>
        <w:tc>
          <w:tcPr>
            <w:tcW w:w="3969" w:type="dxa"/>
            <w:shd w:val="clear" w:color="auto" w:fill="auto"/>
            <w:tcMar>
              <w:left w:w="57" w:type="dxa"/>
              <w:right w:w="28" w:type="dxa"/>
            </w:tcMar>
            <w:vAlign w:val="center"/>
            <w:hideMark/>
          </w:tcPr>
          <w:p w14:paraId="2768B056"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New build </w:t>
            </w:r>
            <w:proofErr w:type="gramStart"/>
            <w:r w:rsidRPr="001E05F5">
              <w:rPr>
                <w:rFonts w:cs="Arial"/>
                <w:color w:val="000000"/>
                <w:sz w:val="18"/>
                <w:szCs w:val="18"/>
                <w:lang w:eastAsia="en-GB"/>
              </w:rPr>
              <w:t>refuse</w:t>
            </w:r>
            <w:proofErr w:type="gramEnd"/>
            <w:r w:rsidRPr="001E05F5">
              <w:rPr>
                <w:rFonts w:cs="Arial"/>
                <w:color w:val="000000"/>
                <w:sz w:val="18"/>
                <w:szCs w:val="18"/>
                <w:lang w:eastAsia="en-GB"/>
              </w:rPr>
              <w:t xml:space="preserve"> derived fuel facility (RDF)</w:t>
            </w:r>
          </w:p>
        </w:tc>
      </w:tr>
      <w:tr w:rsidR="002608D7" w:rsidRPr="001E05F5" w14:paraId="1AB36539" w14:textId="77777777" w:rsidTr="002608D7">
        <w:trPr>
          <w:trHeight w:val="300"/>
        </w:trPr>
        <w:tc>
          <w:tcPr>
            <w:tcW w:w="977" w:type="dxa"/>
            <w:shd w:val="clear" w:color="auto" w:fill="auto"/>
            <w:tcMar>
              <w:left w:w="57" w:type="dxa"/>
              <w:right w:w="28" w:type="dxa"/>
            </w:tcMar>
            <w:vAlign w:val="center"/>
            <w:hideMark/>
          </w:tcPr>
          <w:p w14:paraId="4F54FEEA"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2d</w:t>
            </w:r>
          </w:p>
        </w:tc>
        <w:tc>
          <w:tcPr>
            <w:tcW w:w="1717" w:type="dxa"/>
            <w:shd w:val="clear" w:color="auto" w:fill="auto"/>
            <w:tcMar>
              <w:left w:w="57" w:type="dxa"/>
              <w:right w:w="28" w:type="dxa"/>
            </w:tcMar>
            <w:vAlign w:val="center"/>
            <w:hideMark/>
          </w:tcPr>
          <w:p w14:paraId="0AC435CC"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24507DF8"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High efficiency </w:t>
            </w:r>
          </w:p>
        </w:tc>
        <w:tc>
          <w:tcPr>
            <w:tcW w:w="3969" w:type="dxa"/>
            <w:shd w:val="clear" w:color="auto" w:fill="auto"/>
            <w:tcMar>
              <w:left w:w="57" w:type="dxa"/>
              <w:right w:w="28" w:type="dxa"/>
            </w:tcMar>
            <w:vAlign w:val="center"/>
            <w:hideMark/>
          </w:tcPr>
          <w:p w14:paraId="3EFD6909"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Utilise </w:t>
            </w:r>
            <w:r w:rsidR="002608D7" w:rsidRPr="001E05F5">
              <w:rPr>
                <w:rFonts w:cs="Arial"/>
                <w:color w:val="000000"/>
                <w:sz w:val="18"/>
                <w:szCs w:val="18"/>
                <w:lang w:eastAsia="en-GB"/>
              </w:rPr>
              <w:t>3</w:t>
            </w:r>
            <w:r w:rsidR="002608D7" w:rsidRPr="001E05F5">
              <w:rPr>
                <w:rFonts w:cs="Arial"/>
                <w:color w:val="000000"/>
                <w:sz w:val="18"/>
                <w:szCs w:val="18"/>
                <w:vertAlign w:val="superscript"/>
                <w:lang w:eastAsia="en-GB"/>
              </w:rPr>
              <w:t>rd</w:t>
            </w:r>
            <w:r w:rsidR="002608D7" w:rsidRPr="001E05F5">
              <w:rPr>
                <w:rFonts w:cs="Arial"/>
                <w:color w:val="000000"/>
                <w:sz w:val="18"/>
                <w:szCs w:val="18"/>
                <w:lang w:eastAsia="en-GB"/>
              </w:rPr>
              <w:t xml:space="preserve"> </w:t>
            </w:r>
            <w:r w:rsidRPr="001E05F5">
              <w:rPr>
                <w:rFonts w:cs="Arial"/>
                <w:color w:val="000000"/>
                <w:sz w:val="18"/>
                <w:szCs w:val="18"/>
                <w:lang w:eastAsia="en-GB"/>
              </w:rPr>
              <w:t>party energy recovery facility capacity</w:t>
            </w:r>
          </w:p>
        </w:tc>
      </w:tr>
      <w:tr w:rsidR="002608D7" w:rsidRPr="001E05F5" w14:paraId="4708D38E" w14:textId="77777777" w:rsidTr="002608D7">
        <w:trPr>
          <w:trHeight w:val="300"/>
        </w:trPr>
        <w:tc>
          <w:tcPr>
            <w:tcW w:w="977" w:type="dxa"/>
            <w:shd w:val="clear" w:color="auto" w:fill="auto"/>
            <w:tcMar>
              <w:left w:w="57" w:type="dxa"/>
              <w:right w:w="28" w:type="dxa"/>
            </w:tcMar>
            <w:vAlign w:val="center"/>
            <w:hideMark/>
          </w:tcPr>
          <w:p w14:paraId="6F3F0536"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2e</w:t>
            </w:r>
          </w:p>
        </w:tc>
        <w:tc>
          <w:tcPr>
            <w:tcW w:w="1717" w:type="dxa"/>
            <w:shd w:val="clear" w:color="auto" w:fill="auto"/>
            <w:tcMar>
              <w:left w:w="57" w:type="dxa"/>
              <w:right w:w="28" w:type="dxa"/>
            </w:tcMar>
            <w:vAlign w:val="center"/>
            <w:hideMark/>
          </w:tcPr>
          <w:p w14:paraId="5FB7C9B9"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28C2A7A2"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recycling performance</w:t>
            </w:r>
          </w:p>
        </w:tc>
        <w:tc>
          <w:tcPr>
            <w:tcW w:w="3969" w:type="dxa"/>
            <w:shd w:val="clear" w:color="auto" w:fill="auto"/>
            <w:tcMar>
              <w:left w:w="57" w:type="dxa"/>
              <w:right w:w="28" w:type="dxa"/>
            </w:tcMar>
            <w:vAlign w:val="center"/>
            <w:hideMark/>
          </w:tcPr>
          <w:p w14:paraId="4EA5BB22" w14:textId="24729939" w:rsidR="00CF3EC7" w:rsidRPr="001E05F5" w:rsidRDefault="00DE34D1" w:rsidP="002608D7">
            <w:pPr>
              <w:spacing w:after="0" w:line="240" w:lineRule="auto"/>
              <w:rPr>
                <w:rFonts w:cs="Arial"/>
                <w:color w:val="000000"/>
                <w:sz w:val="18"/>
                <w:szCs w:val="18"/>
                <w:lang w:eastAsia="en-GB"/>
              </w:rPr>
            </w:pPr>
            <w:r>
              <w:rPr>
                <w:rFonts w:cs="Arial"/>
                <w:color w:val="000000"/>
                <w:sz w:val="18"/>
                <w:szCs w:val="18"/>
                <w:lang w:eastAsia="en-GB"/>
              </w:rPr>
              <w:t>C</w:t>
            </w:r>
            <w:r w:rsidR="00CF3EC7" w:rsidRPr="001E05F5">
              <w:rPr>
                <w:rFonts w:cs="Arial"/>
                <w:color w:val="000000"/>
                <w:sz w:val="18"/>
                <w:szCs w:val="18"/>
                <w:lang w:eastAsia="en-GB"/>
              </w:rPr>
              <w:t>ontract extension (beyond 2025) for existing EfW contract</w:t>
            </w:r>
          </w:p>
        </w:tc>
      </w:tr>
      <w:tr w:rsidR="002608D7" w:rsidRPr="001E05F5" w14:paraId="2D8EDA66" w14:textId="77777777" w:rsidTr="002608D7">
        <w:trPr>
          <w:trHeight w:val="300"/>
        </w:trPr>
        <w:tc>
          <w:tcPr>
            <w:tcW w:w="977" w:type="dxa"/>
            <w:shd w:val="clear" w:color="auto" w:fill="auto"/>
            <w:tcMar>
              <w:left w:w="57" w:type="dxa"/>
              <w:right w:w="28" w:type="dxa"/>
            </w:tcMar>
            <w:vAlign w:val="center"/>
            <w:hideMark/>
          </w:tcPr>
          <w:p w14:paraId="38A8BE03"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2f</w:t>
            </w:r>
          </w:p>
        </w:tc>
        <w:tc>
          <w:tcPr>
            <w:tcW w:w="1717" w:type="dxa"/>
            <w:shd w:val="clear" w:color="auto" w:fill="auto"/>
            <w:tcMar>
              <w:left w:w="57" w:type="dxa"/>
              <w:right w:w="28" w:type="dxa"/>
            </w:tcMar>
            <w:vAlign w:val="center"/>
            <w:hideMark/>
          </w:tcPr>
          <w:p w14:paraId="3C8E413F"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3869E4A8"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recycling performance</w:t>
            </w:r>
          </w:p>
        </w:tc>
        <w:tc>
          <w:tcPr>
            <w:tcW w:w="3969" w:type="dxa"/>
            <w:shd w:val="clear" w:color="auto" w:fill="auto"/>
            <w:tcMar>
              <w:left w:w="57" w:type="dxa"/>
              <w:right w:w="28" w:type="dxa"/>
            </w:tcMar>
            <w:vAlign w:val="center"/>
            <w:hideMark/>
          </w:tcPr>
          <w:p w14:paraId="5175C18B"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New build energy recovery facility</w:t>
            </w:r>
          </w:p>
        </w:tc>
      </w:tr>
      <w:tr w:rsidR="002608D7" w:rsidRPr="001E05F5" w14:paraId="4AA2C3C3" w14:textId="77777777" w:rsidTr="002608D7">
        <w:trPr>
          <w:trHeight w:val="300"/>
        </w:trPr>
        <w:tc>
          <w:tcPr>
            <w:tcW w:w="977" w:type="dxa"/>
            <w:shd w:val="clear" w:color="auto" w:fill="auto"/>
            <w:tcMar>
              <w:left w:w="57" w:type="dxa"/>
              <w:right w:w="28" w:type="dxa"/>
            </w:tcMar>
            <w:vAlign w:val="center"/>
            <w:hideMark/>
          </w:tcPr>
          <w:p w14:paraId="5C5D39EB"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2g</w:t>
            </w:r>
          </w:p>
        </w:tc>
        <w:tc>
          <w:tcPr>
            <w:tcW w:w="1717" w:type="dxa"/>
            <w:shd w:val="clear" w:color="auto" w:fill="auto"/>
            <w:tcMar>
              <w:left w:w="57" w:type="dxa"/>
              <w:right w:w="28" w:type="dxa"/>
            </w:tcMar>
            <w:vAlign w:val="center"/>
            <w:hideMark/>
          </w:tcPr>
          <w:p w14:paraId="7F83D56B"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7F9F5D08"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recycling performance</w:t>
            </w:r>
          </w:p>
        </w:tc>
        <w:tc>
          <w:tcPr>
            <w:tcW w:w="3969" w:type="dxa"/>
            <w:shd w:val="clear" w:color="auto" w:fill="auto"/>
            <w:tcMar>
              <w:left w:w="57" w:type="dxa"/>
              <w:right w:w="28" w:type="dxa"/>
            </w:tcMar>
            <w:vAlign w:val="center"/>
            <w:hideMark/>
          </w:tcPr>
          <w:p w14:paraId="1FC10327"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New build </w:t>
            </w:r>
            <w:proofErr w:type="gramStart"/>
            <w:r w:rsidRPr="001E05F5">
              <w:rPr>
                <w:rFonts w:cs="Arial"/>
                <w:color w:val="000000"/>
                <w:sz w:val="18"/>
                <w:szCs w:val="18"/>
                <w:lang w:eastAsia="en-GB"/>
              </w:rPr>
              <w:t>refuse</w:t>
            </w:r>
            <w:proofErr w:type="gramEnd"/>
            <w:r w:rsidRPr="001E05F5">
              <w:rPr>
                <w:rFonts w:cs="Arial"/>
                <w:color w:val="000000"/>
                <w:sz w:val="18"/>
                <w:szCs w:val="18"/>
                <w:lang w:eastAsia="en-GB"/>
              </w:rPr>
              <w:t xml:space="preserve"> derived fuel facility (RDF)</w:t>
            </w:r>
          </w:p>
        </w:tc>
      </w:tr>
      <w:tr w:rsidR="002608D7" w:rsidRPr="001E05F5" w14:paraId="5718F825" w14:textId="77777777" w:rsidTr="002608D7">
        <w:trPr>
          <w:trHeight w:val="300"/>
        </w:trPr>
        <w:tc>
          <w:tcPr>
            <w:tcW w:w="977" w:type="dxa"/>
            <w:shd w:val="clear" w:color="auto" w:fill="auto"/>
            <w:tcMar>
              <w:left w:w="57" w:type="dxa"/>
              <w:right w:w="28" w:type="dxa"/>
            </w:tcMar>
            <w:vAlign w:val="center"/>
            <w:hideMark/>
          </w:tcPr>
          <w:p w14:paraId="613CEC73"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2h</w:t>
            </w:r>
          </w:p>
        </w:tc>
        <w:tc>
          <w:tcPr>
            <w:tcW w:w="1717" w:type="dxa"/>
            <w:shd w:val="clear" w:color="auto" w:fill="auto"/>
            <w:tcMar>
              <w:left w:w="57" w:type="dxa"/>
              <w:right w:w="28" w:type="dxa"/>
            </w:tcMar>
            <w:vAlign w:val="center"/>
            <w:hideMark/>
          </w:tcPr>
          <w:p w14:paraId="7947E518"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No change</w:t>
            </w:r>
          </w:p>
        </w:tc>
        <w:tc>
          <w:tcPr>
            <w:tcW w:w="2404" w:type="dxa"/>
            <w:shd w:val="clear" w:color="auto" w:fill="auto"/>
            <w:tcMar>
              <w:left w:w="57" w:type="dxa"/>
              <w:right w:w="28" w:type="dxa"/>
            </w:tcMar>
            <w:vAlign w:val="center"/>
            <w:hideMark/>
          </w:tcPr>
          <w:p w14:paraId="562CCA72"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recycling performance</w:t>
            </w:r>
          </w:p>
        </w:tc>
        <w:tc>
          <w:tcPr>
            <w:tcW w:w="3969" w:type="dxa"/>
            <w:shd w:val="clear" w:color="auto" w:fill="auto"/>
            <w:tcMar>
              <w:left w:w="57" w:type="dxa"/>
              <w:right w:w="28" w:type="dxa"/>
            </w:tcMar>
            <w:vAlign w:val="center"/>
            <w:hideMark/>
          </w:tcPr>
          <w:p w14:paraId="0F5F53A7"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Utilise </w:t>
            </w:r>
            <w:r w:rsidR="002608D7" w:rsidRPr="001E05F5">
              <w:rPr>
                <w:rFonts w:cs="Arial"/>
                <w:color w:val="000000"/>
                <w:sz w:val="18"/>
                <w:szCs w:val="18"/>
                <w:lang w:eastAsia="en-GB"/>
              </w:rPr>
              <w:t>3</w:t>
            </w:r>
            <w:r w:rsidR="002608D7" w:rsidRPr="001E05F5">
              <w:rPr>
                <w:rFonts w:cs="Arial"/>
                <w:color w:val="000000"/>
                <w:sz w:val="18"/>
                <w:szCs w:val="18"/>
                <w:vertAlign w:val="superscript"/>
                <w:lang w:eastAsia="en-GB"/>
              </w:rPr>
              <w:t>rd</w:t>
            </w:r>
            <w:r w:rsidR="002608D7" w:rsidRPr="001E05F5">
              <w:rPr>
                <w:rFonts w:cs="Arial"/>
                <w:color w:val="000000"/>
                <w:sz w:val="18"/>
                <w:szCs w:val="18"/>
                <w:lang w:eastAsia="en-GB"/>
              </w:rPr>
              <w:t xml:space="preserve"> </w:t>
            </w:r>
            <w:r w:rsidRPr="001E05F5">
              <w:rPr>
                <w:rFonts w:cs="Arial"/>
                <w:color w:val="000000"/>
                <w:sz w:val="18"/>
                <w:szCs w:val="18"/>
                <w:lang w:eastAsia="en-GB"/>
              </w:rPr>
              <w:t>party energy recovery facility capacity</w:t>
            </w:r>
          </w:p>
        </w:tc>
      </w:tr>
      <w:tr w:rsidR="002608D7" w:rsidRPr="001E05F5" w14:paraId="0383CC8A" w14:textId="77777777" w:rsidTr="002608D7">
        <w:trPr>
          <w:trHeight w:val="288"/>
        </w:trPr>
        <w:tc>
          <w:tcPr>
            <w:tcW w:w="977" w:type="dxa"/>
            <w:shd w:val="clear" w:color="auto" w:fill="auto"/>
            <w:tcMar>
              <w:left w:w="57" w:type="dxa"/>
              <w:right w:w="28" w:type="dxa"/>
            </w:tcMar>
            <w:vAlign w:val="center"/>
            <w:hideMark/>
          </w:tcPr>
          <w:p w14:paraId="73F49268"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3a</w:t>
            </w:r>
          </w:p>
        </w:tc>
        <w:tc>
          <w:tcPr>
            <w:tcW w:w="1717" w:type="dxa"/>
            <w:shd w:val="clear" w:color="auto" w:fill="auto"/>
            <w:noWrap/>
            <w:tcMar>
              <w:left w:w="57" w:type="dxa"/>
              <w:right w:w="28" w:type="dxa"/>
            </w:tcMar>
            <w:vAlign w:val="center"/>
            <w:hideMark/>
          </w:tcPr>
          <w:p w14:paraId="08A1A05D"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All measures</w:t>
            </w:r>
          </w:p>
        </w:tc>
        <w:tc>
          <w:tcPr>
            <w:tcW w:w="2404" w:type="dxa"/>
            <w:shd w:val="clear" w:color="auto" w:fill="auto"/>
            <w:tcMar>
              <w:left w:w="57" w:type="dxa"/>
              <w:right w:w="28" w:type="dxa"/>
            </w:tcMar>
            <w:vAlign w:val="center"/>
            <w:hideMark/>
          </w:tcPr>
          <w:p w14:paraId="3B91B793"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efficiency</w:t>
            </w:r>
          </w:p>
        </w:tc>
        <w:tc>
          <w:tcPr>
            <w:tcW w:w="3969" w:type="dxa"/>
            <w:shd w:val="clear" w:color="auto" w:fill="auto"/>
            <w:tcMar>
              <w:left w:w="57" w:type="dxa"/>
              <w:right w:w="28" w:type="dxa"/>
            </w:tcMar>
            <w:vAlign w:val="center"/>
            <w:hideMark/>
          </w:tcPr>
          <w:p w14:paraId="603C472F" w14:textId="5B6CE4F1" w:rsidR="00CF3EC7" w:rsidRPr="001E05F5" w:rsidRDefault="00DE34D1" w:rsidP="002608D7">
            <w:pPr>
              <w:spacing w:after="0" w:line="240" w:lineRule="auto"/>
              <w:rPr>
                <w:rFonts w:cs="Arial"/>
                <w:color w:val="000000"/>
                <w:sz w:val="18"/>
                <w:szCs w:val="18"/>
                <w:lang w:eastAsia="en-GB"/>
              </w:rPr>
            </w:pPr>
            <w:r>
              <w:rPr>
                <w:rFonts w:cs="Arial"/>
                <w:color w:val="000000"/>
                <w:sz w:val="18"/>
                <w:szCs w:val="18"/>
                <w:lang w:eastAsia="en-GB"/>
              </w:rPr>
              <w:t>C</w:t>
            </w:r>
            <w:r w:rsidR="00CF3EC7" w:rsidRPr="001E05F5">
              <w:rPr>
                <w:rFonts w:cs="Arial"/>
                <w:color w:val="000000"/>
                <w:sz w:val="18"/>
                <w:szCs w:val="18"/>
                <w:lang w:eastAsia="en-GB"/>
              </w:rPr>
              <w:t>ontract extension (beyond 2025) for existing EfW contract</w:t>
            </w:r>
          </w:p>
        </w:tc>
      </w:tr>
      <w:tr w:rsidR="002608D7" w:rsidRPr="001E05F5" w14:paraId="455FE8CA" w14:textId="77777777" w:rsidTr="002608D7">
        <w:trPr>
          <w:trHeight w:val="288"/>
        </w:trPr>
        <w:tc>
          <w:tcPr>
            <w:tcW w:w="977" w:type="dxa"/>
            <w:shd w:val="clear" w:color="auto" w:fill="auto"/>
            <w:tcMar>
              <w:left w:w="57" w:type="dxa"/>
              <w:right w:w="28" w:type="dxa"/>
            </w:tcMar>
            <w:vAlign w:val="center"/>
            <w:hideMark/>
          </w:tcPr>
          <w:p w14:paraId="724A8446"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3b</w:t>
            </w:r>
          </w:p>
        </w:tc>
        <w:tc>
          <w:tcPr>
            <w:tcW w:w="1717" w:type="dxa"/>
            <w:shd w:val="clear" w:color="auto" w:fill="auto"/>
            <w:noWrap/>
            <w:tcMar>
              <w:left w:w="57" w:type="dxa"/>
              <w:right w:w="28" w:type="dxa"/>
            </w:tcMar>
            <w:vAlign w:val="center"/>
            <w:hideMark/>
          </w:tcPr>
          <w:p w14:paraId="2FC16FD6"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All measures</w:t>
            </w:r>
          </w:p>
        </w:tc>
        <w:tc>
          <w:tcPr>
            <w:tcW w:w="2404" w:type="dxa"/>
            <w:shd w:val="clear" w:color="auto" w:fill="auto"/>
            <w:tcMar>
              <w:left w:w="57" w:type="dxa"/>
              <w:right w:w="28" w:type="dxa"/>
            </w:tcMar>
            <w:vAlign w:val="center"/>
            <w:hideMark/>
          </w:tcPr>
          <w:p w14:paraId="2AEC28B4"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High efficiency </w:t>
            </w:r>
          </w:p>
        </w:tc>
        <w:tc>
          <w:tcPr>
            <w:tcW w:w="3969" w:type="dxa"/>
            <w:shd w:val="clear" w:color="auto" w:fill="auto"/>
            <w:tcMar>
              <w:left w:w="57" w:type="dxa"/>
              <w:right w:w="28" w:type="dxa"/>
            </w:tcMar>
            <w:vAlign w:val="center"/>
            <w:hideMark/>
          </w:tcPr>
          <w:p w14:paraId="40E25190"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New build energy recovery facility</w:t>
            </w:r>
          </w:p>
        </w:tc>
      </w:tr>
      <w:tr w:rsidR="002608D7" w:rsidRPr="001E05F5" w14:paraId="50400D15" w14:textId="77777777" w:rsidTr="002608D7">
        <w:trPr>
          <w:trHeight w:val="288"/>
        </w:trPr>
        <w:tc>
          <w:tcPr>
            <w:tcW w:w="977" w:type="dxa"/>
            <w:shd w:val="clear" w:color="auto" w:fill="auto"/>
            <w:tcMar>
              <w:left w:w="57" w:type="dxa"/>
              <w:right w:w="28" w:type="dxa"/>
            </w:tcMar>
            <w:vAlign w:val="center"/>
            <w:hideMark/>
          </w:tcPr>
          <w:p w14:paraId="0B72614E"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3c</w:t>
            </w:r>
          </w:p>
        </w:tc>
        <w:tc>
          <w:tcPr>
            <w:tcW w:w="1717" w:type="dxa"/>
            <w:shd w:val="clear" w:color="auto" w:fill="auto"/>
            <w:noWrap/>
            <w:tcMar>
              <w:left w:w="57" w:type="dxa"/>
              <w:right w:w="28" w:type="dxa"/>
            </w:tcMar>
            <w:vAlign w:val="center"/>
            <w:hideMark/>
          </w:tcPr>
          <w:p w14:paraId="3E0BB199"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All measures</w:t>
            </w:r>
          </w:p>
        </w:tc>
        <w:tc>
          <w:tcPr>
            <w:tcW w:w="2404" w:type="dxa"/>
            <w:shd w:val="clear" w:color="auto" w:fill="auto"/>
            <w:tcMar>
              <w:left w:w="57" w:type="dxa"/>
              <w:right w:w="28" w:type="dxa"/>
            </w:tcMar>
            <w:vAlign w:val="center"/>
            <w:hideMark/>
          </w:tcPr>
          <w:p w14:paraId="61A90043"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High efficiency </w:t>
            </w:r>
          </w:p>
        </w:tc>
        <w:tc>
          <w:tcPr>
            <w:tcW w:w="3969" w:type="dxa"/>
            <w:shd w:val="clear" w:color="auto" w:fill="auto"/>
            <w:tcMar>
              <w:left w:w="57" w:type="dxa"/>
              <w:right w:w="28" w:type="dxa"/>
            </w:tcMar>
            <w:vAlign w:val="center"/>
            <w:hideMark/>
          </w:tcPr>
          <w:p w14:paraId="2B7C07B2"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New build </w:t>
            </w:r>
            <w:proofErr w:type="gramStart"/>
            <w:r w:rsidRPr="001E05F5">
              <w:rPr>
                <w:rFonts w:cs="Arial"/>
                <w:color w:val="000000"/>
                <w:sz w:val="18"/>
                <w:szCs w:val="18"/>
                <w:lang w:eastAsia="en-GB"/>
              </w:rPr>
              <w:t>refuse</w:t>
            </w:r>
            <w:proofErr w:type="gramEnd"/>
            <w:r w:rsidRPr="001E05F5">
              <w:rPr>
                <w:rFonts w:cs="Arial"/>
                <w:color w:val="000000"/>
                <w:sz w:val="18"/>
                <w:szCs w:val="18"/>
                <w:lang w:eastAsia="en-GB"/>
              </w:rPr>
              <w:t xml:space="preserve"> derived fuel facility (RDF)</w:t>
            </w:r>
          </w:p>
        </w:tc>
      </w:tr>
      <w:tr w:rsidR="002608D7" w:rsidRPr="001E05F5" w14:paraId="2CA379F4" w14:textId="77777777" w:rsidTr="002608D7">
        <w:trPr>
          <w:trHeight w:val="288"/>
        </w:trPr>
        <w:tc>
          <w:tcPr>
            <w:tcW w:w="977" w:type="dxa"/>
            <w:shd w:val="clear" w:color="auto" w:fill="auto"/>
            <w:tcMar>
              <w:left w:w="57" w:type="dxa"/>
              <w:right w:w="28" w:type="dxa"/>
            </w:tcMar>
            <w:vAlign w:val="center"/>
            <w:hideMark/>
          </w:tcPr>
          <w:p w14:paraId="4442BB2A"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3d</w:t>
            </w:r>
          </w:p>
        </w:tc>
        <w:tc>
          <w:tcPr>
            <w:tcW w:w="1717" w:type="dxa"/>
            <w:shd w:val="clear" w:color="auto" w:fill="auto"/>
            <w:noWrap/>
            <w:tcMar>
              <w:left w:w="57" w:type="dxa"/>
              <w:right w:w="28" w:type="dxa"/>
            </w:tcMar>
            <w:vAlign w:val="center"/>
            <w:hideMark/>
          </w:tcPr>
          <w:p w14:paraId="4F13209C"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All measures</w:t>
            </w:r>
          </w:p>
        </w:tc>
        <w:tc>
          <w:tcPr>
            <w:tcW w:w="2404" w:type="dxa"/>
            <w:shd w:val="clear" w:color="auto" w:fill="auto"/>
            <w:tcMar>
              <w:left w:w="57" w:type="dxa"/>
              <w:right w:w="28" w:type="dxa"/>
            </w:tcMar>
            <w:vAlign w:val="center"/>
            <w:hideMark/>
          </w:tcPr>
          <w:p w14:paraId="2BD6DF28"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High efficiency </w:t>
            </w:r>
          </w:p>
        </w:tc>
        <w:tc>
          <w:tcPr>
            <w:tcW w:w="3969" w:type="dxa"/>
            <w:shd w:val="clear" w:color="auto" w:fill="auto"/>
            <w:tcMar>
              <w:left w:w="57" w:type="dxa"/>
              <w:right w:w="28" w:type="dxa"/>
            </w:tcMar>
            <w:vAlign w:val="center"/>
            <w:hideMark/>
          </w:tcPr>
          <w:p w14:paraId="6D3BDD3E"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Utilise </w:t>
            </w:r>
            <w:r w:rsidR="002608D7" w:rsidRPr="001E05F5">
              <w:rPr>
                <w:rFonts w:cs="Arial"/>
                <w:color w:val="000000"/>
                <w:sz w:val="18"/>
                <w:szCs w:val="18"/>
                <w:lang w:eastAsia="en-GB"/>
              </w:rPr>
              <w:t>3</w:t>
            </w:r>
            <w:r w:rsidR="002608D7" w:rsidRPr="001E05F5">
              <w:rPr>
                <w:rFonts w:cs="Arial"/>
                <w:color w:val="000000"/>
                <w:sz w:val="18"/>
                <w:szCs w:val="18"/>
                <w:vertAlign w:val="superscript"/>
                <w:lang w:eastAsia="en-GB"/>
              </w:rPr>
              <w:t>rd</w:t>
            </w:r>
            <w:r w:rsidR="002608D7" w:rsidRPr="001E05F5">
              <w:rPr>
                <w:rFonts w:cs="Arial"/>
                <w:color w:val="000000"/>
                <w:sz w:val="18"/>
                <w:szCs w:val="18"/>
                <w:lang w:eastAsia="en-GB"/>
              </w:rPr>
              <w:t xml:space="preserve"> </w:t>
            </w:r>
            <w:r w:rsidRPr="001E05F5">
              <w:rPr>
                <w:rFonts w:cs="Arial"/>
                <w:color w:val="000000"/>
                <w:sz w:val="18"/>
                <w:szCs w:val="18"/>
                <w:lang w:eastAsia="en-GB"/>
              </w:rPr>
              <w:t>party energy recovery facility capacity</w:t>
            </w:r>
          </w:p>
        </w:tc>
      </w:tr>
      <w:tr w:rsidR="002608D7" w:rsidRPr="001E05F5" w14:paraId="30EB3FC1" w14:textId="77777777" w:rsidTr="002608D7">
        <w:trPr>
          <w:trHeight w:val="288"/>
        </w:trPr>
        <w:tc>
          <w:tcPr>
            <w:tcW w:w="977" w:type="dxa"/>
            <w:shd w:val="clear" w:color="auto" w:fill="auto"/>
            <w:tcMar>
              <w:left w:w="57" w:type="dxa"/>
              <w:right w:w="28" w:type="dxa"/>
            </w:tcMar>
            <w:vAlign w:val="center"/>
            <w:hideMark/>
          </w:tcPr>
          <w:p w14:paraId="168A44CF"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3e</w:t>
            </w:r>
          </w:p>
        </w:tc>
        <w:tc>
          <w:tcPr>
            <w:tcW w:w="1717" w:type="dxa"/>
            <w:shd w:val="clear" w:color="auto" w:fill="auto"/>
            <w:noWrap/>
            <w:tcMar>
              <w:left w:w="57" w:type="dxa"/>
              <w:right w:w="28" w:type="dxa"/>
            </w:tcMar>
            <w:vAlign w:val="center"/>
            <w:hideMark/>
          </w:tcPr>
          <w:p w14:paraId="517E7165"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All measures</w:t>
            </w:r>
          </w:p>
        </w:tc>
        <w:tc>
          <w:tcPr>
            <w:tcW w:w="2404" w:type="dxa"/>
            <w:shd w:val="clear" w:color="auto" w:fill="auto"/>
            <w:tcMar>
              <w:left w:w="57" w:type="dxa"/>
              <w:right w:w="28" w:type="dxa"/>
            </w:tcMar>
            <w:vAlign w:val="center"/>
            <w:hideMark/>
          </w:tcPr>
          <w:p w14:paraId="7AD1125E"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recycling performance</w:t>
            </w:r>
          </w:p>
        </w:tc>
        <w:tc>
          <w:tcPr>
            <w:tcW w:w="3969" w:type="dxa"/>
            <w:shd w:val="clear" w:color="auto" w:fill="auto"/>
            <w:tcMar>
              <w:left w:w="57" w:type="dxa"/>
              <w:right w:w="28" w:type="dxa"/>
            </w:tcMar>
            <w:vAlign w:val="center"/>
            <w:hideMark/>
          </w:tcPr>
          <w:p w14:paraId="41BAA8D1" w14:textId="7B97DC18" w:rsidR="00CF3EC7" w:rsidRPr="001E05F5" w:rsidRDefault="00DE34D1" w:rsidP="002608D7">
            <w:pPr>
              <w:spacing w:after="0" w:line="240" w:lineRule="auto"/>
              <w:rPr>
                <w:rFonts w:cs="Arial"/>
                <w:color w:val="000000"/>
                <w:sz w:val="18"/>
                <w:szCs w:val="18"/>
                <w:lang w:eastAsia="en-GB"/>
              </w:rPr>
            </w:pPr>
            <w:r>
              <w:rPr>
                <w:rFonts w:cs="Arial"/>
                <w:color w:val="000000"/>
                <w:sz w:val="18"/>
                <w:szCs w:val="18"/>
                <w:lang w:eastAsia="en-GB"/>
              </w:rPr>
              <w:t>C</w:t>
            </w:r>
            <w:r w:rsidR="00CF3EC7" w:rsidRPr="001E05F5">
              <w:rPr>
                <w:rFonts w:cs="Arial"/>
                <w:color w:val="000000"/>
                <w:sz w:val="18"/>
                <w:szCs w:val="18"/>
                <w:lang w:eastAsia="en-GB"/>
              </w:rPr>
              <w:t>ontract extension (beyond 2025) for existing EfW contract</w:t>
            </w:r>
          </w:p>
        </w:tc>
      </w:tr>
      <w:tr w:rsidR="002608D7" w:rsidRPr="001E05F5" w14:paraId="1440A291" w14:textId="77777777" w:rsidTr="002608D7">
        <w:trPr>
          <w:trHeight w:val="288"/>
        </w:trPr>
        <w:tc>
          <w:tcPr>
            <w:tcW w:w="977" w:type="dxa"/>
            <w:shd w:val="clear" w:color="auto" w:fill="auto"/>
            <w:tcMar>
              <w:left w:w="57" w:type="dxa"/>
              <w:right w:w="28" w:type="dxa"/>
            </w:tcMar>
            <w:vAlign w:val="center"/>
            <w:hideMark/>
          </w:tcPr>
          <w:p w14:paraId="4BF9A32F"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3f</w:t>
            </w:r>
          </w:p>
        </w:tc>
        <w:tc>
          <w:tcPr>
            <w:tcW w:w="1717" w:type="dxa"/>
            <w:shd w:val="clear" w:color="auto" w:fill="auto"/>
            <w:noWrap/>
            <w:tcMar>
              <w:left w:w="57" w:type="dxa"/>
              <w:right w:w="28" w:type="dxa"/>
            </w:tcMar>
            <w:vAlign w:val="center"/>
            <w:hideMark/>
          </w:tcPr>
          <w:p w14:paraId="42F61445"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All measures</w:t>
            </w:r>
          </w:p>
        </w:tc>
        <w:tc>
          <w:tcPr>
            <w:tcW w:w="2404" w:type="dxa"/>
            <w:shd w:val="clear" w:color="auto" w:fill="auto"/>
            <w:tcMar>
              <w:left w:w="57" w:type="dxa"/>
              <w:right w:w="28" w:type="dxa"/>
            </w:tcMar>
            <w:vAlign w:val="center"/>
            <w:hideMark/>
          </w:tcPr>
          <w:p w14:paraId="75747EDE"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recycling performance</w:t>
            </w:r>
          </w:p>
        </w:tc>
        <w:tc>
          <w:tcPr>
            <w:tcW w:w="3969" w:type="dxa"/>
            <w:shd w:val="clear" w:color="auto" w:fill="auto"/>
            <w:tcMar>
              <w:left w:w="57" w:type="dxa"/>
              <w:right w:w="28" w:type="dxa"/>
            </w:tcMar>
            <w:vAlign w:val="center"/>
            <w:hideMark/>
          </w:tcPr>
          <w:p w14:paraId="113408C2"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New build energy recovery facility</w:t>
            </w:r>
          </w:p>
        </w:tc>
      </w:tr>
      <w:tr w:rsidR="002608D7" w:rsidRPr="001E05F5" w14:paraId="501C761E" w14:textId="77777777" w:rsidTr="002608D7">
        <w:trPr>
          <w:trHeight w:val="288"/>
        </w:trPr>
        <w:tc>
          <w:tcPr>
            <w:tcW w:w="977" w:type="dxa"/>
            <w:shd w:val="clear" w:color="auto" w:fill="auto"/>
            <w:tcMar>
              <w:left w:w="57" w:type="dxa"/>
              <w:right w:w="28" w:type="dxa"/>
            </w:tcMar>
            <w:vAlign w:val="center"/>
            <w:hideMark/>
          </w:tcPr>
          <w:p w14:paraId="0EA94EF9"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3g</w:t>
            </w:r>
          </w:p>
        </w:tc>
        <w:tc>
          <w:tcPr>
            <w:tcW w:w="1717" w:type="dxa"/>
            <w:shd w:val="clear" w:color="auto" w:fill="auto"/>
            <w:noWrap/>
            <w:tcMar>
              <w:left w:w="57" w:type="dxa"/>
              <w:right w:w="28" w:type="dxa"/>
            </w:tcMar>
            <w:vAlign w:val="center"/>
            <w:hideMark/>
          </w:tcPr>
          <w:p w14:paraId="10476613"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All measures</w:t>
            </w:r>
          </w:p>
        </w:tc>
        <w:tc>
          <w:tcPr>
            <w:tcW w:w="2404" w:type="dxa"/>
            <w:shd w:val="clear" w:color="auto" w:fill="auto"/>
            <w:tcMar>
              <w:left w:w="57" w:type="dxa"/>
              <w:right w:w="28" w:type="dxa"/>
            </w:tcMar>
            <w:vAlign w:val="center"/>
            <w:hideMark/>
          </w:tcPr>
          <w:p w14:paraId="1E23A28C"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recycling performance</w:t>
            </w:r>
          </w:p>
        </w:tc>
        <w:tc>
          <w:tcPr>
            <w:tcW w:w="3969" w:type="dxa"/>
            <w:shd w:val="clear" w:color="auto" w:fill="auto"/>
            <w:tcMar>
              <w:left w:w="57" w:type="dxa"/>
              <w:right w:w="28" w:type="dxa"/>
            </w:tcMar>
            <w:vAlign w:val="center"/>
            <w:hideMark/>
          </w:tcPr>
          <w:p w14:paraId="581F9ED0"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New build </w:t>
            </w:r>
            <w:proofErr w:type="gramStart"/>
            <w:r w:rsidRPr="001E05F5">
              <w:rPr>
                <w:rFonts w:cs="Arial"/>
                <w:color w:val="000000"/>
                <w:sz w:val="18"/>
                <w:szCs w:val="18"/>
                <w:lang w:eastAsia="en-GB"/>
              </w:rPr>
              <w:t>refuse</w:t>
            </w:r>
            <w:proofErr w:type="gramEnd"/>
            <w:r w:rsidRPr="001E05F5">
              <w:rPr>
                <w:rFonts w:cs="Arial"/>
                <w:color w:val="000000"/>
                <w:sz w:val="18"/>
                <w:szCs w:val="18"/>
                <w:lang w:eastAsia="en-GB"/>
              </w:rPr>
              <w:t xml:space="preserve"> derived fuel facility (RDF)</w:t>
            </w:r>
          </w:p>
        </w:tc>
      </w:tr>
      <w:tr w:rsidR="002608D7" w:rsidRPr="001E05F5" w14:paraId="7EAF46D9" w14:textId="77777777" w:rsidTr="002608D7">
        <w:trPr>
          <w:trHeight w:val="288"/>
        </w:trPr>
        <w:tc>
          <w:tcPr>
            <w:tcW w:w="977" w:type="dxa"/>
            <w:shd w:val="clear" w:color="auto" w:fill="auto"/>
            <w:tcMar>
              <w:left w:w="57" w:type="dxa"/>
              <w:right w:w="28" w:type="dxa"/>
            </w:tcMar>
            <w:vAlign w:val="center"/>
            <w:hideMark/>
          </w:tcPr>
          <w:p w14:paraId="6EEC2D98" w14:textId="77777777" w:rsidR="00CF3EC7" w:rsidRPr="001E05F5" w:rsidRDefault="00CF3EC7" w:rsidP="002608D7">
            <w:pPr>
              <w:spacing w:after="0" w:line="240" w:lineRule="auto"/>
              <w:jc w:val="center"/>
              <w:rPr>
                <w:rFonts w:cs="Arial"/>
                <w:color w:val="000000"/>
                <w:sz w:val="18"/>
                <w:szCs w:val="18"/>
                <w:lang w:eastAsia="en-GB"/>
              </w:rPr>
            </w:pPr>
            <w:r w:rsidRPr="001E05F5">
              <w:rPr>
                <w:rFonts w:cs="Arial"/>
                <w:color w:val="000000"/>
                <w:sz w:val="18"/>
                <w:szCs w:val="18"/>
                <w:lang w:eastAsia="en-GB"/>
              </w:rPr>
              <w:t>3h</w:t>
            </w:r>
          </w:p>
        </w:tc>
        <w:tc>
          <w:tcPr>
            <w:tcW w:w="1717" w:type="dxa"/>
            <w:shd w:val="clear" w:color="auto" w:fill="auto"/>
            <w:noWrap/>
            <w:tcMar>
              <w:left w:w="57" w:type="dxa"/>
              <w:right w:w="28" w:type="dxa"/>
            </w:tcMar>
            <w:vAlign w:val="center"/>
            <w:hideMark/>
          </w:tcPr>
          <w:p w14:paraId="759E121B"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All measures</w:t>
            </w:r>
          </w:p>
        </w:tc>
        <w:tc>
          <w:tcPr>
            <w:tcW w:w="2404" w:type="dxa"/>
            <w:shd w:val="clear" w:color="auto" w:fill="auto"/>
            <w:tcMar>
              <w:left w:w="57" w:type="dxa"/>
              <w:right w:w="28" w:type="dxa"/>
            </w:tcMar>
            <w:vAlign w:val="center"/>
            <w:hideMark/>
          </w:tcPr>
          <w:p w14:paraId="4C29999B"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High recycling performance</w:t>
            </w:r>
          </w:p>
        </w:tc>
        <w:tc>
          <w:tcPr>
            <w:tcW w:w="3969" w:type="dxa"/>
            <w:shd w:val="clear" w:color="auto" w:fill="auto"/>
            <w:tcMar>
              <w:left w:w="57" w:type="dxa"/>
              <w:right w:w="28" w:type="dxa"/>
            </w:tcMar>
            <w:vAlign w:val="center"/>
            <w:hideMark/>
          </w:tcPr>
          <w:p w14:paraId="72F6BCA0" w14:textId="77777777" w:rsidR="00CF3EC7" w:rsidRPr="001E05F5" w:rsidRDefault="00CF3EC7" w:rsidP="002608D7">
            <w:pPr>
              <w:spacing w:after="0" w:line="240" w:lineRule="auto"/>
              <w:rPr>
                <w:rFonts w:cs="Arial"/>
                <w:color w:val="000000"/>
                <w:sz w:val="18"/>
                <w:szCs w:val="18"/>
                <w:lang w:eastAsia="en-GB"/>
              </w:rPr>
            </w:pPr>
            <w:r w:rsidRPr="001E05F5">
              <w:rPr>
                <w:rFonts w:cs="Arial"/>
                <w:color w:val="000000"/>
                <w:sz w:val="18"/>
                <w:szCs w:val="18"/>
                <w:lang w:eastAsia="en-GB"/>
              </w:rPr>
              <w:t xml:space="preserve">Utilise </w:t>
            </w:r>
            <w:r w:rsidR="002608D7" w:rsidRPr="001E05F5">
              <w:rPr>
                <w:rFonts w:cs="Arial"/>
                <w:color w:val="000000"/>
                <w:sz w:val="18"/>
                <w:szCs w:val="18"/>
                <w:lang w:eastAsia="en-GB"/>
              </w:rPr>
              <w:t>3</w:t>
            </w:r>
            <w:r w:rsidR="002608D7" w:rsidRPr="001E05F5">
              <w:rPr>
                <w:rFonts w:cs="Arial"/>
                <w:color w:val="000000"/>
                <w:sz w:val="18"/>
                <w:szCs w:val="18"/>
                <w:vertAlign w:val="superscript"/>
                <w:lang w:eastAsia="en-GB"/>
              </w:rPr>
              <w:t>rd</w:t>
            </w:r>
            <w:r w:rsidR="002608D7" w:rsidRPr="001E05F5">
              <w:rPr>
                <w:rFonts w:cs="Arial"/>
                <w:color w:val="000000"/>
                <w:sz w:val="18"/>
                <w:szCs w:val="18"/>
                <w:lang w:eastAsia="en-GB"/>
              </w:rPr>
              <w:t xml:space="preserve"> </w:t>
            </w:r>
            <w:r w:rsidRPr="001E05F5">
              <w:rPr>
                <w:rFonts w:cs="Arial"/>
                <w:color w:val="000000"/>
                <w:sz w:val="18"/>
                <w:szCs w:val="18"/>
                <w:lang w:eastAsia="en-GB"/>
              </w:rPr>
              <w:t>party energy recovery facility capacity</w:t>
            </w:r>
          </w:p>
        </w:tc>
      </w:tr>
    </w:tbl>
    <w:p w14:paraId="253DF56F" w14:textId="77777777" w:rsidR="00977E4F" w:rsidRPr="001E05F5" w:rsidRDefault="00977E4F" w:rsidP="00977E4F">
      <w:pPr>
        <w:sectPr w:rsidR="00977E4F" w:rsidRPr="001E05F5" w:rsidSect="00E902AA">
          <w:footerReference w:type="default" r:id="rId9"/>
          <w:pgSz w:w="11906" w:h="16838"/>
          <w:pgMar w:top="1440" w:right="1418" w:bottom="1440" w:left="1440" w:header="709" w:footer="709" w:gutter="0"/>
          <w:pgNumType w:start="1"/>
          <w:cols w:space="708"/>
          <w:docGrid w:linePitch="360"/>
        </w:sectPr>
      </w:pPr>
    </w:p>
    <w:p w14:paraId="54FD6DE0" w14:textId="77777777" w:rsidR="00FE0151" w:rsidRPr="001E05F5" w:rsidRDefault="00CF3EC7" w:rsidP="00977E4F">
      <w:pPr>
        <w:rPr>
          <w:b/>
        </w:rPr>
      </w:pPr>
      <w:r w:rsidRPr="001E05F5">
        <w:rPr>
          <w:b/>
        </w:rPr>
        <w:lastRenderedPageBreak/>
        <w:t xml:space="preserve">Figure </w:t>
      </w:r>
      <w:r w:rsidR="00977E4F" w:rsidRPr="001E05F5">
        <w:rPr>
          <w:b/>
        </w:rPr>
        <w:t>4.1: Assessment Scenarios</w:t>
      </w:r>
    </w:p>
    <w:tbl>
      <w:tblPr>
        <w:tblStyle w:val="TableGrid"/>
        <w:tblW w:w="0" w:type="auto"/>
        <w:tblLayout w:type="fixed"/>
        <w:tblLook w:val="04A0" w:firstRow="1" w:lastRow="0" w:firstColumn="1" w:lastColumn="0" w:noHBand="0" w:noVBand="1"/>
      </w:tblPr>
      <w:tblGrid>
        <w:gridCol w:w="2321"/>
        <w:gridCol w:w="3599"/>
        <w:gridCol w:w="1276"/>
        <w:gridCol w:w="2090"/>
        <w:gridCol w:w="1454"/>
        <w:gridCol w:w="3402"/>
      </w:tblGrid>
      <w:tr w:rsidR="00CF3EC7" w:rsidRPr="001E05F5" w14:paraId="0ADD9B8B" w14:textId="77777777" w:rsidTr="009E5BB6">
        <w:tc>
          <w:tcPr>
            <w:tcW w:w="2321" w:type="dxa"/>
            <w:shd w:val="clear" w:color="auto" w:fill="D9D9D9" w:themeFill="background1" w:themeFillShade="D9"/>
          </w:tcPr>
          <w:p w14:paraId="196D2051" w14:textId="77777777" w:rsidR="00CF3EC7" w:rsidRPr="001E05F5" w:rsidRDefault="00CF3EC7" w:rsidP="009E5BB6">
            <w:pPr>
              <w:pStyle w:val="Default"/>
              <w:spacing w:before="60" w:after="60"/>
              <w:rPr>
                <w:b/>
                <w:sz w:val="22"/>
                <w:szCs w:val="23"/>
              </w:rPr>
            </w:pPr>
            <w:r w:rsidRPr="001E05F5">
              <w:rPr>
                <w:b/>
                <w:sz w:val="22"/>
                <w:szCs w:val="23"/>
              </w:rPr>
              <w:t>Scenario</w:t>
            </w:r>
          </w:p>
        </w:tc>
        <w:tc>
          <w:tcPr>
            <w:tcW w:w="3599" w:type="dxa"/>
            <w:shd w:val="clear" w:color="auto" w:fill="D6E3BC" w:themeFill="accent3" w:themeFillTint="66"/>
          </w:tcPr>
          <w:p w14:paraId="0A7D7329" w14:textId="77777777" w:rsidR="00CF3EC7" w:rsidRPr="001E05F5" w:rsidRDefault="00CF3EC7" w:rsidP="009E5BB6">
            <w:pPr>
              <w:pStyle w:val="Default"/>
              <w:spacing w:before="60" w:after="60"/>
              <w:rPr>
                <w:b/>
                <w:sz w:val="22"/>
                <w:szCs w:val="23"/>
              </w:rPr>
            </w:pPr>
            <w:r w:rsidRPr="001E05F5">
              <w:rPr>
                <w:b/>
                <w:sz w:val="22"/>
                <w:szCs w:val="23"/>
              </w:rPr>
              <w:t>Prevention, reuse and recycling</w:t>
            </w:r>
          </w:p>
        </w:tc>
        <w:tc>
          <w:tcPr>
            <w:tcW w:w="1276" w:type="dxa"/>
            <w:tcBorders>
              <w:top w:val="nil"/>
              <w:bottom w:val="nil"/>
            </w:tcBorders>
            <w:tcMar>
              <w:left w:w="28" w:type="dxa"/>
              <w:right w:w="28" w:type="dxa"/>
            </w:tcMar>
          </w:tcPr>
          <w:p w14:paraId="09B7940F" w14:textId="77777777" w:rsidR="00CF3EC7" w:rsidRPr="001E05F5" w:rsidRDefault="00CF3EC7" w:rsidP="009E5BB6">
            <w:pPr>
              <w:pStyle w:val="Default"/>
              <w:spacing w:before="60" w:after="60"/>
              <w:rPr>
                <w:b/>
                <w:sz w:val="22"/>
                <w:szCs w:val="23"/>
              </w:rPr>
            </w:pPr>
          </w:p>
        </w:tc>
        <w:tc>
          <w:tcPr>
            <w:tcW w:w="2090" w:type="dxa"/>
            <w:shd w:val="clear" w:color="auto" w:fill="FBD4B4" w:themeFill="accent6" w:themeFillTint="66"/>
          </w:tcPr>
          <w:p w14:paraId="62B7C4B6" w14:textId="77777777" w:rsidR="00CF3EC7" w:rsidRPr="001E05F5" w:rsidRDefault="00CF3EC7" w:rsidP="009E5BB6">
            <w:pPr>
              <w:pStyle w:val="Default"/>
              <w:spacing w:before="60" w:after="60"/>
              <w:rPr>
                <w:b/>
                <w:sz w:val="22"/>
                <w:szCs w:val="23"/>
              </w:rPr>
            </w:pPr>
            <w:r w:rsidRPr="001E05F5">
              <w:rPr>
                <w:b/>
                <w:sz w:val="22"/>
                <w:szCs w:val="23"/>
              </w:rPr>
              <w:t xml:space="preserve">Collection </w:t>
            </w:r>
          </w:p>
        </w:tc>
        <w:tc>
          <w:tcPr>
            <w:tcW w:w="1454" w:type="dxa"/>
            <w:tcBorders>
              <w:top w:val="nil"/>
              <w:bottom w:val="nil"/>
            </w:tcBorders>
          </w:tcPr>
          <w:p w14:paraId="3F025BF9" w14:textId="77777777" w:rsidR="00CF3EC7" w:rsidRPr="001E05F5" w:rsidRDefault="00CF3EC7" w:rsidP="009E5BB6">
            <w:pPr>
              <w:pStyle w:val="Default"/>
              <w:spacing w:before="60" w:after="60"/>
              <w:rPr>
                <w:b/>
                <w:sz w:val="22"/>
                <w:szCs w:val="23"/>
              </w:rPr>
            </w:pPr>
          </w:p>
        </w:tc>
        <w:tc>
          <w:tcPr>
            <w:tcW w:w="3402" w:type="dxa"/>
            <w:shd w:val="clear" w:color="auto" w:fill="B8CCE4" w:themeFill="accent1" w:themeFillTint="66"/>
          </w:tcPr>
          <w:p w14:paraId="588F41D6" w14:textId="77777777" w:rsidR="00CF3EC7" w:rsidRPr="001E05F5" w:rsidRDefault="00CF3EC7" w:rsidP="009E5BB6">
            <w:pPr>
              <w:pStyle w:val="Default"/>
              <w:spacing w:before="60" w:after="60"/>
              <w:rPr>
                <w:b/>
                <w:sz w:val="22"/>
                <w:szCs w:val="23"/>
              </w:rPr>
            </w:pPr>
            <w:r w:rsidRPr="001E05F5">
              <w:rPr>
                <w:b/>
                <w:sz w:val="22"/>
                <w:szCs w:val="23"/>
              </w:rPr>
              <w:t>Residual Treatment</w:t>
            </w:r>
          </w:p>
        </w:tc>
      </w:tr>
      <w:tr w:rsidR="00CF3EC7" w:rsidRPr="001E05F5" w14:paraId="5B0EDBB2" w14:textId="77777777" w:rsidTr="009E5BB6">
        <w:trPr>
          <w:trHeight w:val="621"/>
        </w:trPr>
        <w:tc>
          <w:tcPr>
            <w:tcW w:w="2321" w:type="dxa"/>
            <w:vMerge w:val="restart"/>
            <w:shd w:val="clear" w:color="auto" w:fill="D9D9D9" w:themeFill="background1" w:themeFillShade="D9"/>
            <w:vAlign w:val="center"/>
          </w:tcPr>
          <w:p w14:paraId="72A4CD14" w14:textId="77777777" w:rsidR="00CF3EC7" w:rsidRPr="001E05F5" w:rsidRDefault="00CF3EC7" w:rsidP="009E5BB6">
            <w:pPr>
              <w:pStyle w:val="Default"/>
              <w:spacing w:before="60" w:after="60"/>
              <w:rPr>
                <w:sz w:val="20"/>
                <w:szCs w:val="20"/>
              </w:rPr>
            </w:pPr>
            <w:r w:rsidRPr="001E05F5">
              <w:rPr>
                <w:sz w:val="20"/>
                <w:szCs w:val="20"/>
              </w:rPr>
              <w:t>1 Residual waste solutions</w:t>
            </w:r>
          </w:p>
        </w:tc>
        <w:tc>
          <w:tcPr>
            <w:tcW w:w="3599" w:type="dxa"/>
            <w:vMerge w:val="restart"/>
            <w:shd w:val="clear" w:color="auto" w:fill="D6E3BC" w:themeFill="accent3" w:themeFillTint="66"/>
            <w:vAlign w:val="center"/>
          </w:tcPr>
          <w:p w14:paraId="375C7133" w14:textId="77777777" w:rsidR="00CF3EC7" w:rsidRPr="001E05F5" w:rsidRDefault="00CF3EC7" w:rsidP="009E5BB6">
            <w:pPr>
              <w:pStyle w:val="Default"/>
              <w:spacing w:before="60" w:after="60"/>
              <w:rPr>
                <w:sz w:val="20"/>
                <w:szCs w:val="20"/>
              </w:rPr>
            </w:pPr>
            <w:r w:rsidRPr="001E05F5">
              <w:rPr>
                <w:sz w:val="20"/>
                <w:szCs w:val="20"/>
              </w:rPr>
              <w:t xml:space="preserve">Do nothing </w:t>
            </w:r>
          </w:p>
        </w:tc>
        <w:tc>
          <w:tcPr>
            <w:tcW w:w="1276" w:type="dxa"/>
            <w:vMerge w:val="restart"/>
            <w:tcBorders>
              <w:top w:val="nil"/>
              <w:bottom w:val="nil"/>
            </w:tcBorders>
            <w:tcMar>
              <w:left w:w="28" w:type="dxa"/>
              <w:right w:w="28" w:type="dxa"/>
            </w:tcMar>
            <w:vAlign w:val="center"/>
          </w:tcPr>
          <w:p w14:paraId="706F91F5" w14:textId="77777777" w:rsidR="00CF3EC7" w:rsidRPr="001E05F5" w:rsidRDefault="00CF3EC7" w:rsidP="009E5BB6">
            <w:pPr>
              <w:pStyle w:val="Default"/>
              <w:spacing w:before="60" w:after="60"/>
              <w:jc w:val="center"/>
              <w:rPr>
                <w:sz w:val="20"/>
                <w:szCs w:val="20"/>
              </w:rPr>
            </w:pPr>
            <w:r w:rsidRPr="001E05F5">
              <w:rPr>
                <w:noProof/>
                <w:sz w:val="20"/>
                <w:szCs w:val="20"/>
              </w:rPr>
              <w:drawing>
                <wp:inline distT="0" distB="0" distL="0" distR="0" wp14:anchorId="127EF923" wp14:editId="2C287DE5">
                  <wp:extent cx="809625" cy="26670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13317" r="17777" b="12105"/>
                          <a:stretch>
                            <a:fillRect/>
                          </a:stretch>
                        </pic:blipFill>
                        <pic:spPr bwMode="auto">
                          <a:xfrm>
                            <a:off x="0" y="0"/>
                            <a:ext cx="809625" cy="266700"/>
                          </a:xfrm>
                          <a:prstGeom prst="rect">
                            <a:avLst/>
                          </a:prstGeom>
                          <a:noFill/>
                        </pic:spPr>
                      </pic:pic>
                    </a:graphicData>
                  </a:graphic>
                </wp:inline>
              </w:drawing>
            </w:r>
          </w:p>
        </w:tc>
        <w:tc>
          <w:tcPr>
            <w:tcW w:w="2090" w:type="dxa"/>
            <w:vMerge w:val="restart"/>
            <w:shd w:val="clear" w:color="auto" w:fill="FBD4B4" w:themeFill="accent6" w:themeFillTint="66"/>
            <w:vAlign w:val="center"/>
          </w:tcPr>
          <w:p w14:paraId="033F5B72" w14:textId="77777777" w:rsidR="00CF3EC7" w:rsidRPr="001E05F5" w:rsidRDefault="00CF3EC7" w:rsidP="009E5BB6">
            <w:pPr>
              <w:pStyle w:val="Default"/>
              <w:spacing w:before="60" w:after="60"/>
              <w:rPr>
                <w:sz w:val="20"/>
                <w:szCs w:val="20"/>
              </w:rPr>
            </w:pPr>
            <w:r w:rsidRPr="001E05F5">
              <w:rPr>
                <w:sz w:val="20"/>
                <w:szCs w:val="20"/>
              </w:rPr>
              <w:t>Do nothing</w:t>
            </w:r>
          </w:p>
        </w:tc>
        <w:tc>
          <w:tcPr>
            <w:tcW w:w="1454" w:type="dxa"/>
            <w:vMerge w:val="restart"/>
            <w:tcBorders>
              <w:top w:val="nil"/>
              <w:bottom w:val="nil"/>
            </w:tcBorders>
          </w:tcPr>
          <w:p w14:paraId="30A3C635" w14:textId="77777777" w:rsidR="00CF3EC7" w:rsidRPr="001E05F5" w:rsidRDefault="00CF3EC7" w:rsidP="009E5BB6">
            <w:pPr>
              <w:pStyle w:val="Default"/>
              <w:spacing w:before="60" w:after="60"/>
              <w:rPr>
                <w:rFonts w:eastAsia="Calibri"/>
                <w:sz w:val="20"/>
                <w:szCs w:val="20"/>
              </w:rPr>
            </w:pPr>
            <w:r w:rsidRPr="001E05F5">
              <w:rPr>
                <w:rFonts w:eastAsia="Calibri"/>
                <w:noProof/>
                <w:sz w:val="20"/>
                <w:szCs w:val="20"/>
              </w:rPr>
              <w:drawing>
                <wp:inline distT="0" distB="0" distL="0" distR="0" wp14:anchorId="28728D4A" wp14:editId="4DA31438">
                  <wp:extent cx="790575" cy="150495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4598" r="18627" b="4598"/>
                          <a:stretch>
                            <a:fillRect/>
                          </a:stretch>
                        </pic:blipFill>
                        <pic:spPr bwMode="auto">
                          <a:xfrm>
                            <a:off x="0" y="0"/>
                            <a:ext cx="790575" cy="1504950"/>
                          </a:xfrm>
                          <a:prstGeom prst="rect">
                            <a:avLst/>
                          </a:prstGeom>
                          <a:noFill/>
                        </pic:spPr>
                      </pic:pic>
                    </a:graphicData>
                  </a:graphic>
                </wp:inline>
              </w:drawing>
            </w:r>
          </w:p>
        </w:tc>
        <w:tc>
          <w:tcPr>
            <w:tcW w:w="3402" w:type="dxa"/>
            <w:shd w:val="clear" w:color="auto" w:fill="B8CCE4" w:themeFill="accent1" w:themeFillTint="66"/>
            <w:vAlign w:val="center"/>
          </w:tcPr>
          <w:p w14:paraId="15F7B607" w14:textId="341E5015" w:rsidR="00CF3EC7" w:rsidRPr="001E05F5" w:rsidRDefault="00F716BC" w:rsidP="009E5BB6">
            <w:pPr>
              <w:pStyle w:val="Default"/>
              <w:spacing w:before="40" w:after="40"/>
              <w:rPr>
                <w:sz w:val="20"/>
                <w:szCs w:val="20"/>
              </w:rPr>
            </w:pPr>
            <w:r w:rsidRPr="001E05F5">
              <w:rPr>
                <w:rFonts w:eastAsia="Calibri"/>
                <w:sz w:val="20"/>
                <w:szCs w:val="20"/>
              </w:rPr>
              <w:t>C</w:t>
            </w:r>
            <w:r w:rsidR="00CF3EC7" w:rsidRPr="001E05F5">
              <w:rPr>
                <w:rFonts w:eastAsia="Calibri"/>
                <w:sz w:val="20"/>
                <w:szCs w:val="20"/>
              </w:rPr>
              <w:t>ontract extension (beyond 2025) for existing EfW contract</w:t>
            </w:r>
          </w:p>
        </w:tc>
      </w:tr>
      <w:tr w:rsidR="00CF3EC7" w:rsidRPr="001E05F5" w14:paraId="2145FE5A" w14:textId="77777777" w:rsidTr="009E5BB6">
        <w:trPr>
          <w:trHeight w:val="621"/>
        </w:trPr>
        <w:tc>
          <w:tcPr>
            <w:tcW w:w="2321" w:type="dxa"/>
            <w:vMerge/>
            <w:shd w:val="clear" w:color="auto" w:fill="D9D9D9" w:themeFill="background1" w:themeFillShade="D9"/>
            <w:vAlign w:val="center"/>
          </w:tcPr>
          <w:p w14:paraId="640F1B7F" w14:textId="77777777" w:rsidR="00CF3EC7" w:rsidRPr="001E05F5" w:rsidRDefault="00CF3EC7" w:rsidP="009E5BB6">
            <w:pPr>
              <w:pStyle w:val="Default"/>
              <w:spacing w:before="60" w:after="60"/>
              <w:rPr>
                <w:sz w:val="20"/>
                <w:szCs w:val="20"/>
              </w:rPr>
            </w:pPr>
          </w:p>
        </w:tc>
        <w:tc>
          <w:tcPr>
            <w:tcW w:w="3599" w:type="dxa"/>
            <w:vMerge/>
            <w:shd w:val="clear" w:color="auto" w:fill="D6E3BC" w:themeFill="accent3" w:themeFillTint="66"/>
            <w:vAlign w:val="center"/>
          </w:tcPr>
          <w:p w14:paraId="329EBD31" w14:textId="77777777" w:rsidR="00CF3EC7" w:rsidRPr="001E05F5" w:rsidRDefault="00CF3EC7" w:rsidP="009E5BB6">
            <w:pPr>
              <w:pStyle w:val="Default"/>
              <w:spacing w:before="60" w:after="60"/>
              <w:rPr>
                <w:sz w:val="20"/>
                <w:szCs w:val="20"/>
              </w:rPr>
            </w:pPr>
          </w:p>
        </w:tc>
        <w:tc>
          <w:tcPr>
            <w:tcW w:w="1276" w:type="dxa"/>
            <w:vMerge/>
            <w:tcBorders>
              <w:top w:val="nil"/>
              <w:bottom w:val="nil"/>
            </w:tcBorders>
            <w:tcMar>
              <w:left w:w="28" w:type="dxa"/>
              <w:right w:w="28" w:type="dxa"/>
            </w:tcMar>
          </w:tcPr>
          <w:p w14:paraId="0ECCC36A" w14:textId="77777777" w:rsidR="00CF3EC7" w:rsidRPr="001E05F5" w:rsidRDefault="00CF3EC7" w:rsidP="009E5BB6">
            <w:pPr>
              <w:pStyle w:val="Default"/>
              <w:spacing w:before="60" w:after="60"/>
              <w:rPr>
                <w:sz w:val="20"/>
                <w:szCs w:val="20"/>
              </w:rPr>
            </w:pPr>
          </w:p>
        </w:tc>
        <w:tc>
          <w:tcPr>
            <w:tcW w:w="2090" w:type="dxa"/>
            <w:vMerge/>
            <w:shd w:val="clear" w:color="auto" w:fill="FBD4B4" w:themeFill="accent6" w:themeFillTint="66"/>
            <w:vAlign w:val="center"/>
          </w:tcPr>
          <w:p w14:paraId="60717F57" w14:textId="77777777" w:rsidR="00CF3EC7" w:rsidRPr="001E05F5" w:rsidRDefault="00CF3EC7" w:rsidP="009E5BB6">
            <w:pPr>
              <w:pStyle w:val="Default"/>
              <w:spacing w:before="60" w:after="60"/>
              <w:rPr>
                <w:sz w:val="20"/>
                <w:szCs w:val="20"/>
              </w:rPr>
            </w:pPr>
          </w:p>
        </w:tc>
        <w:tc>
          <w:tcPr>
            <w:tcW w:w="1454" w:type="dxa"/>
            <w:vMerge/>
            <w:tcBorders>
              <w:top w:val="nil"/>
              <w:bottom w:val="nil"/>
            </w:tcBorders>
          </w:tcPr>
          <w:p w14:paraId="7D2F1188" w14:textId="77777777" w:rsidR="00CF3EC7" w:rsidRPr="001E05F5" w:rsidRDefault="00CF3EC7" w:rsidP="009E5BB6">
            <w:pPr>
              <w:pStyle w:val="Default"/>
              <w:spacing w:before="60" w:after="60"/>
              <w:rPr>
                <w:sz w:val="20"/>
                <w:szCs w:val="20"/>
              </w:rPr>
            </w:pPr>
          </w:p>
        </w:tc>
        <w:tc>
          <w:tcPr>
            <w:tcW w:w="3402" w:type="dxa"/>
            <w:shd w:val="clear" w:color="auto" w:fill="B8CCE4" w:themeFill="accent1" w:themeFillTint="66"/>
            <w:vAlign w:val="center"/>
          </w:tcPr>
          <w:p w14:paraId="11C081F3" w14:textId="77777777" w:rsidR="00CF3EC7" w:rsidRPr="001E05F5" w:rsidRDefault="00CF3EC7" w:rsidP="009E5BB6">
            <w:pPr>
              <w:pStyle w:val="Default"/>
              <w:spacing w:before="40" w:after="40"/>
              <w:rPr>
                <w:sz w:val="20"/>
                <w:szCs w:val="20"/>
              </w:rPr>
            </w:pPr>
            <w:r w:rsidRPr="001E05F5">
              <w:rPr>
                <w:sz w:val="20"/>
                <w:szCs w:val="20"/>
              </w:rPr>
              <w:t>New build energy recovery facility</w:t>
            </w:r>
          </w:p>
        </w:tc>
      </w:tr>
      <w:tr w:rsidR="00CF3EC7" w:rsidRPr="001E05F5" w14:paraId="77C62FF0" w14:textId="77777777" w:rsidTr="009E5BB6">
        <w:trPr>
          <w:trHeight w:val="621"/>
        </w:trPr>
        <w:tc>
          <w:tcPr>
            <w:tcW w:w="2321" w:type="dxa"/>
            <w:vMerge/>
            <w:shd w:val="clear" w:color="auto" w:fill="D9D9D9" w:themeFill="background1" w:themeFillShade="D9"/>
            <w:vAlign w:val="center"/>
          </w:tcPr>
          <w:p w14:paraId="153B8995" w14:textId="77777777" w:rsidR="00CF3EC7" w:rsidRPr="001E05F5" w:rsidRDefault="00CF3EC7" w:rsidP="009E5BB6">
            <w:pPr>
              <w:pStyle w:val="Default"/>
              <w:spacing w:before="60" w:after="60"/>
              <w:rPr>
                <w:sz w:val="20"/>
                <w:szCs w:val="20"/>
              </w:rPr>
            </w:pPr>
          </w:p>
        </w:tc>
        <w:tc>
          <w:tcPr>
            <w:tcW w:w="3599" w:type="dxa"/>
            <w:vMerge/>
            <w:shd w:val="clear" w:color="auto" w:fill="D6E3BC" w:themeFill="accent3" w:themeFillTint="66"/>
            <w:vAlign w:val="center"/>
          </w:tcPr>
          <w:p w14:paraId="2819C62A" w14:textId="77777777" w:rsidR="00CF3EC7" w:rsidRPr="001E05F5" w:rsidRDefault="00CF3EC7" w:rsidP="009E5BB6">
            <w:pPr>
              <w:pStyle w:val="Default"/>
              <w:spacing w:before="60" w:after="60"/>
              <w:rPr>
                <w:sz w:val="20"/>
                <w:szCs w:val="20"/>
              </w:rPr>
            </w:pPr>
          </w:p>
        </w:tc>
        <w:tc>
          <w:tcPr>
            <w:tcW w:w="1276" w:type="dxa"/>
            <w:vMerge/>
            <w:tcBorders>
              <w:top w:val="nil"/>
              <w:bottom w:val="nil"/>
            </w:tcBorders>
            <w:tcMar>
              <w:left w:w="28" w:type="dxa"/>
              <w:right w:w="28" w:type="dxa"/>
            </w:tcMar>
          </w:tcPr>
          <w:p w14:paraId="7FD3F319" w14:textId="77777777" w:rsidR="00CF3EC7" w:rsidRPr="001E05F5" w:rsidRDefault="00CF3EC7" w:rsidP="009E5BB6">
            <w:pPr>
              <w:pStyle w:val="Default"/>
              <w:spacing w:before="60" w:after="60"/>
              <w:rPr>
                <w:sz w:val="20"/>
                <w:szCs w:val="20"/>
              </w:rPr>
            </w:pPr>
          </w:p>
        </w:tc>
        <w:tc>
          <w:tcPr>
            <w:tcW w:w="2090" w:type="dxa"/>
            <w:vMerge/>
            <w:shd w:val="clear" w:color="auto" w:fill="FBD4B4" w:themeFill="accent6" w:themeFillTint="66"/>
            <w:vAlign w:val="center"/>
          </w:tcPr>
          <w:p w14:paraId="01220EFB" w14:textId="77777777" w:rsidR="00CF3EC7" w:rsidRPr="001E05F5" w:rsidRDefault="00CF3EC7" w:rsidP="009E5BB6">
            <w:pPr>
              <w:pStyle w:val="Default"/>
              <w:spacing w:before="60" w:after="60"/>
              <w:rPr>
                <w:sz w:val="20"/>
                <w:szCs w:val="20"/>
              </w:rPr>
            </w:pPr>
          </w:p>
        </w:tc>
        <w:tc>
          <w:tcPr>
            <w:tcW w:w="1454" w:type="dxa"/>
            <w:vMerge/>
            <w:tcBorders>
              <w:top w:val="nil"/>
              <w:bottom w:val="nil"/>
            </w:tcBorders>
          </w:tcPr>
          <w:p w14:paraId="12A56145" w14:textId="77777777" w:rsidR="00CF3EC7" w:rsidRPr="001E05F5" w:rsidRDefault="00CF3EC7" w:rsidP="009E5BB6">
            <w:pPr>
              <w:pStyle w:val="Default"/>
              <w:spacing w:before="60" w:after="60"/>
              <w:rPr>
                <w:sz w:val="20"/>
                <w:szCs w:val="20"/>
              </w:rPr>
            </w:pPr>
          </w:p>
        </w:tc>
        <w:tc>
          <w:tcPr>
            <w:tcW w:w="3402" w:type="dxa"/>
            <w:shd w:val="clear" w:color="auto" w:fill="B8CCE4" w:themeFill="accent1" w:themeFillTint="66"/>
            <w:vAlign w:val="center"/>
          </w:tcPr>
          <w:p w14:paraId="6D913C60" w14:textId="77777777" w:rsidR="00CF3EC7" w:rsidRPr="001E05F5" w:rsidRDefault="00CF3EC7" w:rsidP="009E5BB6">
            <w:pPr>
              <w:pStyle w:val="Default"/>
              <w:spacing w:before="40" w:after="40"/>
              <w:rPr>
                <w:sz w:val="20"/>
                <w:szCs w:val="20"/>
              </w:rPr>
            </w:pPr>
            <w:r w:rsidRPr="001E05F5">
              <w:rPr>
                <w:sz w:val="20"/>
                <w:szCs w:val="20"/>
              </w:rPr>
              <w:t xml:space="preserve">New build </w:t>
            </w:r>
            <w:proofErr w:type="gramStart"/>
            <w:r w:rsidRPr="001E05F5">
              <w:rPr>
                <w:sz w:val="20"/>
                <w:szCs w:val="20"/>
              </w:rPr>
              <w:t>refuse</w:t>
            </w:r>
            <w:proofErr w:type="gramEnd"/>
            <w:r w:rsidRPr="001E05F5">
              <w:rPr>
                <w:sz w:val="20"/>
                <w:szCs w:val="20"/>
              </w:rPr>
              <w:t xml:space="preserve"> derived fuel facility (RDF)</w:t>
            </w:r>
          </w:p>
        </w:tc>
      </w:tr>
      <w:tr w:rsidR="00CF3EC7" w:rsidRPr="001E05F5" w14:paraId="33F89D8B" w14:textId="77777777" w:rsidTr="009E5BB6">
        <w:trPr>
          <w:trHeight w:val="621"/>
        </w:trPr>
        <w:tc>
          <w:tcPr>
            <w:tcW w:w="2321" w:type="dxa"/>
            <w:vMerge/>
            <w:shd w:val="clear" w:color="auto" w:fill="D9D9D9" w:themeFill="background1" w:themeFillShade="D9"/>
            <w:vAlign w:val="center"/>
          </w:tcPr>
          <w:p w14:paraId="0929F291" w14:textId="77777777" w:rsidR="00CF3EC7" w:rsidRPr="001E05F5" w:rsidRDefault="00CF3EC7" w:rsidP="009E5BB6">
            <w:pPr>
              <w:pStyle w:val="Default"/>
              <w:spacing w:before="60" w:after="60"/>
              <w:rPr>
                <w:sz w:val="20"/>
                <w:szCs w:val="20"/>
              </w:rPr>
            </w:pPr>
          </w:p>
        </w:tc>
        <w:tc>
          <w:tcPr>
            <w:tcW w:w="3599" w:type="dxa"/>
            <w:vMerge/>
            <w:shd w:val="clear" w:color="auto" w:fill="D6E3BC" w:themeFill="accent3" w:themeFillTint="66"/>
            <w:vAlign w:val="center"/>
          </w:tcPr>
          <w:p w14:paraId="294B5934" w14:textId="77777777" w:rsidR="00CF3EC7" w:rsidRPr="001E05F5" w:rsidRDefault="00CF3EC7" w:rsidP="009E5BB6">
            <w:pPr>
              <w:pStyle w:val="Default"/>
              <w:spacing w:before="60" w:after="60"/>
              <w:rPr>
                <w:sz w:val="20"/>
                <w:szCs w:val="20"/>
              </w:rPr>
            </w:pPr>
          </w:p>
        </w:tc>
        <w:tc>
          <w:tcPr>
            <w:tcW w:w="1276" w:type="dxa"/>
            <w:vMerge/>
            <w:tcBorders>
              <w:top w:val="nil"/>
              <w:bottom w:val="nil"/>
            </w:tcBorders>
            <w:tcMar>
              <w:left w:w="28" w:type="dxa"/>
              <w:right w:w="28" w:type="dxa"/>
            </w:tcMar>
          </w:tcPr>
          <w:p w14:paraId="4AA9E007" w14:textId="77777777" w:rsidR="00CF3EC7" w:rsidRPr="001E05F5" w:rsidRDefault="00CF3EC7" w:rsidP="009E5BB6">
            <w:pPr>
              <w:pStyle w:val="Default"/>
              <w:spacing w:before="60" w:after="60"/>
              <w:rPr>
                <w:sz w:val="20"/>
                <w:szCs w:val="20"/>
              </w:rPr>
            </w:pPr>
          </w:p>
        </w:tc>
        <w:tc>
          <w:tcPr>
            <w:tcW w:w="2090" w:type="dxa"/>
            <w:vMerge/>
            <w:shd w:val="clear" w:color="auto" w:fill="FBD4B4" w:themeFill="accent6" w:themeFillTint="66"/>
            <w:vAlign w:val="center"/>
          </w:tcPr>
          <w:p w14:paraId="720458F6" w14:textId="77777777" w:rsidR="00CF3EC7" w:rsidRPr="001E05F5" w:rsidRDefault="00CF3EC7" w:rsidP="009E5BB6">
            <w:pPr>
              <w:pStyle w:val="Default"/>
              <w:spacing w:before="60" w:after="60"/>
              <w:rPr>
                <w:sz w:val="20"/>
                <w:szCs w:val="20"/>
              </w:rPr>
            </w:pPr>
          </w:p>
        </w:tc>
        <w:tc>
          <w:tcPr>
            <w:tcW w:w="1454" w:type="dxa"/>
            <w:vMerge/>
            <w:tcBorders>
              <w:top w:val="nil"/>
              <w:bottom w:val="nil"/>
            </w:tcBorders>
          </w:tcPr>
          <w:p w14:paraId="2BD5CF34" w14:textId="77777777" w:rsidR="00CF3EC7" w:rsidRPr="001E05F5" w:rsidRDefault="00CF3EC7" w:rsidP="009E5BB6">
            <w:pPr>
              <w:pStyle w:val="Default"/>
              <w:spacing w:before="60" w:after="60"/>
              <w:rPr>
                <w:rFonts w:eastAsia="Calibri"/>
                <w:sz w:val="20"/>
                <w:szCs w:val="20"/>
              </w:rPr>
            </w:pPr>
          </w:p>
        </w:tc>
        <w:tc>
          <w:tcPr>
            <w:tcW w:w="3402" w:type="dxa"/>
            <w:shd w:val="clear" w:color="auto" w:fill="B8CCE4" w:themeFill="accent1" w:themeFillTint="66"/>
            <w:vAlign w:val="center"/>
          </w:tcPr>
          <w:p w14:paraId="447ABEDA" w14:textId="77777777" w:rsidR="00CF3EC7" w:rsidRPr="001E05F5" w:rsidRDefault="00CF3EC7" w:rsidP="009E5BB6">
            <w:pPr>
              <w:pStyle w:val="Default"/>
              <w:spacing w:before="40" w:after="40"/>
              <w:rPr>
                <w:sz w:val="20"/>
                <w:szCs w:val="20"/>
              </w:rPr>
            </w:pPr>
            <w:r w:rsidRPr="001E05F5">
              <w:rPr>
                <w:rFonts w:eastAsia="Calibri"/>
                <w:sz w:val="20"/>
                <w:szCs w:val="20"/>
              </w:rPr>
              <w:t>Utilise third party energy recovery facility capacity</w:t>
            </w:r>
          </w:p>
        </w:tc>
      </w:tr>
      <w:tr w:rsidR="00CF3EC7" w:rsidRPr="001E05F5" w14:paraId="3527845B" w14:textId="77777777" w:rsidTr="009E5BB6">
        <w:trPr>
          <w:trHeight w:val="730"/>
        </w:trPr>
        <w:tc>
          <w:tcPr>
            <w:tcW w:w="2321" w:type="dxa"/>
            <w:vMerge w:val="restart"/>
            <w:shd w:val="clear" w:color="auto" w:fill="D9D9D9" w:themeFill="background1" w:themeFillShade="D9"/>
            <w:vAlign w:val="center"/>
          </w:tcPr>
          <w:p w14:paraId="63C0A9FF" w14:textId="77777777" w:rsidR="00CF3EC7" w:rsidRPr="001E05F5" w:rsidRDefault="00CF3EC7" w:rsidP="009E5BB6">
            <w:pPr>
              <w:pStyle w:val="Default"/>
              <w:spacing w:before="60" w:after="60"/>
              <w:rPr>
                <w:sz w:val="20"/>
                <w:szCs w:val="20"/>
              </w:rPr>
            </w:pPr>
            <w:r w:rsidRPr="001E05F5">
              <w:rPr>
                <w:sz w:val="20"/>
                <w:szCs w:val="20"/>
              </w:rPr>
              <w:t>2 Collection changes only with residual waste solutions</w:t>
            </w:r>
          </w:p>
        </w:tc>
        <w:tc>
          <w:tcPr>
            <w:tcW w:w="3599" w:type="dxa"/>
            <w:vMerge w:val="restart"/>
            <w:shd w:val="clear" w:color="auto" w:fill="D6E3BC" w:themeFill="accent3" w:themeFillTint="66"/>
            <w:vAlign w:val="center"/>
          </w:tcPr>
          <w:p w14:paraId="714686EE" w14:textId="77777777" w:rsidR="00CF3EC7" w:rsidRPr="001E05F5" w:rsidRDefault="00CF3EC7" w:rsidP="009E5BB6">
            <w:pPr>
              <w:pStyle w:val="Default"/>
              <w:spacing w:before="60" w:after="60"/>
              <w:rPr>
                <w:sz w:val="20"/>
                <w:szCs w:val="20"/>
              </w:rPr>
            </w:pPr>
            <w:r w:rsidRPr="001E05F5">
              <w:rPr>
                <w:sz w:val="20"/>
                <w:szCs w:val="20"/>
              </w:rPr>
              <w:t>Do nothing</w:t>
            </w:r>
          </w:p>
        </w:tc>
        <w:tc>
          <w:tcPr>
            <w:tcW w:w="1276" w:type="dxa"/>
            <w:vMerge w:val="restart"/>
            <w:tcBorders>
              <w:top w:val="nil"/>
              <w:bottom w:val="nil"/>
            </w:tcBorders>
            <w:tcMar>
              <w:left w:w="28" w:type="dxa"/>
              <w:right w:w="28" w:type="dxa"/>
            </w:tcMar>
            <w:vAlign w:val="center"/>
          </w:tcPr>
          <w:p w14:paraId="39B35CDC" w14:textId="77777777" w:rsidR="00CF3EC7" w:rsidRPr="001E05F5" w:rsidRDefault="00CF3EC7" w:rsidP="009E5BB6">
            <w:pPr>
              <w:pStyle w:val="Default"/>
              <w:spacing w:before="60" w:after="60"/>
              <w:jc w:val="center"/>
              <w:rPr>
                <w:rFonts w:eastAsia="Calibri"/>
                <w:sz w:val="20"/>
                <w:szCs w:val="20"/>
              </w:rPr>
            </w:pPr>
            <w:r w:rsidRPr="001E05F5">
              <w:rPr>
                <w:rFonts w:eastAsia="Calibri"/>
                <w:noProof/>
                <w:sz w:val="20"/>
                <w:szCs w:val="20"/>
              </w:rPr>
              <w:drawing>
                <wp:inline distT="0" distB="0" distL="0" distR="0" wp14:anchorId="044B7500" wp14:editId="5DD42D82">
                  <wp:extent cx="723900" cy="1494503"/>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r="21717"/>
                          <a:stretch>
                            <a:fillRect/>
                          </a:stretch>
                        </pic:blipFill>
                        <pic:spPr bwMode="auto">
                          <a:xfrm>
                            <a:off x="0" y="0"/>
                            <a:ext cx="723900" cy="1494503"/>
                          </a:xfrm>
                          <a:prstGeom prst="rect">
                            <a:avLst/>
                          </a:prstGeom>
                          <a:noFill/>
                        </pic:spPr>
                      </pic:pic>
                    </a:graphicData>
                  </a:graphic>
                </wp:inline>
              </w:drawing>
            </w:r>
          </w:p>
        </w:tc>
        <w:tc>
          <w:tcPr>
            <w:tcW w:w="2090" w:type="dxa"/>
            <w:vMerge w:val="restart"/>
            <w:shd w:val="clear" w:color="auto" w:fill="FBD4B4" w:themeFill="accent6" w:themeFillTint="66"/>
            <w:vAlign w:val="center"/>
          </w:tcPr>
          <w:p w14:paraId="30FE3C43" w14:textId="77777777" w:rsidR="00CF3EC7" w:rsidRPr="001E05F5" w:rsidRDefault="00CF3EC7" w:rsidP="009E5BB6">
            <w:pPr>
              <w:pStyle w:val="Default"/>
              <w:spacing w:before="60" w:after="60"/>
              <w:rPr>
                <w:rFonts w:eastAsia="Calibri"/>
                <w:sz w:val="20"/>
                <w:szCs w:val="20"/>
              </w:rPr>
            </w:pPr>
            <w:r w:rsidRPr="001E05F5">
              <w:rPr>
                <w:rFonts w:eastAsia="Calibri"/>
                <w:sz w:val="20"/>
                <w:szCs w:val="20"/>
              </w:rPr>
              <w:t>High efficiency scenario</w:t>
            </w:r>
          </w:p>
        </w:tc>
        <w:tc>
          <w:tcPr>
            <w:tcW w:w="1454" w:type="dxa"/>
            <w:vMerge w:val="restart"/>
            <w:tcBorders>
              <w:top w:val="nil"/>
              <w:bottom w:val="nil"/>
            </w:tcBorders>
          </w:tcPr>
          <w:p w14:paraId="245AB61A" w14:textId="77777777" w:rsidR="00CF3EC7" w:rsidRPr="001E05F5" w:rsidRDefault="00CF3EC7" w:rsidP="009E5BB6">
            <w:pPr>
              <w:pStyle w:val="Default"/>
              <w:spacing w:before="60" w:after="60"/>
              <w:rPr>
                <w:rFonts w:eastAsia="Calibri"/>
                <w:sz w:val="20"/>
                <w:szCs w:val="20"/>
              </w:rPr>
            </w:pPr>
            <w:r w:rsidRPr="001E05F5">
              <w:rPr>
                <w:rFonts w:eastAsia="Calibri"/>
                <w:noProof/>
                <w:sz w:val="20"/>
                <w:szCs w:val="20"/>
              </w:rPr>
              <w:drawing>
                <wp:inline distT="0" distB="0" distL="0" distR="0" wp14:anchorId="2FE2AA05" wp14:editId="25A15AD5">
                  <wp:extent cx="975360" cy="179832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75360" cy="1798320"/>
                          </a:xfrm>
                          <a:prstGeom prst="rect">
                            <a:avLst/>
                          </a:prstGeom>
                          <a:noFill/>
                        </pic:spPr>
                      </pic:pic>
                    </a:graphicData>
                  </a:graphic>
                </wp:inline>
              </w:drawing>
            </w:r>
          </w:p>
        </w:tc>
        <w:tc>
          <w:tcPr>
            <w:tcW w:w="3402" w:type="dxa"/>
            <w:shd w:val="clear" w:color="auto" w:fill="B8CCE4" w:themeFill="accent1" w:themeFillTint="66"/>
            <w:vAlign w:val="center"/>
          </w:tcPr>
          <w:p w14:paraId="4708BC2A" w14:textId="4CF89C84" w:rsidR="00CF3EC7" w:rsidRPr="001E05F5" w:rsidRDefault="00F716BC" w:rsidP="009E5BB6">
            <w:pPr>
              <w:pStyle w:val="Default"/>
              <w:spacing w:before="40" w:after="40"/>
              <w:rPr>
                <w:sz w:val="20"/>
                <w:szCs w:val="20"/>
              </w:rPr>
            </w:pPr>
            <w:r w:rsidRPr="001E05F5">
              <w:rPr>
                <w:rFonts w:eastAsia="Calibri"/>
                <w:sz w:val="20"/>
                <w:szCs w:val="20"/>
              </w:rPr>
              <w:t>C</w:t>
            </w:r>
            <w:r w:rsidR="00CF3EC7" w:rsidRPr="001E05F5">
              <w:rPr>
                <w:rFonts w:eastAsia="Calibri"/>
                <w:sz w:val="20"/>
                <w:szCs w:val="20"/>
              </w:rPr>
              <w:t>ontract extension (beyond 2025) for existing EfW contract</w:t>
            </w:r>
          </w:p>
        </w:tc>
      </w:tr>
      <w:tr w:rsidR="00CF3EC7" w:rsidRPr="001E05F5" w14:paraId="4A4FC4D8" w14:textId="77777777" w:rsidTr="009E5BB6">
        <w:trPr>
          <w:trHeight w:val="731"/>
        </w:trPr>
        <w:tc>
          <w:tcPr>
            <w:tcW w:w="2321" w:type="dxa"/>
            <w:vMerge/>
            <w:shd w:val="clear" w:color="auto" w:fill="D9D9D9" w:themeFill="background1" w:themeFillShade="D9"/>
            <w:vAlign w:val="center"/>
          </w:tcPr>
          <w:p w14:paraId="480D5C84" w14:textId="77777777" w:rsidR="00CF3EC7" w:rsidRPr="001E05F5" w:rsidRDefault="00CF3EC7" w:rsidP="009E5BB6">
            <w:pPr>
              <w:pStyle w:val="Default"/>
              <w:spacing w:before="60" w:after="60"/>
              <w:rPr>
                <w:sz w:val="20"/>
                <w:szCs w:val="20"/>
              </w:rPr>
            </w:pPr>
          </w:p>
        </w:tc>
        <w:tc>
          <w:tcPr>
            <w:tcW w:w="3599" w:type="dxa"/>
            <w:vMerge/>
            <w:shd w:val="clear" w:color="auto" w:fill="D6E3BC" w:themeFill="accent3" w:themeFillTint="66"/>
            <w:vAlign w:val="center"/>
          </w:tcPr>
          <w:p w14:paraId="43A31C67" w14:textId="77777777" w:rsidR="00CF3EC7" w:rsidRPr="001E05F5" w:rsidRDefault="00CF3EC7" w:rsidP="009E5BB6">
            <w:pPr>
              <w:pStyle w:val="Default"/>
              <w:spacing w:before="60" w:after="60"/>
              <w:rPr>
                <w:sz w:val="20"/>
                <w:szCs w:val="20"/>
              </w:rPr>
            </w:pPr>
          </w:p>
        </w:tc>
        <w:tc>
          <w:tcPr>
            <w:tcW w:w="1276" w:type="dxa"/>
            <w:vMerge/>
            <w:tcBorders>
              <w:top w:val="nil"/>
              <w:bottom w:val="nil"/>
            </w:tcBorders>
            <w:tcMar>
              <w:left w:w="28" w:type="dxa"/>
              <w:right w:w="28" w:type="dxa"/>
            </w:tcMar>
          </w:tcPr>
          <w:p w14:paraId="63857D33" w14:textId="77777777" w:rsidR="00CF3EC7" w:rsidRPr="001E05F5" w:rsidRDefault="00CF3EC7" w:rsidP="009E5BB6">
            <w:pPr>
              <w:pStyle w:val="Default"/>
              <w:spacing w:before="60" w:after="60"/>
              <w:rPr>
                <w:rFonts w:eastAsia="Calibri"/>
                <w:sz w:val="20"/>
                <w:szCs w:val="20"/>
              </w:rPr>
            </w:pPr>
          </w:p>
        </w:tc>
        <w:tc>
          <w:tcPr>
            <w:tcW w:w="2090" w:type="dxa"/>
            <w:vMerge/>
            <w:shd w:val="clear" w:color="auto" w:fill="FBD4B4" w:themeFill="accent6" w:themeFillTint="66"/>
            <w:vAlign w:val="center"/>
          </w:tcPr>
          <w:p w14:paraId="1320E8F1" w14:textId="77777777" w:rsidR="00CF3EC7" w:rsidRPr="001E05F5" w:rsidRDefault="00CF3EC7" w:rsidP="009E5BB6">
            <w:pPr>
              <w:pStyle w:val="Default"/>
              <w:spacing w:before="60" w:after="60"/>
              <w:rPr>
                <w:rFonts w:eastAsia="Calibri"/>
                <w:sz w:val="20"/>
                <w:szCs w:val="20"/>
              </w:rPr>
            </w:pPr>
          </w:p>
        </w:tc>
        <w:tc>
          <w:tcPr>
            <w:tcW w:w="1454" w:type="dxa"/>
            <w:vMerge/>
            <w:tcBorders>
              <w:top w:val="nil"/>
              <w:bottom w:val="nil"/>
            </w:tcBorders>
          </w:tcPr>
          <w:p w14:paraId="7095301A" w14:textId="77777777" w:rsidR="00CF3EC7" w:rsidRPr="001E05F5" w:rsidRDefault="00CF3EC7" w:rsidP="009E5BB6">
            <w:pPr>
              <w:pStyle w:val="Default"/>
              <w:spacing w:before="60" w:after="60"/>
              <w:rPr>
                <w:sz w:val="20"/>
                <w:szCs w:val="20"/>
              </w:rPr>
            </w:pPr>
          </w:p>
        </w:tc>
        <w:tc>
          <w:tcPr>
            <w:tcW w:w="3402" w:type="dxa"/>
            <w:shd w:val="clear" w:color="auto" w:fill="B8CCE4" w:themeFill="accent1" w:themeFillTint="66"/>
            <w:vAlign w:val="center"/>
          </w:tcPr>
          <w:p w14:paraId="26634B62" w14:textId="77777777" w:rsidR="00CF3EC7" w:rsidRPr="001E05F5" w:rsidRDefault="00CF3EC7" w:rsidP="009E5BB6">
            <w:pPr>
              <w:pStyle w:val="Default"/>
              <w:spacing w:before="40" w:after="40"/>
              <w:rPr>
                <w:sz w:val="20"/>
                <w:szCs w:val="20"/>
              </w:rPr>
            </w:pPr>
            <w:r w:rsidRPr="001E05F5">
              <w:rPr>
                <w:sz w:val="20"/>
                <w:szCs w:val="20"/>
              </w:rPr>
              <w:t>New build energy recovery facility</w:t>
            </w:r>
          </w:p>
        </w:tc>
      </w:tr>
      <w:tr w:rsidR="00CF3EC7" w:rsidRPr="001E05F5" w14:paraId="583FF6E5" w14:textId="77777777" w:rsidTr="009E5BB6">
        <w:trPr>
          <w:trHeight w:val="730"/>
        </w:trPr>
        <w:tc>
          <w:tcPr>
            <w:tcW w:w="2321" w:type="dxa"/>
            <w:vMerge/>
            <w:shd w:val="clear" w:color="auto" w:fill="D9D9D9" w:themeFill="background1" w:themeFillShade="D9"/>
            <w:vAlign w:val="center"/>
          </w:tcPr>
          <w:p w14:paraId="713F6EED" w14:textId="77777777" w:rsidR="00CF3EC7" w:rsidRPr="001E05F5" w:rsidRDefault="00CF3EC7" w:rsidP="009E5BB6">
            <w:pPr>
              <w:pStyle w:val="Default"/>
              <w:spacing w:before="60" w:after="60"/>
              <w:rPr>
                <w:sz w:val="20"/>
                <w:szCs w:val="20"/>
              </w:rPr>
            </w:pPr>
          </w:p>
        </w:tc>
        <w:tc>
          <w:tcPr>
            <w:tcW w:w="3599" w:type="dxa"/>
            <w:vMerge/>
            <w:shd w:val="clear" w:color="auto" w:fill="D6E3BC" w:themeFill="accent3" w:themeFillTint="66"/>
            <w:vAlign w:val="center"/>
          </w:tcPr>
          <w:p w14:paraId="298F7FD9" w14:textId="77777777" w:rsidR="00CF3EC7" w:rsidRPr="001E05F5" w:rsidRDefault="00CF3EC7" w:rsidP="009E5BB6">
            <w:pPr>
              <w:pStyle w:val="Default"/>
              <w:spacing w:before="60" w:after="60"/>
              <w:rPr>
                <w:sz w:val="20"/>
                <w:szCs w:val="20"/>
              </w:rPr>
            </w:pPr>
          </w:p>
        </w:tc>
        <w:tc>
          <w:tcPr>
            <w:tcW w:w="1276" w:type="dxa"/>
            <w:vMerge/>
            <w:tcBorders>
              <w:top w:val="nil"/>
              <w:bottom w:val="nil"/>
            </w:tcBorders>
            <w:tcMar>
              <w:left w:w="28" w:type="dxa"/>
              <w:right w:w="28" w:type="dxa"/>
            </w:tcMar>
          </w:tcPr>
          <w:p w14:paraId="01286427" w14:textId="77777777" w:rsidR="00CF3EC7" w:rsidRPr="001E05F5" w:rsidRDefault="00CF3EC7" w:rsidP="009E5BB6">
            <w:pPr>
              <w:pStyle w:val="Default"/>
              <w:spacing w:before="60" w:after="60"/>
              <w:rPr>
                <w:rFonts w:eastAsia="Calibri"/>
                <w:sz w:val="20"/>
                <w:szCs w:val="20"/>
              </w:rPr>
            </w:pPr>
          </w:p>
        </w:tc>
        <w:tc>
          <w:tcPr>
            <w:tcW w:w="2090" w:type="dxa"/>
            <w:vMerge w:val="restart"/>
            <w:shd w:val="clear" w:color="auto" w:fill="FBD4B4" w:themeFill="accent6" w:themeFillTint="66"/>
            <w:vAlign w:val="center"/>
          </w:tcPr>
          <w:p w14:paraId="0596E81D" w14:textId="77777777" w:rsidR="00CF3EC7" w:rsidRPr="001E05F5" w:rsidRDefault="00CF3EC7" w:rsidP="009E5BB6">
            <w:pPr>
              <w:pStyle w:val="Default"/>
              <w:spacing w:before="60" w:after="60"/>
              <w:rPr>
                <w:rFonts w:eastAsia="Calibri"/>
                <w:sz w:val="20"/>
                <w:szCs w:val="20"/>
              </w:rPr>
            </w:pPr>
            <w:r w:rsidRPr="001E05F5">
              <w:rPr>
                <w:rFonts w:eastAsia="Calibri"/>
                <w:sz w:val="20"/>
                <w:szCs w:val="20"/>
              </w:rPr>
              <w:t>High recycling performance scenario</w:t>
            </w:r>
          </w:p>
        </w:tc>
        <w:tc>
          <w:tcPr>
            <w:tcW w:w="1454" w:type="dxa"/>
            <w:vMerge/>
            <w:tcBorders>
              <w:top w:val="nil"/>
              <w:bottom w:val="nil"/>
            </w:tcBorders>
          </w:tcPr>
          <w:p w14:paraId="09536001" w14:textId="77777777" w:rsidR="00CF3EC7" w:rsidRPr="001E05F5" w:rsidRDefault="00CF3EC7" w:rsidP="009E5BB6">
            <w:pPr>
              <w:pStyle w:val="Default"/>
              <w:spacing w:before="60" w:after="60"/>
              <w:rPr>
                <w:sz w:val="20"/>
                <w:szCs w:val="20"/>
              </w:rPr>
            </w:pPr>
          </w:p>
        </w:tc>
        <w:tc>
          <w:tcPr>
            <w:tcW w:w="3402" w:type="dxa"/>
            <w:shd w:val="clear" w:color="auto" w:fill="B8CCE4" w:themeFill="accent1" w:themeFillTint="66"/>
            <w:vAlign w:val="center"/>
          </w:tcPr>
          <w:p w14:paraId="5E96BF91" w14:textId="77777777" w:rsidR="00CF3EC7" w:rsidRPr="001E05F5" w:rsidRDefault="00CF3EC7" w:rsidP="009E5BB6">
            <w:pPr>
              <w:pStyle w:val="Default"/>
              <w:spacing w:before="40" w:after="40"/>
              <w:rPr>
                <w:sz w:val="20"/>
                <w:szCs w:val="20"/>
              </w:rPr>
            </w:pPr>
            <w:r w:rsidRPr="001E05F5">
              <w:rPr>
                <w:sz w:val="20"/>
                <w:szCs w:val="20"/>
              </w:rPr>
              <w:t xml:space="preserve">New build </w:t>
            </w:r>
            <w:proofErr w:type="gramStart"/>
            <w:r w:rsidRPr="001E05F5">
              <w:rPr>
                <w:sz w:val="20"/>
                <w:szCs w:val="20"/>
              </w:rPr>
              <w:t>refuse</w:t>
            </w:r>
            <w:proofErr w:type="gramEnd"/>
            <w:r w:rsidRPr="001E05F5">
              <w:rPr>
                <w:sz w:val="20"/>
                <w:szCs w:val="20"/>
              </w:rPr>
              <w:t xml:space="preserve"> derived fuel facility (RDF)</w:t>
            </w:r>
          </w:p>
        </w:tc>
      </w:tr>
      <w:tr w:rsidR="00CF3EC7" w:rsidRPr="001E05F5" w14:paraId="0E1514CF" w14:textId="77777777" w:rsidTr="009E5BB6">
        <w:trPr>
          <w:trHeight w:val="680"/>
        </w:trPr>
        <w:tc>
          <w:tcPr>
            <w:tcW w:w="2321" w:type="dxa"/>
            <w:vMerge/>
            <w:shd w:val="clear" w:color="auto" w:fill="D9D9D9" w:themeFill="background1" w:themeFillShade="D9"/>
            <w:vAlign w:val="center"/>
          </w:tcPr>
          <w:p w14:paraId="28EF9DB6" w14:textId="77777777" w:rsidR="00CF3EC7" w:rsidRPr="001E05F5" w:rsidRDefault="00CF3EC7" w:rsidP="009E5BB6">
            <w:pPr>
              <w:pStyle w:val="Default"/>
              <w:spacing w:before="60" w:after="60"/>
              <w:rPr>
                <w:sz w:val="20"/>
                <w:szCs w:val="20"/>
              </w:rPr>
            </w:pPr>
          </w:p>
        </w:tc>
        <w:tc>
          <w:tcPr>
            <w:tcW w:w="3599" w:type="dxa"/>
            <w:vMerge/>
            <w:shd w:val="clear" w:color="auto" w:fill="D6E3BC" w:themeFill="accent3" w:themeFillTint="66"/>
            <w:vAlign w:val="center"/>
          </w:tcPr>
          <w:p w14:paraId="0B8225E3" w14:textId="77777777" w:rsidR="00CF3EC7" w:rsidRPr="001E05F5" w:rsidRDefault="00CF3EC7" w:rsidP="009E5BB6">
            <w:pPr>
              <w:pStyle w:val="Default"/>
              <w:spacing w:before="60" w:after="60"/>
              <w:rPr>
                <w:sz w:val="20"/>
                <w:szCs w:val="20"/>
              </w:rPr>
            </w:pPr>
          </w:p>
        </w:tc>
        <w:tc>
          <w:tcPr>
            <w:tcW w:w="1276" w:type="dxa"/>
            <w:vMerge/>
            <w:tcBorders>
              <w:top w:val="nil"/>
              <w:bottom w:val="nil"/>
            </w:tcBorders>
            <w:tcMar>
              <w:left w:w="28" w:type="dxa"/>
              <w:right w:w="28" w:type="dxa"/>
            </w:tcMar>
          </w:tcPr>
          <w:p w14:paraId="1AF435FB" w14:textId="77777777" w:rsidR="00CF3EC7" w:rsidRPr="001E05F5" w:rsidRDefault="00CF3EC7" w:rsidP="009E5BB6">
            <w:pPr>
              <w:pStyle w:val="Default"/>
              <w:spacing w:before="60" w:after="60"/>
              <w:rPr>
                <w:sz w:val="20"/>
                <w:szCs w:val="20"/>
              </w:rPr>
            </w:pPr>
          </w:p>
        </w:tc>
        <w:tc>
          <w:tcPr>
            <w:tcW w:w="2090" w:type="dxa"/>
            <w:vMerge/>
            <w:shd w:val="clear" w:color="auto" w:fill="FBD4B4" w:themeFill="accent6" w:themeFillTint="66"/>
            <w:vAlign w:val="center"/>
          </w:tcPr>
          <w:p w14:paraId="25C7A0B9" w14:textId="77777777" w:rsidR="00CF3EC7" w:rsidRPr="001E05F5" w:rsidRDefault="00CF3EC7" w:rsidP="009E5BB6">
            <w:pPr>
              <w:pStyle w:val="Default"/>
              <w:spacing w:before="60" w:after="60"/>
              <w:rPr>
                <w:sz w:val="20"/>
                <w:szCs w:val="20"/>
              </w:rPr>
            </w:pPr>
          </w:p>
        </w:tc>
        <w:tc>
          <w:tcPr>
            <w:tcW w:w="1454" w:type="dxa"/>
            <w:vMerge/>
            <w:tcBorders>
              <w:top w:val="nil"/>
              <w:bottom w:val="nil"/>
            </w:tcBorders>
          </w:tcPr>
          <w:p w14:paraId="766D9812" w14:textId="77777777" w:rsidR="00CF3EC7" w:rsidRPr="001E05F5" w:rsidRDefault="00CF3EC7" w:rsidP="009E5BB6">
            <w:pPr>
              <w:pStyle w:val="Default"/>
              <w:spacing w:before="60" w:after="60"/>
              <w:rPr>
                <w:rFonts w:eastAsia="Calibri"/>
                <w:sz w:val="20"/>
                <w:szCs w:val="20"/>
              </w:rPr>
            </w:pPr>
          </w:p>
        </w:tc>
        <w:tc>
          <w:tcPr>
            <w:tcW w:w="3402" w:type="dxa"/>
            <w:shd w:val="clear" w:color="auto" w:fill="B8CCE4" w:themeFill="accent1" w:themeFillTint="66"/>
            <w:vAlign w:val="center"/>
          </w:tcPr>
          <w:p w14:paraId="656FD396" w14:textId="77777777" w:rsidR="00CF3EC7" w:rsidRPr="001E05F5" w:rsidRDefault="00CF3EC7" w:rsidP="009E5BB6">
            <w:pPr>
              <w:pStyle w:val="Default"/>
              <w:spacing w:before="40" w:after="40"/>
              <w:rPr>
                <w:sz w:val="20"/>
                <w:szCs w:val="20"/>
              </w:rPr>
            </w:pPr>
            <w:r w:rsidRPr="001E05F5">
              <w:rPr>
                <w:rFonts w:eastAsia="Calibri"/>
                <w:sz w:val="20"/>
                <w:szCs w:val="20"/>
              </w:rPr>
              <w:t>Utilise third party energy recovery facility capacity</w:t>
            </w:r>
          </w:p>
        </w:tc>
      </w:tr>
      <w:tr w:rsidR="00CF3EC7" w:rsidRPr="001E05F5" w14:paraId="3BE71536" w14:textId="77777777" w:rsidTr="009E5BB6">
        <w:trPr>
          <w:trHeight w:val="730"/>
        </w:trPr>
        <w:tc>
          <w:tcPr>
            <w:tcW w:w="2321" w:type="dxa"/>
            <w:vMerge w:val="restart"/>
            <w:shd w:val="clear" w:color="auto" w:fill="D9D9D9" w:themeFill="background1" w:themeFillShade="D9"/>
            <w:vAlign w:val="center"/>
          </w:tcPr>
          <w:p w14:paraId="59CC1194" w14:textId="77777777" w:rsidR="00CF3EC7" w:rsidRPr="001E05F5" w:rsidRDefault="00CF3EC7" w:rsidP="009E5BB6">
            <w:pPr>
              <w:pStyle w:val="Default"/>
              <w:spacing w:before="60" w:after="60"/>
              <w:rPr>
                <w:sz w:val="20"/>
                <w:szCs w:val="20"/>
              </w:rPr>
            </w:pPr>
            <w:r w:rsidRPr="001E05F5">
              <w:rPr>
                <w:sz w:val="20"/>
                <w:szCs w:val="20"/>
              </w:rPr>
              <w:t>3 All Options with residual waste solutions</w:t>
            </w:r>
          </w:p>
        </w:tc>
        <w:tc>
          <w:tcPr>
            <w:tcW w:w="3599" w:type="dxa"/>
            <w:vMerge w:val="restart"/>
            <w:shd w:val="clear" w:color="auto" w:fill="D6E3BC" w:themeFill="accent3" w:themeFillTint="66"/>
            <w:vAlign w:val="center"/>
          </w:tcPr>
          <w:p w14:paraId="04CB4671" w14:textId="77777777" w:rsidR="00CF3EC7" w:rsidRPr="001E05F5" w:rsidRDefault="00CF3EC7" w:rsidP="009E5BB6">
            <w:pPr>
              <w:pStyle w:val="Default"/>
              <w:spacing w:before="60" w:after="60"/>
              <w:rPr>
                <w:sz w:val="20"/>
                <w:szCs w:val="20"/>
              </w:rPr>
            </w:pPr>
            <w:r w:rsidRPr="001E05F5">
              <w:rPr>
                <w:sz w:val="20"/>
                <w:szCs w:val="20"/>
              </w:rPr>
              <w:t>Raising waste awareness and education campaigns</w:t>
            </w:r>
          </w:p>
          <w:p w14:paraId="055A1134" w14:textId="77777777" w:rsidR="00CF3EC7" w:rsidRPr="001E05F5" w:rsidRDefault="00CF3EC7" w:rsidP="009E5BB6">
            <w:pPr>
              <w:pStyle w:val="Default"/>
              <w:spacing w:before="60" w:after="60"/>
              <w:rPr>
                <w:sz w:val="20"/>
                <w:szCs w:val="20"/>
              </w:rPr>
            </w:pPr>
            <w:r w:rsidRPr="001E05F5">
              <w:rPr>
                <w:sz w:val="20"/>
                <w:szCs w:val="20"/>
              </w:rPr>
              <w:t>Home Composting / Digestion</w:t>
            </w:r>
          </w:p>
          <w:p w14:paraId="6B52BB8C" w14:textId="77777777" w:rsidR="00CF3EC7" w:rsidRPr="001E05F5" w:rsidRDefault="00CF3EC7" w:rsidP="009E5BB6">
            <w:pPr>
              <w:pStyle w:val="Default"/>
              <w:spacing w:before="60" w:after="60"/>
              <w:rPr>
                <w:sz w:val="20"/>
                <w:szCs w:val="20"/>
              </w:rPr>
            </w:pPr>
            <w:r w:rsidRPr="001E05F5">
              <w:rPr>
                <w:sz w:val="20"/>
                <w:szCs w:val="20"/>
              </w:rPr>
              <w:t>Bulk waste reuse and recycling</w:t>
            </w:r>
          </w:p>
          <w:p w14:paraId="5FF1EAE2" w14:textId="77777777" w:rsidR="00CF3EC7" w:rsidRPr="001E05F5" w:rsidRDefault="00CF3EC7" w:rsidP="009E5BB6">
            <w:pPr>
              <w:pStyle w:val="Default"/>
              <w:spacing w:before="60" w:after="60"/>
              <w:rPr>
                <w:sz w:val="20"/>
                <w:szCs w:val="20"/>
              </w:rPr>
            </w:pPr>
            <w:r w:rsidRPr="001E05F5">
              <w:rPr>
                <w:sz w:val="20"/>
                <w:szCs w:val="20"/>
              </w:rPr>
              <w:t>Reuse at HWRCs and increase recycling</w:t>
            </w:r>
          </w:p>
          <w:p w14:paraId="5ECCD836" w14:textId="77777777" w:rsidR="00CF3EC7" w:rsidRPr="001E05F5" w:rsidRDefault="00CF3EC7" w:rsidP="009E5BB6">
            <w:pPr>
              <w:pStyle w:val="Default"/>
              <w:spacing w:before="60" w:after="60"/>
              <w:rPr>
                <w:sz w:val="20"/>
                <w:szCs w:val="20"/>
              </w:rPr>
            </w:pPr>
            <w:r w:rsidRPr="001E05F5">
              <w:rPr>
                <w:sz w:val="20"/>
                <w:szCs w:val="20"/>
              </w:rPr>
              <w:t>Reducing contamination</w:t>
            </w:r>
          </w:p>
        </w:tc>
        <w:tc>
          <w:tcPr>
            <w:tcW w:w="1276" w:type="dxa"/>
            <w:vMerge w:val="restart"/>
            <w:tcBorders>
              <w:top w:val="nil"/>
              <w:bottom w:val="nil"/>
            </w:tcBorders>
            <w:tcMar>
              <w:left w:w="28" w:type="dxa"/>
              <w:right w:w="28" w:type="dxa"/>
            </w:tcMar>
            <w:vAlign w:val="center"/>
          </w:tcPr>
          <w:p w14:paraId="738F6FF9" w14:textId="77777777" w:rsidR="00CF3EC7" w:rsidRPr="001E05F5" w:rsidRDefault="00CF3EC7" w:rsidP="009E5BB6">
            <w:pPr>
              <w:pStyle w:val="Default"/>
              <w:spacing w:before="60" w:after="60"/>
              <w:jc w:val="center"/>
              <w:rPr>
                <w:rFonts w:eastAsia="Calibri"/>
                <w:sz w:val="20"/>
                <w:szCs w:val="20"/>
              </w:rPr>
            </w:pPr>
            <w:r w:rsidRPr="001E05F5">
              <w:rPr>
                <w:rFonts w:eastAsia="Calibri"/>
                <w:noProof/>
                <w:sz w:val="20"/>
                <w:szCs w:val="20"/>
              </w:rPr>
              <w:drawing>
                <wp:inline distT="0" distB="0" distL="0" distR="0" wp14:anchorId="3A266F20" wp14:editId="6F81FEFB">
                  <wp:extent cx="723900" cy="1494503"/>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r="21717"/>
                          <a:stretch>
                            <a:fillRect/>
                          </a:stretch>
                        </pic:blipFill>
                        <pic:spPr bwMode="auto">
                          <a:xfrm>
                            <a:off x="0" y="0"/>
                            <a:ext cx="723900" cy="1494503"/>
                          </a:xfrm>
                          <a:prstGeom prst="rect">
                            <a:avLst/>
                          </a:prstGeom>
                          <a:noFill/>
                        </pic:spPr>
                      </pic:pic>
                    </a:graphicData>
                  </a:graphic>
                </wp:inline>
              </w:drawing>
            </w:r>
          </w:p>
        </w:tc>
        <w:tc>
          <w:tcPr>
            <w:tcW w:w="2090" w:type="dxa"/>
            <w:vMerge w:val="restart"/>
            <w:shd w:val="clear" w:color="auto" w:fill="FBD4B4" w:themeFill="accent6" w:themeFillTint="66"/>
            <w:vAlign w:val="center"/>
          </w:tcPr>
          <w:p w14:paraId="60C793EC" w14:textId="77777777" w:rsidR="00CF3EC7" w:rsidRPr="001E05F5" w:rsidRDefault="00CF3EC7" w:rsidP="009E5BB6">
            <w:pPr>
              <w:pStyle w:val="Default"/>
              <w:spacing w:before="60" w:after="60"/>
              <w:rPr>
                <w:rFonts w:eastAsia="Calibri"/>
                <w:sz w:val="20"/>
                <w:szCs w:val="20"/>
              </w:rPr>
            </w:pPr>
            <w:r w:rsidRPr="001E05F5">
              <w:rPr>
                <w:rFonts w:eastAsia="Calibri"/>
                <w:sz w:val="20"/>
                <w:szCs w:val="20"/>
              </w:rPr>
              <w:t>High efficiency scenario</w:t>
            </w:r>
          </w:p>
        </w:tc>
        <w:tc>
          <w:tcPr>
            <w:tcW w:w="1454" w:type="dxa"/>
            <w:vMerge w:val="restart"/>
            <w:tcBorders>
              <w:top w:val="nil"/>
              <w:bottom w:val="nil"/>
            </w:tcBorders>
          </w:tcPr>
          <w:p w14:paraId="6382B74C" w14:textId="77777777" w:rsidR="00CF3EC7" w:rsidRPr="001E05F5" w:rsidRDefault="00CF3EC7" w:rsidP="009E5BB6">
            <w:pPr>
              <w:pStyle w:val="Default"/>
              <w:spacing w:before="60" w:after="60"/>
              <w:rPr>
                <w:rFonts w:eastAsia="Calibri"/>
                <w:sz w:val="20"/>
                <w:szCs w:val="20"/>
              </w:rPr>
            </w:pPr>
            <w:r w:rsidRPr="001E05F5">
              <w:rPr>
                <w:rFonts w:eastAsia="Calibri"/>
                <w:noProof/>
                <w:sz w:val="20"/>
                <w:szCs w:val="20"/>
              </w:rPr>
              <w:drawing>
                <wp:inline distT="0" distB="0" distL="0" distR="0" wp14:anchorId="691FD3A6" wp14:editId="050779E0">
                  <wp:extent cx="975360" cy="1798320"/>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75360" cy="1798320"/>
                          </a:xfrm>
                          <a:prstGeom prst="rect">
                            <a:avLst/>
                          </a:prstGeom>
                          <a:noFill/>
                        </pic:spPr>
                      </pic:pic>
                    </a:graphicData>
                  </a:graphic>
                </wp:inline>
              </w:drawing>
            </w:r>
          </w:p>
        </w:tc>
        <w:tc>
          <w:tcPr>
            <w:tcW w:w="3402" w:type="dxa"/>
            <w:shd w:val="clear" w:color="auto" w:fill="B8CCE4" w:themeFill="accent1" w:themeFillTint="66"/>
            <w:vAlign w:val="center"/>
          </w:tcPr>
          <w:p w14:paraId="28BED466" w14:textId="789948EB" w:rsidR="00CF3EC7" w:rsidRPr="001E05F5" w:rsidRDefault="00F716BC" w:rsidP="009E5BB6">
            <w:pPr>
              <w:pStyle w:val="Default"/>
              <w:spacing w:before="40" w:after="40"/>
              <w:rPr>
                <w:sz w:val="20"/>
                <w:szCs w:val="20"/>
              </w:rPr>
            </w:pPr>
            <w:r w:rsidRPr="001E05F5">
              <w:rPr>
                <w:rFonts w:eastAsia="Calibri"/>
                <w:sz w:val="20"/>
                <w:szCs w:val="20"/>
              </w:rPr>
              <w:t>C</w:t>
            </w:r>
            <w:r w:rsidR="00CF3EC7" w:rsidRPr="001E05F5">
              <w:rPr>
                <w:rFonts w:eastAsia="Calibri"/>
                <w:sz w:val="20"/>
                <w:szCs w:val="20"/>
              </w:rPr>
              <w:t>ontract extension (beyond 2025) for existing EfW contract</w:t>
            </w:r>
          </w:p>
        </w:tc>
      </w:tr>
      <w:tr w:rsidR="00CF3EC7" w:rsidRPr="001E05F5" w14:paraId="05F39F58" w14:textId="77777777" w:rsidTr="009E5BB6">
        <w:trPr>
          <w:trHeight w:val="731"/>
        </w:trPr>
        <w:tc>
          <w:tcPr>
            <w:tcW w:w="2321" w:type="dxa"/>
            <w:vMerge/>
            <w:shd w:val="clear" w:color="auto" w:fill="D9D9D9" w:themeFill="background1" w:themeFillShade="D9"/>
            <w:vAlign w:val="center"/>
          </w:tcPr>
          <w:p w14:paraId="2B258F63" w14:textId="77777777" w:rsidR="00CF3EC7" w:rsidRPr="001E05F5" w:rsidRDefault="00CF3EC7" w:rsidP="009E5BB6">
            <w:pPr>
              <w:pStyle w:val="Default"/>
              <w:spacing w:before="60" w:after="60"/>
              <w:rPr>
                <w:sz w:val="20"/>
                <w:szCs w:val="20"/>
              </w:rPr>
            </w:pPr>
          </w:p>
        </w:tc>
        <w:tc>
          <w:tcPr>
            <w:tcW w:w="3599" w:type="dxa"/>
            <w:vMerge/>
            <w:shd w:val="clear" w:color="auto" w:fill="D6E3BC" w:themeFill="accent3" w:themeFillTint="66"/>
            <w:vAlign w:val="center"/>
          </w:tcPr>
          <w:p w14:paraId="5AFA897A" w14:textId="77777777" w:rsidR="00CF3EC7" w:rsidRPr="001E05F5" w:rsidRDefault="00CF3EC7" w:rsidP="009E5BB6">
            <w:pPr>
              <w:pStyle w:val="Default"/>
              <w:spacing w:before="60" w:after="60"/>
              <w:rPr>
                <w:sz w:val="20"/>
                <w:szCs w:val="20"/>
              </w:rPr>
            </w:pPr>
          </w:p>
        </w:tc>
        <w:tc>
          <w:tcPr>
            <w:tcW w:w="1276" w:type="dxa"/>
            <w:vMerge/>
            <w:tcBorders>
              <w:top w:val="nil"/>
              <w:bottom w:val="nil"/>
            </w:tcBorders>
            <w:tcMar>
              <w:left w:w="28" w:type="dxa"/>
              <w:right w:w="28" w:type="dxa"/>
            </w:tcMar>
          </w:tcPr>
          <w:p w14:paraId="5878F638" w14:textId="77777777" w:rsidR="00CF3EC7" w:rsidRPr="001E05F5" w:rsidRDefault="00CF3EC7" w:rsidP="009E5BB6">
            <w:pPr>
              <w:pStyle w:val="Default"/>
              <w:spacing w:before="60" w:after="60"/>
              <w:rPr>
                <w:sz w:val="20"/>
                <w:szCs w:val="20"/>
              </w:rPr>
            </w:pPr>
          </w:p>
        </w:tc>
        <w:tc>
          <w:tcPr>
            <w:tcW w:w="2090" w:type="dxa"/>
            <w:vMerge/>
            <w:shd w:val="clear" w:color="auto" w:fill="FBD4B4" w:themeFill="accent6" w:themeFillTint="66"/>
            <w:vAlign w:val="center"/>
          </w:tcPr>
          <w:p w14:paraId="338AA793" w14:textId="77777777" w:rsidR="00CF3EC7" w:rsidRPr="001E05F5" w:rsidRDefault="00CF3EC7" w:rsidP="009E5BB6">
            <w:pPr>
              <w:pStyle w:val="Default"/>
              <w:spacing w:before="60" w:after="60"/>
              <w:rPr>
                <w:sz w:val="20"/>
                <w:szCs w:val="20"/>
              </w:rPr>
            </w:pPr>
          </w:p>
        </w:tc>
        <w:tc>
          <w:tcPr>
            <w:tcW w:w="1454" w:type="dxa"/>
            <w:vMerge/>
            <w:tcBorders>
              <w:top w:val="nil"/>
              <w:bottom w:val="nil"/>
            </w:tcBorders>
          </w:tcPr>
          <w:p w14:paraId="694B7516" w14:textId="77777777" w:rsidR="00CF3EC7" w:rsidRPr="001E05F5" w:rsidRDefault="00CF3EC7" w:rsidP="009E5BB6">
            <w:pPr>
              <w:pStyle w:val="Default"/>
              <w:spacing w:before="60" w:after="60"/>
              <w:rPr>
                <w:sz w:val="20"/>
                <w:szCs w:val="20"/>
              </w:rPr>
            </w:pPr>
          </w:p>
        </w:tc>
        <w:tc>
          <w:tcPr>
            <w:tcW w:w="3402" w:type="dxa"/>
            <w:shd w:val="clear" w:color="auto" w:fill="B8CCE4" w:themeFill="accent1" w:themeFillTint="66"/>
            <w:vAlign w:val="center"/>
          </w:tcPr>
          <w:p w14:paraId="0ED7C029" w14:textId="77777777" w:rsidR="00CF3EC7" w:rsidRPr="001E05F5" w:rsidRDefault="00CF3EC7" w:rsidP="009E5BB6">
            <w:pPr>
              <w:pStyle w:val="Default"/>
              <w:spacing w:before="40" w:after="40"/>
              <w:rPr>
                <w:sz w:val="20"/>
                <w:szCs w:val="20"/>
              </w:rPr>
            </w:pPr>
            <w:r w:rsidRPr="001E05F5">
              <w:rPr>
                <w:sz w:val="20"/>
                <w:szCs w:val="20"/>
              </w:rPr>
              <w:t>New build energy recovery facility</w:t>
            </w:r>
          </w:p>
        </w:tc>
      </w:tr>
      <w:tr w:rsidR="00CF3EC7" w:rsidRPr="001E05F5" w14:paraId="2CF738E1" w14:textId="77777777" w:rsidTr="009E5BB6">
        <w:trPr>
          <w:trHeight w:val="730"/>
        </w:trPr>
        <w:tc>
          <w:tcPr>
            <w:tcW w:w="2321" w:type="dxa"/>
            <w:vMerge/>
            <w:shd w:val="clear" w:color="auto" w:fill="D9D9D9" w:themeFill="background1" w:themeFillShade="D9"/>
            <w:vAlign w:val="center"/>
          </w:tcPr>
          <w:p w14:paraId="6E349A27" w14:textId="77777777" w:rsidR="00CF3EC7" w:rsidRPr="001E05F5" w:rsidRDefault="00CF3EC7" w:rsidP="009E5BB6">
            <w:pPr>
              <w:pStyle w:val="Default"/>
              <w:spacing w:before="60" w:after="60"/>
              <w:rPr>
                <w:sz w:val="20"/>
                <w:szCs w:val="20"/>
              </w:rPr>
            </w:pPr>
          </w:p>
        </w:tc>
        <w:tc>
          <w:tcPr>
            <w:tcW w:w="3599" w:type="dxa"/>
            <w:vMerge/>
            <w:shd w:val="clear" w:color="auto" w:fill="D6E3BC" w:themeFill="accent3" w:themeFillTint="66"/>
            <w:vAlign w:val="center"/>
          </w:tcPr>
          <w:p w14:paraId="730ACA4B" w14:textId="77777777" w:rsidR="00CF3EC7" w:rsidRPr="001E05F5" w:rsidRDefault="00CF3EC7" w:rsidP="009E5BB6">
            <w:pPr>
              <w:pStyle w:val="Default"/>
              <w:spacing w:before="60" w:after="60"/>
              <w:rPr>
                <w:sz w:val="20"/>
                <w:szCs w:val="20"/>
              </w:rPr>
            </w:pPr>
          </w:p>
        </w:tc>
        <w:tc>
          <w:tcPr>
            <w:tcW w:w="1276" w:type="dxa"/>
            <w:vMerge/>
            <w:tcBorders>
              <w:top w:val="nil"/>
              <w:bottom w:val="nil"/>
            </w:tcBorders>
            <w:tcMar>
              <w:left w:w="28" w:type="dxa"/>
              <w:right w:w="28" w:type="dxa"/>
            </w:tcMar>
          </w:tcPr>
          <w:p w14:paraId="7FFF9076" w14:textId="77777777" w:rsidR="00CF3EC7" w:rsidRPr="001E05F5" w:rsidRDefault="00CF3EC7" w:rsidP="009E5BB6">
            <w:pPr>
              <w:pStyle w:val="Default"/>
              <w:spacing w:before="60" w:after="60"/>
              <w:rPr>
                <w:rFonts w:eastAsia="Calibri"/>
                <w:sz w:val="20"/>
                <w:szCs w:val="20"/>
              </w:rPr>
            </w:pPr>
          </w:p>
        </w:tc>
        <w:tc>
          <w:tcPr>
            <w:tcW w:w="2090" w:type="dxa"/>
            <w:vMerge w:val="restart"/>
            <w:shd w:val="clear" w:color="auto" w:fill="FBD4B4" w:themeFill="accent6" w:themeFillTint="66"/>
            <w:vAlign w:val="center"/>
          </w:tcPr>
          <w:p w14:paraId="0A55EA65" w14:textId="77777777" w:rsidR="00CF3EC7" w:rsidRPr="001E05F5" w:rsidRDefault="00CF3EC7" w:rsidP="009E5BB6">
            <w:pPr>
              <w:pStyle w:val="Default"/>
              <w:spacing w:before="60" w:after="60"/>
              <w:rPr>
                <w:rFonts w:eastAsia="Calibri"/>
                <w:sz w:val="20"/>
                <w:szCs w:val="20"/>
              </w:rPr>
            </w:pPr>
            <w:r w:rsidRPr="001E05F5">
              <w:rPr>
                <w:rFonts w:eastAsia="Calibri"/>
                <w:sz w:val="20"/>
                <w:szCs w:val="20"/>
              </w:rPr>
              <w:t>High recycling performance scenario</w:t>
            </w:r>
          </w:p>
        </w:tc>
        <w:tc>
          <w:tcPr>
            <w:tcW w:w="1454" w:type="dxa"/>
            <w:vMerge/>
            <w:tcBorders>
              <w:top w:val="nil"/>
              <w:bottom w:val="nil"/>
            </w:tcBorders>
          </w:tcPr>
          <w:p w14:paraId="1D0DCAFB" w14:textId="77777777" w:rsidR="00CF3EC7" w:rsidRPr="001E05F5" w:rsidRDefault="00CF3EC7" w:rsidP="009E5BB6">
            <w:pPr>
              <w:pStyle w:val="Default"/>
              <w:spacing w:before="60" w:after="60"/>
              <w:rPr>
                <w:sz w:val="20"/>
                <w:szCs w:val="20"/>
              </w:rPr>
            </w:pPr>
          </w:p>
        </w:tc>
        <w:tc>
          <w:tcPr>
            <w:tcW w:w="3402" w:type="dxa"/>
            <w:shd w:val="clear" w:color="auto" w:fill="B8CCE4" w:themeFill="accent1" w:themeFillTint="66"/>
            <w:vAlign w:val="center"/>
          </w:tcPr>
          <w:p w14:paraId="3530D20E" w14:textId="77777777" w:rsidR="00CF3EC7" w:rsidRPr="001E05F5" w:rsidRDefault="00CF3EC7" w:rsidP="009E5BB6">
            <w:pPr>
              <w:pStyle w:val="Default"/>
              <w:spacing w:before="40" w:after="40"/>
              <w:rPr>
                <w:sz w:val="20"/>
                <w:szCs w:val="20"/>
              </w:rPr>
            </w:pPr>
            <w:r w:rsidRPr="001E05F5">
              <w:rPr>
                <w:sz w:val="20"/>
                <w:szCs w:val="20"/>
              </w:rPr>
              <w:t xml:space="preserve">New build </w:t>
            </w:r>
            <w:proofErr w:type="gramStart"/>
            <w:r w:rsidRPr="001E05F5">
              <w:rPr>
                <w:sz w:val="20"/>
                <w:szCs w:val="20"/>
              </w:rPr>
              <w:t>refuse</w:t>
            </w:r>
            <w:proofErr w:type="gramEnd"/>
            <w:r w:rsidRPr="001E05F5">
              <w:rPr>
                <w:sz w:val="20"/>
                <w:szCs w:val="20"/>
              </w:rPr>
              <w:t xml:space="preserve"> derived fuel facility (RDF)</w:t>
            </w:r>
          </w:p>
        </w:tc>
      </w:tr>
      <w:tr w:rsidR="00CF3EC7" w:rsidRPr="001E05F5" w14:paraId="6115E04B" w14:textId="77777777" w:rsidTr="009E5BB6">
        <w:trPr>
          <w:trHeight w:val="731"/>
        </w:trPr>
        <w:tc>
          <w:tcPr>
            <w:tcW w:w="2321" w:type="dxa"/>
            <w:vMerge/>
            <w:shd w:val="clear" w:color="auto" w:fill="D9D9D9" w:themeFill="background1" w:themeFillShade="D9"/>
            <w:vAlign w:val="center"/>
          </w:tcPr>
          <w:p w14:paraId="234DE8C1" w14:textId="77777777" w:rsidR="00CF3EC7" w:rsidRPr="001E05F5" w:rsidRDefault="00CF3EC7" w:rsidP="009E5BB6">
            <w:pPr>
              <w:pStyle w:val="Default"/>
              <w:spacing w:before="60" w:after="60"/>
              <w:rPr>
                <w:sz w:val="20"/>
                <w:szCs w:val="20"/>
              </w:rPr>
            </w:pPr>
          </w:p>
        </w:tc>
        <w:tc>
          <w:tcPr>
            <w:tcW w:w="3599" w:type="dxa"/>
            <w:vMerge/>
            <w:shd w:val="clear" w:color="auto" w:fill="D6E3BC" w:themeFill="accent3" w:themeFillTint="66"/>
            <w:vAlign w:val="center"/>
          </w:tcPr>
          <w:p w14:paraId="7EE705DB" w14:textId="77777777" w:rsidR="00CF3EC7" w:rsidRPr="001E05F5" w:rsidRDefault="00CF3EC7" w:rsidP="009E5BB6">
            <w:pPr>
              <w:pStyle w:val="Default"/>
              <w:spacing w:before="60" w:after="60"/>
              <w:rPr>
                <w:sz w:val="20"/>
                <w:szCs w:val="20"/>
              </w:rPr>
            </w:pPr>
          </w:p>
        </w:tc>
        <w:tc>
          <w:tcPr>
            <w:tcW w:w="1276" w:type="dxa"/>
            <w:vMerge/>
            <w:tcBorders>
              <w:top w:val="nil"/>
              <w:bottom w:val="nil"/>
            </w:tcBorders>
            <w:tcMar>
              <w:left w:w="28" w:type="dxa"/>
              <w:right w:w="28" w:type="dxa"/>
            </w:tcMar>
          </w:tcPr>
          <w:p w14:paraId="7FD8A947" w14:textId="77777777" w:rsidR="00CF3EC7" w:rsidRPr="001E05F5" w:rsidRDefault="00CF3EC7" w:rsidP="009E5BB6">
            <w:pPr>
              <w:pStyle w:val="Default"/>
              <w:spacing w:before="60" w:after="60"/>
              <w:rPr>
                <w:sz w:val="20"/>
                <w:szCs w:val="20"/>
              </w:rPr>
            </w:pPr>
          </w:p>
        </w:tc>
        <w:tc>
          <w:tcPr>
            <w:tcW w:w="2090" w:type="dxa"/>
            <w:vMerge/>
            <w:shd w:val="clear" w:color="auto" w:fill="FBD4B4" w:themeFill="accent6" w:themeFillTint="66"/>
            <w:vAlign w:val="center"/>
          </w:tcPr>
          <w:p w14:paraId="35E2F969" w14:textId="77777777" w:rsidR="00CF3EC7" w:rsidRPr="001E05F5" w:rsidRDefault="00CF3EC7" w:rsidP="009E5BB6">
            <w:pPr>
              <w:pStyle w:val="Default"/>
              <w:spacing w:before="60" w:after="60"/>
              <w:rPr>
                <w:sz w:val="20"/>
                <w:szCs w:val="20"/>
              </w:rPr>
            </w:pPr>
          </w:p>
        </w:tc>
        <w:tc>
          <w:tcPr>
            <w:tcW w:w="1454" w:type="dxa"/>
            <w:vMerge/>
            <w:tcBorders>
              <w:top w:val="nil"/>
              <w:bottom w:val="nil"/>
            </w:tcBorders>
          </w:tcPr>
          <w:p w14:paraId="5F870B48" w14:textId="77777777" w:rsidR="00CF3EC7" w:rsidRPr="001E05F5" w:rsidRDefault="00CF3EC7" w:rsidP="009E5BB6">
            <w:pPr>
              <w:pStyle w:val="Default"/>
              <w:spacing w:before="60" w:after="60"/>
              <w:rPr>
                <w:rFonts w:eastAsia="Calibri"/>
                <w:sz w:val="20"/>
                <w:szCs w:val="20"/>
              </w:rPr>
            </w:pPr>
          </w:p>
        </w:tc>
        <w:tc>
          <w:tcPr>
            <w:tcW w:w="3402" w:type="dxa"/>
            <w:shd w:val="clear" w:color="auto" w:fill="B8CCE4" w:themeFill="accent1" w:themeFillTint="66"/>
            <w:vAlign w:val="center"/>
          </w:tcPr>
          <w:p w14:paraId="5AC8B6B3" w14:textId="77777777" w:rsidR="00CF3EC7" w:rsidRPr="001E05F5" w:rsidRDefault="00CF3EC7" w:rsidP="009E5BB6">
            <w:pPr>
              <w:pStyle w:val="Default"/>
              <w:spacing w:before="40" w:after="40"/>
              <w:rPr>
                <w:sz w:val="20"/>
                <w:szCs w:val="20"/>
              </w:rPr>
            </w:pPr>
            <w:r w:rsidRPr="001E05F5">
              <w:rPr>
                <w:rFonts w:eastAsia="Calibri"/>
                <w:sz w:val="20"/>
                <w:szCs w:val="20"/>
              </w:rPr>
              <w:t>Utilise third party energy recovery facility capacity</w:t>
            </w:r>
          </w:p>
        </w:tc>
      </w:tr>
    </w:tbl>
    <w:p w14:paraId="1F4A9356" w14:textId="77777777" w:rsidR="00977E4F" w:rsidRPr="001E05F5" w:rsidRDefault="00977E4F" w:rsidP="00977E4F"/>
    <w:p w14:paraId="0B0307E9" w14:textId="77777777" w:rsidR="00977E4F" w:rsidRPr="001E05F5" w:rsidRDefault="00977E4F" w:rsidP="00CF3EC7">
      <w:pPr>
        <w:spacing w:after="0"/>
        <w:sectPr w:rsidR="00977E4F" w:rsidRPr="001E05F5" w:rsidSect="00CF3EC7">
          <w:pgSz w:w="16838" w:h="11906" w:orient="landscape"/>
          <w:pgMar w:top="1134" w:right="1418" w:bottom="1021" w:left="1418" w:header="709" w:footer="709" w:gutter="0"/>
          <w:cols w:space="708"/>
          <w:docGrid w:linePitch="360"/>
        </w:sectPr>
      </w:pPr>
    </w:p>
    <w:p w14:paraId="0E533BEE" w14:textId="77777777" w:rsidR="002608D7" w:rsidRPr="001E05F5" w:rsidRDefault="002608D7" w:rsidP="002608D7">
      <w:pPr>
        <w:pStyle w:val="Heading2"/>
      </w:pPr>
      <w:bookmarkStart w:id="13" w:name="_Toc521426501"/>
      <w:r w:rsidRPr="001E05F5">
        <w:lastRenderedPageBreak/>
        <w:t>Key Assumptions</w:t>
      </w:r>
      <w:bookmarkEnd w:id="13"/>
    </w:p>
    <w:p w14:paraId="2A2EDB79" w14:textId="39EDCFAD" w:rsidR="002608D7" w:rsidRPr="001E05F5" w:rsidRDefault="002D1EAD" w:rsidP="002608D7">
      <w:pPr>
        <w:spacing w:line="240" w:lineRule="auto"/>
        <w:rPr>
          <w:rFonts w:cs="Arial"/>
          <w:szCs w:val="20"/>
        </w:rPr>
      </w:pPr>
      <w:r w:rsidRPr="001E05F5">
        <w:rPr>
          <w:rFonts w:cs="Arial"/>
          <w:szCs w:val="20"/>
        </w:rPr>
        <w:t xml:space="preserve">As part of </w:t>
      </w:r>
      <w:r w:rsidR="002608D7" w:rsidRPr="001E05F5">
        <w:rPr>
          <w:rFonts w:cs="Arial"/>
          <w:szCs w:val="20"/>
        </w:rPr>
        <w:t xml:space="preserve">the options appraisal process assumptions </w:t>
      </w:r>
      <w:r w:rsidRPr="001E05F5">
        <w:rPr>
          <w:rFonts w:cs="Arial"/>
          <w:szCs w:val="20"/>
        </w:rPr>
        <w:t>were</w:t>
      </w:r>
      <w:r w:rsidR="002608D7" w:rsidRPr="001E05F5">
        <w:rPr>
          <w:rFonts w:cs="Arial"/>
          <w:szCs w:val="20"/>
        </w:rPr>
        <w:t xml:space="preserve"> </w:t>
      </w:r>
      <w:r w:rsidR="001E136D" w:rsidRPr="001E05F5">
        <w:rPr>
          <w:rFonts w:cs="Arial"/>
          <w:szCs w:val="20"/>
        </w:rPr>
        <w:t xml:space="preserve">made </w:t>
      </w:r>
      <w:r w:rsidR="002608D7" w:rsidRPr="001E05F5">
        <w:rPr>
          <w:rFonts w:cs="Arial"/>
          <w:szCs w:val="20"/>
        </w:rPr>
        <w:t xml:space="preserve">around potential performance and costs.  The key assumptions relate to: </w:t>
      </w:r>
    </w:p>
    <w:p w14:paraId="62A68BC5" w14:textId="4489E0A6" w:rsidR="002608D7" w:rsidRPr="001E05F5" w:rsidRDefault="002608D7" w:rsidP="00D17D3B">
      <w:pPr>
        <w:pStyle w:val="ListParagraph"/>
        <w:numPr>
          <w:ilvl w:val="0"/>
          <w:numId w:val="14"/>
        </w:numPr>
        <w:spacing w:after="120" w:line="240" w:lineRule="auto"/>
        <w:ind w:left="714" w:hanging="357"/>
        <w:rPr>
          <w:szCs w:val="20"/>
        </w:rPr>
      </w:pPr>
      <w:r w:rsidRPr="001E05F5">
        <w:rPr>
          <w:szCs w:val="20"/>
        </w:rPr>
        <w:t>Waste forecasts</w:t>
      </w:r>
      <w:r w:rsidR="002D1EAD" w:rsidRPr="001E05F5">
        <w:rPr>
          <w:szCs w:val="20"/>
        </w:rPr>
        <w:t xml:space="preserve"> in future years</w:t>
      </w:r>
      <w:r w:rsidRPr="001E05F5">
        <w:rPr>
          <w:szCs w:val="20"/>
        </w:rPr>
        <w:t xml:space="preserve">.  </w:t>
      </w:r>
    </w:p>
    <w:p w14:paraId="2A4CE41A" w14:textId="26EDBF14" w:rsidR="002608D7" w:rsidRPr="001E05F5" w:rsidRDefault="002D1EAD" w:rsidP="00D17D3B">
      <w:pPr>
        <w:pStyle w:val="ListParagraph"/>
        <w:numPr>
          <w:ilvl w:val="0"/>
          <w:numId w:val="14"/>
        </w:numPr>
        <w:spacing w:after="120" w:line="240" w:lineRule="auto"/>
        <w:ind w:left="714" w:hanging="357"/>
        <w:rPr>
          <w:szCs w:val="20"/>
        </w:rPr>
      </w:pPr>
      <w:r w:rsidRPr="001E05F5">
        <w:rPr>
          <w:szCs w:val="20"/>
        </w:rPr>
        <w:t>The p</w:t>
      </w:r>
      <w:r w:rsidR="002608D7" w:rsidRPr="001E05F5">
        <w:rPr>
          <w:szCs w:val="20"/>
        </w:rPr>
        <w:t>erformance of prevention, reuse and recycling initiative</w:t>
      </w:r>
      <w:r w:rsidRPr="001E05F5">
        <w:rPr>
          <w:szCs w:val="20"/>
        </w:rPr>
        <w:t>s (</w:t>
      </w:r>
      <w:r w:rsidR="002608D7" w:rsidRPr="001E05F5">
        <w:rPr>
          <w:szCs w:val="20"/>
        </w:rPr>
        <w:t xml:space="preserve">based on </w:t>
      </w:r>
      <w:r w:rsidRPr="001E05F5">
        <w:rPr>
          <w:szCs w:val="20"/>
        </w:rPr>
        <w:t xml:space="preserve">the impact on </w:t>
      </w:r>
      <w:r w:rsidR="002608D7" w:rsidRPr="001E05F5">
        <w:rPr>
          <w:szCs w:val="20"/>
        </w:rPr>
        <w:t xml:space="preserve">current systems and </w:t>
      </w:r>
      <w:r w:rsidRPr="001E05F5">
        <w:rPr>
          <w:szCs w:val="20"/>
        </w:rPr>
        <w:t xml:space="preserve">publicly </w:t>
      </w:r>
      <w:r w:rsidR="002608D7" w:rsidRPr="001E05F5">
        <w:rPr>
          <w:szCs w:val="20"/>
        </w:rPr>
        <w:t>available information</w:t>
      </w:r>
      <w:r w:rsidRPr="001E05F5">
        <w:rPr>
          <w:szCs w:val="20"/>
        </w:rPr>
        <w:t>)</w:t>
      </w:r>
    </w:p>
    <w:p w14:paraId="62D7839F" w14:textId="5FA2E167" w:rsidR="002608D7" w:rsidRPr="001E05F5" w:rsidRDefault="002D1EAD" w:rsidP="00F716BC">
      <w:pPr>
        <w:pStyle w:val="ListParagraph"/>
        <w:numPr>
          <w:ilvl w:val="0"/>
          <w:numId w:val="14"/>
        </w:numPr>
        <w:spacing w:line="240" w:lineRule="auto"/>
        <w:rPr>
          <w:szCs w:val="20"/>
        </w:rPr>
      </w:pPr>
      <w:r w:rsidRPr="001E05F5">
        <w:rPr>
          <w:szCs w:val="20"/>
        </w:rPr>
        <w:t>Alternative c</w:t>
      </w:r>
      <w:r w:rsidR="002608D7" w:rsidRPr="001E05F5">
        <w:rPr>
          <w:szCs w:val="20"/>
        </w:rPr>
        <w:t>ollection scheme performance and costs –</w:t>
      </w:r>
      <w:r w:rsidRPr="001E05F5">
        <w:rPr>
          <w:szCs w:val="20"/>
        </w:rPr>
        <w:t xml:space="preserve"> </w:t>
      </w:r>
      <w:r w:rsidR="00FC2823" w:rsidRPr="001E05F5">
        <w:rPr>
          <w:szCs w:val="20"/>
        </w:rPr>
        <w:t xml:space="preserve">based on a set of </w:t>
      </w:r>
      <w:r w:rsidR="002608D7" w:rsidRPr="001E05F5">
        <w:rPr>
          <w:szCs w:val="20"/>
        </w:rPr>
        <w:t xml:space="preserve">agreed </w:t>
      </w:r>
      <w:r w:rsidR="00FC2823" w:rsidRPr="001E05F5">
        <w:rPr>
          <w:szCs w:val="20"/>
        </w:rPr>
        <w:t xml:space="preserve">assumptions </w:t>
      </w:r>
      <w:r w:rsidR="00946317" w:rsidRPr="001E05F5">
        <w:rPr>
          <w:szCs w:val="20"/>
        </w:rPr>
        <w:t xml:space="preserve">applied </w:t>
      </w:r>
      <w:r w:rsidR="002608D7" w:rsidRPr="001E05F5">
        <w:rPr>
          <w:szCs w:val="20"/>
        </w:rPr>
        <w:t xml:space="preserve">in </w:t>
      </w:r>
      <w:r w:rsidR="00FC2823" w:rsidRPr="001E05F5">
        <w:rPr>
          <w:szCs w:val="20"/>
        </w:rPr>
        <w:t xml:space="preserve">WRAP’s </w:t>
      </w:r>
      <w:r w:rsidR="002608D7" w:rsidRPr="001E05F5">
        <w:rPr>
          <w:szCs w:val="20"/>
        </w:rPr>
        <w:t>KAT mode</w:t>
      </w:r>
      <w:r w:rsidR="00946317" w:rsidRPr="001E05F5">
        <w:rPr>
          <w:szCs w:val="20"/>
        </w:rPr>
        <w:t>l</w:t>
      </w:r>
      <w:r w:rsidR="00C21524" w:rsidRPr="001E05F5">
        <w:rPr>
          <w:szCs w:val="20"/>
        </w:rPr>
        <w:t xml:space="preserve"> for the h</w:t>
      </w:r>
      <w:r w:rsidRPr="001E05F5">
        <w:rPr>
          <w:szCs w:val="20"/>
        </w:rPr>
        <w:t xml:space="preserve">igh efficiency </w:t>
      </w:r>
      <w:r w:rsidR="00C21524" w:rsidRPr="001E05F5">
        <w:rPr>
          <w:szCs w:val="20"/>
        </w:rPr>
        <w:t>and h</w:t>
      </w:r>
      <w:r w:rsidRPr="001E05F5">
        <w:rPr>
          <w:szCs w:val="20"/>
        </w:rPr>
        <w:t>igh recycling performance scenario</w:t>
      </w:r>
      <w:r w:rsidR="00C21524" w:rsidRPr="001E05F5">
        <w:rPr>
          <w:szCs w:val="20"/>
        </w:rPr>
        <w:t xml:space="preserve"> as described in Section 4.0 above</w:t>
      </w:r>
    </w:p>
    <w:p w14:paraId="00E1643A" w14:textId="462635BC" w:rsidR="002608D7" w:rsidRPr="001E05F5" w:rsidRDefault="002608D7" w:rsidP="00D17D3B">
      <w:pPr>
        <w:pStyle w:val="ListParagraph"/>
        <w:numPr>
          <w:ilvl w:val="0"/>
          <w:numId w:val="14"/>
        </w:numPr>
        <w:spacing w:after="120" w:line="240" w:lineRule="auto"/>
        <w:contextualSpacing/>
        <w:rPr>
          <w:szCs w:val="20"/>
        </w:rPr>
      </w:pPr>
      <w:r w:rsidRPr="001E05F5">
        <w:rPr>
          <w:szCs w:val="20"/>
        </w:rPr>
        <w:t xml:space="preserve">Waste treatment options performance and costs – based on existing </w:t>
      </w:r>
      <w:r w:rsidR="001E136D" w:rsidRPr="001E05F5">
        <w:rPr>
          <w:szCs w:val="20"/>
        </w:rPr>
        <w:t>publicly available information</w:t>
      </w:r>
      <w:r w:rsidRPr="001E05F5">
        <w:rPr>
          <w:szCs w:val="20"/>
        </w:rPr>
        <w:t>.</w:t>
      </w:r>
    </w:p>
    <w:p w14:paraId="34CCBD1C" w14:textId="04423FA0" w:rsidR="00AF2D16" w:rsidRPr="001E05F5" w:rsidRDefault="00AF2D16" w:rsidP="00E762A9">
      <w:pPr>
        <w:spacing w:line="240" w:lineRule="auto"/>
        <w:contextualSpacing/>
        <w:rPr>
          <w:szCs w:val="20"/>
        </w:rPr>
      </w:pPr>
      <w:r w:rsidRPr="001E05F5">
        <w:rPr>
          <w:szCs w:val="20"/>
        </w:rPr>
        <w:t>Details are provided below.</w:t>
      </w:r>
    </w:p>
    <w:p w14:paraId="61CEA30A" w14:textId="77777777" w:rsidR="00977E4F" w:rsidRPr="001E05F5" w:rsidRDefault="00FC2823" w:rsidP="00FC2823">
      <w:pPr>
        <w:pStyle w:val="Heading3"/>
        <w:tabs>
          <w:tab w:val="clear" w:pos="282"/>
          <w:tab w:val="num" w:pos="567"/>
        </w:tabs>
        <w:ind w:left="567" w:hanging="567"/>
      </w:pPr>
      <w:r w:rsidRPr="001E05F5">
        <w:t>Waste forecasts</w:t>
      </w:r>
    </w:p>
    <w:p w14:paraId="4F51A9A6" w14:textId="5AC37A75" w:rsidR="00977E4F" w:rsidRPr="001E05F5" w:rsidRDefault="004F09B3" w:rsidP="00977E4F">
      <w:r w:rsidRPr="001E05F5">
        <w:t>National Planning Practice Guidance on waste (NPPG: Waste) provides information in support of the implementation of waste planning policy.  It includes guidance on how waste planning authorities should forecast municipal waste arisings</w:t>
      </w:r>
      <w:r w:rsidR="00946317" w:rsidRPr="001E05F5">
        <w:t xml:space="preserve"> and</w:t>
      </w:r>
      <w:r w:rsidRPr="001E05F5">
        <w:t xml:space="preserve"> preparing </w:t>
      </w:r>
      <w:r w:rsidR="00C21524" w:rsidRPr="001E05F5">
        <w:t xml:space="preserve">waste </w:t>
      </w:r>
      <w:r w:rsidRPr="001E05F5">
        <w:t xml:space="preserve">growth profiles.  The NPPG: Waste methodology was used to prepare a range of growth profiles </w:t>
      </w:r>
      <w:r w:rsidR="00C21524" w:rsidRPr="001E05F5">
        <w:t>t</w:t>
      </w:r>
      <w:r w:rsidRPr="001E05F5">
        <w:t xml:space="preserve">o estimates future arisings, the detailed </w:t>
      </w:r>
      <w:r w:rsidR="00CD7AA9" w:rsidRPr="001E05F5">
        <w:t xml:space="preserve">analysis </w:t>
      </w:r>
      <w:r w:rsidR="00C21524" w:rsidRPr="001E05F5">
        <w:t xml:space="preserve">is </w:t>
      </w:r>
      <w:r w:rsidR="00CD7AA9" w:rsidRPr="001E05F5">
        <w:t xml:space="preserve">provided in Appendix </w:t>
      </w:r>
      <w:r w:rsidR="009E5BB6" w:rsidRPr="001E05F5">
        <w:t>A</w:t>
      </w:r>
      <w:r w:rsidR="00CD7AA9" w:rsidRPr="001E05F5">
        <w:t>.</w:t>
      </w:r>
    </w:p>
    <w:p w14:paraId="0AE623A5" w14:textId="4F4858DF" w:rsidR="00FC2823" w:rsidRPr="001E05F5" w:rsidRDefault="00CD7AA9" w:rsidP="00977E4F">
      <w:r w:rsidRPr="001E05F5">
        <w:t>The analysis result</w:t>
      </w:r>
      <w:r w:rsidR="00111CDE" w:rsidRPr="001E05F5">
        <w:t>ed</w:t>
      </w:r>
      <w:r w:rsidRPr="001E05F5">
        <w:t xml:space="preserve"> in five waste growth scenarios, which are summarised in Table 4.2, with the resulting tonnage forecasts based on MHCLG</w:t>
      </w:r>
      <w:r w:rsidRPr="001E05F5">
        <w:rPr>
          <w:rStyle w:val="FootnoteReference"/>
        </w:rPr>
        <w:footnoteReference w:id="3"/>
      </w:r>
      <w:r w:rsidRPr="001E05F5">
        <w:t xml:space="preserve"> housing forecast provided in Table 4.3 and Figure 4.2</w:t>
      </w:r>
      <w:r w:rsidR="00C21524" w:rsidRPr="001E05F5">
        <w:t xml:space="preserve">. </w:t>
      </w:r>
    </w:p>
    <w:p w14:paraId="39F2185B" w14:textId="77777777" w:rsidR="00CD7AA9" w:rsidRPr="001E05F5" w:rsidRDefault="00CD7AA9" w:rsidP="00F716BC">
      <w:pPr>
        <w:spacing w:after="100"/>
        <w:rPr>
          <w:b/>
        </w:rPr>
      </w:pPr>
      <w:r w:rsidRPr="001E05F5">
        <w:rPr>
          <w:b/>
        </w:rPr>
        <w:t>Table 4.2: Waste Growth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6"/>
        <w:gridCol w:w="4753"/>
        <w:gridCol w:w="3251"/>
      </w:tblGrid>
      <w:tr w:rsidR="00CD7AA9" w:rsidRPr="001E05F5" w14:paraId="7B63A4A5" w14:textId="77777777" w:rsidTr="00E536C8">
        <w:trPr>
          <w:trHeight w:val="270"/>
          <w:tblHeader/>
        </w:trPr>
        <w:tc>
          <w:tcPr>
            <w:tcW w:w="573" w:type="pct"/>
            <w:shd w:val="clear" w:color="auto" w:fill="D9D9D9"/>
            <w:vAlign w:val="center"/>
            <w:hideMark/>
          </w:tcPr>
          <w:p w14:paraId="179D235E" w14:textId="77777777" w:rsidR="00CD7AA9" w:rsidRPr="001E05F5" w:rsidRDefault="00CD7AA9" w:rsidP="00CD7AA9">
            <w:pPr>
              <w:pStyle w:val="TableHeading"/>
              <w:jc w:val="left"/>
              <w:rPr>
                <w:sz w:val="18"/>
              </w:rPr>
            </w:pPr>
            <w:r w:rsidRPr="001E05F5">
              <w:rPr>
                <w:sz w:val="18"/>
              </w:rPr>
              <w:t>Scenario</w:t>
            </w:r>
          </w:p>
        </w:tc>
        <w:tc>
          <w:tcPr>
            <w:tcW w:w="2629" w:type="pct"/>
            <w:shd w:val="clear" w:color="auto" w:fill="D9D9D9"/>
            <w:vAlign w:val="center"/>
            <w:hideMark/>
          </w:tcPr>
          <w:p w14:paraId="02628B7E" w14:textId="77777777" w:rsidR="00CD7AA9" w:rsidRPr="001E05F5" w:rsidRDefault="00CD7AA9" w:rsidP="00CD7AA9">
            <w:pPr>
              <w:pStyle w:val="TableHeading"/>
              <w:jc w:val="left"/>
              <w:rPr>
                <w:sz w:val="18"/>
              </w:rPr>
            </w:pPr>
            <w:r w:rsidRPr="001E05F5">
              <w:rPr>
                <w:sz w:val="18"/>
              </w:rPr>
              <w:t>Household waste per household assumptions</w:t>
            </w:r>
          </w:p>
        </w:tc>
        <w:tc>
          <w:tcPr>
            <w:tcW w:w="1798" w:type="pct"/>
            <w:shd w:val="clear" w:color="auto" w:fill="D9D9D9"/>
          </w:tcPr>
          <w:p w14:paraId="198E190C" w14:textId="77777777" w:rsidR="00CD7AA9" w:rsidRPr="001E05F5" w:rsidRDefault="00CD7AA9" w:rsidP="00CD7AA9">
            <w:pPr>
              <w:pStyle w:val="TableHeading"/>
              <w:jc w:val="left"/>
              <w:rPr>
                <w:sz w:val="18"/>
              </w:rPr>
            </w:pPr>
            <w:r w:rsidRPr="001E05F5">
              <w:rPr>
                <w:sz w:val="18"/>
              </w:rPr>
              <w:t>Non-household waste assumptions</w:t>
            </w:r>
          </w:p>
        </w:tc>
      </w:tr>
      <w:tr w:rsidR="00CD7AA9" w:rsidRPr="00DE34D1" w14:paraId="6E589C83" w14:textId="77777777" w:rsidTr="00F716BC">
        <w:tc>
          <w:tcPr>
            <w:tcW w:w="573" w:type="pct"/>
            <w:shd w:val="clear" w:color="auto" w:fill="auto"/>
            <w:vAlign w:val="center"/>
            <w:hideMark/>
          </w:tcPr>
          <w:p w14:paraId="38B04321"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1</w:t>
            </w:r>
          </w:p>
        </w:tc>
        <w:tc>
          <w:tcPr>
            <w:tcW w:w="2629" w:type="pct"/>
            <w:shd w:val="clear" w:color="auto" w:fill="auto"/>
            <w:noWrap/>
            <w:hideMark/>
          </w:tcPr>
          <w:p w14:paraId="5D0C261F"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 xml:space="preserve">Static household waste per household based the 2016/17 figure </w:t>
            </w:r>
          </w:p>
        </w:tc>
        <w:tc>
          <w:tcPr>
            <w:tcW w:w="1798" w:type="pct"/>
          </w:tcPr>
          <w:p w14:paraId="361F6B00"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Non-households waste remains static at 2016/17 level.</w:t>
            </w:r>
          </w:p>
        </w:tc>
      </w:tr>
      <w:tr w:rsidR="00CD7AA9" w:rsidRPr="00DE34D1" w14:paraId="4E03B5BF" w14:textId="77777777" w:rsidTr="009E5BB6">
        <w:tc>
          <w:tcPr>
            <w:tcW w:w="573" w:type="pct"/>
            <w:shd w:val="clear" w:color="auto" w:fill="auto"/>
            <w:vAlign w:val="center"/>
            <w:hideMark/>
          </w:tcPr>
          <w:p w14:paraId="587952A9"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2</w:t>
            </w:r>
          </w:p>
        </w:tc>
        <w:tc>
          <w:tcPr>
            <w:tcW w:w="2629" w:type="pct"/>
            <w:shd w:val="clear" w:color="auto" w:fill="auto"/>
            <w:noWrap/>
            <w:vAlign w:val="center"/>
            <w:hideMark/>
          </w:tcPr>
          <w:p w14:paraId="41650E03"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The household waste per household changes from the 2016/17 figure based on the annual average change since 2014/15</w:t>
            </w:r>
          </w:p>
        </w:tc>
        <w:tc>
          <w:tcPr>
            <w:tcW w:w="1798" w:type="pct"/>
          </w:tcPr>
          <w:p w14:paraId="5CD76327"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Non-households waste remains static at 2016/17 level.</w:t>
            </w:r>
          </w:p>
        </w:tc>
      </w:tr>
      <w:tr w:rsidR="00CD7AA9" w:rsidRPr="00DE34D1" w14:paraId="0262FBEF" w14:textId="77777777" w:rsidTr="009E5BB6">
        <w:tc>
          <w:tcPr>
            <w:tcW w:w="573" w:type="pct"/>
            <w:shd w:val="clear" w:color="auto" w:fill="auto"/>
            <w:vAlign w:val="center"/>
            <w:hideMark/>
          </w:tcPr>
          <w:p w14:paraId="7F602D69"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3</w:t>
            </w:r>
          </w:p>
        </w:tc>
        <w:tc>
          <w:tcPr>
            <w:tcW w:w="2629" w:type="pct"/>
            <w:shd w:val="clear" w:color="auto" w:fill="auto"/>
            <w:noWrap/>
            <w:hideMark/>
          </w:tcPr>
          <w:p w14:paraId="27BB0ADC"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The household waste per household changes from the 2016/17 figure based on the annual average change since 2012/13</w:t>
            </w:r>
          </w:p>
        </w:tc>
        <w:tc>
          <w:tcPr>
            <w:tcW w:w="1798" w:type="pct"/>
          </w:tcPr>
          <w:p w14:paraId="4D9C5B2F"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Non-households waste remains static at 2016/17 level.</w:t>
            </w:r>
          </w:p>
        </w:tc>
      </w:tr>
      <w:tr w:rsidR="00CD7AA9" w:rsidRPr="00DE34D1" w14:paraId="0E2D1385" w14:textId="77777777" w:rsidTr="009E5BB6">
        <w:tc>
          <w:tcPr>
            <w:tcW w:w="573" w:type="pct"/>
            <w:shd w:val="clear" w:color="auto" w:fill="auto"/>
            <w:vAlign w:val="center"/>
            <w:hideMark/>
          </w:tcPr>
          <w:p w14:paraId="2A67BBD8"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4</w:t>
            </w:r>
          </w:p>
        </w:tc>
        <w:tc>
          <w:tcPr>
            <w:tcW w:w="2629" w:type="pct"/>
            <w:shd w:val="clear" w:color="auto" w:fill="auto"/>
            <w:noWrap/>
            <w:hideMark/>
          </w:tcPr>
          <w:p w14:paraId="689E13E7"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The household waste per household increases at 0.25% per annum from the 2016/17.</w:t>
            </w:r>
          </w:p>
        </w:tc>
        <w:tc>
          <w:tcPr>
            <w:tcW w:w="1798" w:type="pct"/>
          </w:tcPr>
          <w:p w14:paraId="136E6BDF"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Non-households waste remains static at 2016/17 level.</w:t>
            </w:r>
          </w:p>
        </w:tc>
      </w:tr>
      <w:tr w:rsidR="00CD7AA9" w:rsidRPr="00DE34D1" w14:paraId="0FE6C31B" w14:textId="77777777" w:rsidTr="009E5BB6">
        <w:tc>
          <w:tcPr>
            <w:tcW w:w="573" w:type="pct"/>
            <w:shd w:val="clear" w:color="auto" w:fill="auto"/>
            <w:vAlign w:val="center"/>
            <w:hideMark/>
          </w:tcPr>
          <w:p w14:paraId="7252900F"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5</w:t>
            </w:r>
          </w:p>
        </w:tc>
        <w:tc>
          <w:tcPr>
            <w:tcW w:w="2629" w:type="pct"/>
            <w:shd w:val="clear" w:color="auto" w:fill="auto"/>
            <w:noWrap/>
            <w:hideMark/>
          </w:tcPr>
          <w:p w14:paraId="646D78DF"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As per Scenario 1 up to 2024/25, then a 0.5% per annum increase in household waste per household</w:t>
            </w:r>
          </w:p>
        </w:tc>
        <w:tc>
          <w:tcPr>
            <w:tcW w:w="1798" w:type="pct"/>
          </w:tcPr>
          <w:p w14:paraId="56C2F2BB" w14:textId="77777777" w:rsidR="00CD7AA9" w:rsidRPr="00DE34D1" w:rsidRDefault="00CD7AA9" w:rsidP="00A347FA">
            <w:pPr>
              <w:pStyle w:val="TableText"/>
              <w:rPr>
                <w:rFonts w:ascii="Arial" w:hAnsi="Arial" w:cs="Arial"/>
                <w:sz w:val="20"/>
                <w:szCs w:val="20"/>
              </w:rPr>
            </w:pPr>
            <w:r w:rsidRPr="00DE34D1">
              <w:rPr>
                <w:rFonts w:ascii="Arial" w:hAnsi="Arial" w:cs="Arial"/>
                <w:sz w:val="20"/>
                <w:szCs w:val="20"/>
              </w:rPr>
              <w:t>Non-households waste remains static at 2016/17 level.</w:t>
            </w:r>
          </w:p>
        </w:tc>
      </w:tr>
    </w:tbl>
    <w:p w14:paraId="73615EB5" w14:textId="77777777" w:rsidR="009F7103" w:rsidRPr="001E05F5" w:rsidRDefault="009F7103" w:rsidP="00CD7AA9">
      <w:pPr>
        <w:spacing w:before="40" w:after="40"/>
        <w:sectPr w:rsidR="009F7103" w:rsidRPr="001E05F5" w:rsidSect="00257714">
          <w:pgSz w:w="11906" w:h="16838"/>
          <w:pgMar w:top="1440" w:right="1416" w:bottom="1440" w:left="1440" w:header="708" w:footer="708" w:gutter="0"/>
          <w:cols w:space="708"/>
          <w:docGrid w:linePitch="360"/>
        </w:sectPr>
      </w:pPr>
    </w:p>
    <w:p w14:paraId="71DEC0A6" w14:textId="77777777" w:rsidR="00F716BC" w:rsidRPr="001E05F5" w:rsidRDefault="00F716BC" w:rsidP="00F716BC">
      <w:pPr>
        <w:spacing w:before="100" w:after="100"/>
        <w:rPr>
          <w:b/>
          <w:color w:val="000000"/>
        </w:rPr>
      </w:pPr>
      <w:r w:rsidRPr="001E05F5">
        <w:rPr>
          <w:b/>
          <w:color w:val="000000"/>
        </w:rPr>
        <w:lastRenderedPageBreak/>
        <w:t>Table 4.3: Forecast Tonnage based on MHCLG housing forecast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49"/>
        <w:gridCol w:w="1949"/>
        <w:gridCol w:w="1949"/>
        <w:gridCol w:w="1949"/>
      </w:tblGrid>
      <w:tr w:rsidR="00F716BC" w:rsidRPr="001E05F5" w14:paraId="08D7C57B" w14:textId="77777777" w:rsidTr="00E536C8">
        <w:trPr>
          <w:trHeight w:val="300"/>
        </w:trPr>
        <w:tc>
          <w:tcPr>
            <w:tcW w:w="1276" w:type="dxa"/>
            <w:tcBorders>
              <w:right w:val="single" w:sz="4" w:space="0" w:color="auto"/>
            </w:tcBorders>
            <w:shd w:val="clear" w:color="auto" w:fill="D9D9D9"/>
            <w:noWrap/>
            <w:vAlign w:val="bottom"/>
          </w:tcPr>
          <w:p w14:paraId="09919FE9" w14:textId="77777777" w:rsidR="00F716BC" w:rsidRPr="001E05F5" w:rsidRDefault="00F716BC" w:rsidP="00E536C8">
            <w:pPr>
              <w:spacing w:before="40" w:after="40" w:line="240" w:lineRule="auto"/>
              <w:rPr>
                <w:rFonts w:cs="Arial"/>
                <w:b/>
                <w:color w:val="000000"/>
                <w:szCs w:val="20"/>
                <w:lang w:eastAsia="en-GB"/>
              </w:rPr>
            </w:pPr>
          </w:p>
        </w:tc>
        <w:tc>
          <w:tcPr>
            <w:tcW w:w="1949" w:type="dxa"/>
            <w:tcBorders>
              <w:left w:val="single" w:sz="4" w:space="0" w:color="auto"/>
              <w:right w:val="single" w:sz="4" w:space="0" w:color="auto"/>
            </w:tcBorders>
            <w:shd w:val="clear" w:color="auto" w:fill="D9D9D9"/>
            <w:noWrap/>
            <w:vAlign w:val="bottom"/>
            <w:hideMark/>
          </w:tcPr>
          <w:p w14:paraId="32B06E02" w14:textId="77777777" w:rsidR="00F716BC" w:rsidRPr="001E05F5" w:rsidRDefault="00F716BC" w:rsidP="00E536C8">
            <w:pPr>
              <w:spacing w:before="40" w:after="40" w:line="240" w:lineRule="auto"/>
              <w:jc w:val="center"/>
              <w:rPr>
                <w:rFonts w:cs="Arial"/>
                <w:b/>
                <w:color w:val="000000"/>
                <w:szCs w:val="20"/>
                <w:lang w:eastAsia="en-GB"/>
              </w:rPr>
            </w:pPr>
            <w:r w:rsidRPr="001E05F5">
              <w:rPr>
                <w:rFonts w:cs="Arial"/>
                <w:b/>
                <w:color w:val="000000"/>
                <w:szCs w:val="20"/>
                <w:lang w:eastAsia="en-GB"/>
              </w:rPr>
              <w:t>2020/21</w:t>
            </w:r>
          </w:p>
        </w:tc>
        <w:tc>
          <w:tcPr>
            <w:tcW w:w="1949" w:type="dxa"/>
            <w:tcBorders>
              <w:left w:val="single" w:sz="4" w:space="0" w:color="auto"/>
              <w:right w:val="single" w:sz="4" w:space="0" w:color="auto"/>
            </w:tcBorders>
            <w:shd w:val="clear" w:color="auto" w:fill="D9D9D9"/>
            <w:noWrap/>
            <w:vAlign w:val="bottom"/>
            <w:hideMark/>
          </w:tcPr>
          <w:p w14:paraId="35791DB1" w14:textId="77777777" w:rsidR="00F716BC" w:rsidRPr="001E05F5" w:rsidRDefault="00F716BC" w:rsidP="00E536C8">
            <w:pPr>
              <w:spacing w:before="40" w:after="40" w:line="240" w:lineRule="auto"/>
              <w:jc w:val="center"/>
              <w:rPr>
                <w:rFonts w:cs="Arial"/>
                <w:b/>
                <w:color w:val="000000"/>
                <w:szCs w:val="20"/>
                <w:lang w:eastAsia="en-GB"/>
              </w:rPr>
            </w:pPr>
            <w:r w:rsidRPr="001E05F5">
              <w:rPr>
                <w:rFonts w:cs="Arial"/>
                <w:b/>
                <w:color w:val="000000"/>
                <w:szCs w:val="20"/>
                <w:lang w:eastAsia="en-GB"/>
              </w:rPr>
              <w:t>2025/26</w:t>
            </w:r>
          </w:p>
        </w:tc>
        <w:tc>
          <w:tcPr>
            <w:tcW w:w="1949" w:type="dxa"/>
            <w:tcBorders>
              <w:left w:val="single" w:sz="4" w:space="0" w:color="auto"/>
              <w:right w:val="single" w:sz="4" w:space="0" w:color="auto"/>
            </w:tcBorders>
            <w:shd w:val="clear" w:color="auto" w:fill="D9D9D9"/>
            <w:noWrap/>
            <w:vAlign w:val="bottom"/>
            <w:hideMark/>
          </w:tcPr>
          <w:p w14:paraId="0274D669" w14:textId="77777777" w:rsidR="00F716BC" w:rsidRPr="001E05F5" w:rsidRDefault="00F716BC" w:rsidP="00E536C8">
            <w:pPr>
              <w:spacing w:before="40" w:after="40" w:line="240" w:lineRule="auto"/>
              <w:jc w:val="center"/>
              <w:rPr>
                <w:rFonts w:cs="Arial"/>
                <w:b/>
                <w:color w:val="000000"/>
                <w:szCs w:val="20"/>
                <w:lang w:eastAsia="en-GB"/>
              </w:rPr>
            </w:pPr>
            <w:r w:rsidRPr="001E05F5">
              <w:rPr>
                <w:rFonts w:cs="Arial"/>
                <w:b/>
                <w:color w:val="000000"/>
                <w:szCs w:val="20"/>
                <w:lang w:eastAsia="en-GB"/>
              </w:rPr>
              <w:t>2030/31</w:t>
            </w:r>
          </w:p>
        </w:tc>
        <w:tc>
          <w:tcPr>
            <w:tcW w:w="1949" w:type="dxa"/>
            <w:tcBorders>
              <w:left w:val="single" w:sz="4" w:space="0" w:color="auto"/>
            </w:tcBorders>
            <w:shd w:val="clear" w:color="auto" w:fill="D9D9D9"/>
            <w:noWrap/>
            <w:vAlign w:val="bottom"/>
            <w:hideMark/>
          </w:tcPr>
          <w:p w14:paraId="57523C15" w14:textId="77777777" w:rsidR="00F716BC" w:rsidRPr="001E05F5" w:rsidRDefault="00F716BC" w:rsidP="00E536C8">
            <w:pPr>
              <w:spacing w:before="40" w:after="40" w:line="240" w:lineRule="auto"/>
              <w:jc w:val="center"/>
              <w:rPr>
                <w:rFonts w:cs="Arial"/>
                <w:b/>
                <w:color w:val="000000"/>
                <w:szCs w:val="20"/>
                <w:lang w:eastAsia="en-GB"/>
              </w:rPr>
            </w:pPr>
            <w:r w:rsidRPr="001E05F5">
              <w:rPr>
                <w:rFonts w:cs="Arial"/>
                <w:b/>
                <w:color w:val="000000"/>
                <w:szCs w:val="20"/>
                <w:lang w:eastAsia="en-GB"/>
              </w:rPr>
              <w:t>2035/36</w:t>
            </w:r>
          </w:p>
        </w:tc>
      </w:tr>
      <w:tr w:rsidR="00F716BC" w:rsidRPr="001E05F5" w14:paraId="0FB596F7" w14:textId="77777777" w:rsidTr="00E536C8">
        <w:trPr>
          <w:trHeight w:val="300"/>
        </w:trPr>
        <w:tc>
          <w:tcPr>
            <w:tcW w:w="1276" w:type="dxa"/>
            <w:shd w:val="clear" w:color="auto" w:fill="auto"/>
            <w:noWrap/>
            <w:vAlign w:val="center"/>
            <w:hideMark/>
          </w:tcPr>
          <w:p w14:paraId="58BFAD9D" w14:textId="77777777" w:rsidR="00F716BC" w:rsidRPr="001E05F5" w:rsidRDefault="00F716BC" w:rsidP="00E536C8">
            <w:pPr>
              <w:spacing w:before="40" w:after="40" w:line="240" w:lineRule="auto"/>
              <w:rPr>
                <w:rFonts w:cs="Arial"/>
                <w:color w:val="000000"/>
                <w:szCs w:val="20"/>
                <w:lang w:eastAsia="en-GB"/>
              </w:rPr>
            </w:pPr>
            <w:r w:rsidRPr="001E05F5">
              <w:rPr>
                <w:rFonts w:cs="Arial"/>
                <w:color w:val="000000"/>
                <w:szCs w:val="20"/>
                <w:lang w:eastAsia="en-GB"/>
              </w:rPr>
              <w:t>Scenario 1</w:t>
            </w:r>
          </w:p>
        </w:tc>
        <w:tc>
          <w:tcPr>
            <w:tcW w:w="1949" w:type="dxa"/>
            <w:shd w:val="clear" w:color="auto" w:fill="auto"/>
            <w:noWrap/>
            <w:vAlign w:val="center"/>
            <w:hideMark/>
          </w:tcPr>
          <w:p w14:paraId="4C744723"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357,700</w:t>
            </w:r>
          </w:p>
        </w:tc>
        <w:tc>
          <w:tcPr>
            <w:tcW w:w="1949" w:type="dxa"/>
            <w:shd w:val="clear" w:color="auto" w:fill="auto"/>
            <w:noWrap/>
            <w:vAlign w:val="center"/>
            <w:hideMark/>
          </w:tcPr>
          <w:p w14:paraId="23D9E129"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363,500</w:t>
            </w:r>
          </w:p>
        </w:tc>
        <w:tc>
          <w:tcPr>
            <w:tcW w:w="1949" w:type="dxa"/>
            <w:shd w:val="clear" w:color="auto" w:fill="auto"/>
            <w:noWrap/>
            <w:vAlign w:val="center"/>
            <w:hideMark/>
          </w:tcPr>
          <w:p w14:paraId="789F9465"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368,600</w:t>
            </w:r>
          </w:p>
        </w:tc>
        <w:tc>
          <w:tcPr>
            <w:tcW w:w="1949" w:type="dxa"/>
            <w:shd w:val="clear" w:color="auto" w:fill="auto"/>
            <w:noWrap/>
            <w:vAlign w:val="center"/>
            <w:hideMark/>
          </w:tcPr>
          <w:p w14:paraId="1D0CD0DE"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373,100</w:t>
            </w:r>
          </w:p>
        </w:tc>
      </w:tr>
      <w:tr w:rsidR="00F716BC" w:rsidRPr="001E05F5" w14:paraId="1DD3F1F5" w14:textId="77777777" w:rsidTr="00E536C8">
        <w:trPr>
          <w:trHeight w:val="300"/>
        </w:trPr>
        <w:tc>
          <w:tcPr>
            <w:tcW w:w="1276" w:type="dxa"/>
            <w:shd w:val="clear" w:color="auto" w:fill="auto"/>
            <w:noWrap/>
            <w:vAlign w:val="center"/>
            <w:hideMark/>
          </w:tcPr>
          <w:p w14:paraId="446D2BB1" w14:textId="77777777" w:rsidR="00F716BC" w:rsidRPr="001E05F5" w:rsidRDefault="00F716BC" w:rsidP="00E536C8">
            <w:pPr>
              <w:spacing w:before="40" w:after="40" w:line="240" w:lineRule="auto"/>
              <w:rPr>
                <w:rFonts w:cs="Arial"/>
                <w:color w:val="000000"/>
                <w:szCs w:val="20"/>
                <w:lang w:eastAsia="en-GB"/>
              </w:rPr>
            </w:pPr>
            <w:r w:rsidRPr="001E05F5">
              <w:rPr>
                <w:rFonts w:cs="Arial"/>
                <w:color w:val="000000"/>
                <w:szCs w:val="20"/>
                <w:lang w:eastAsia="en-GB"/>
              </w:rPr>
              <w:t>Scenario 2</w:t>
            </w:r>
          </w:p>
        </w:tc>
        <w:tc>
          <w:tcPr>
            <w:tcW w:w="1949" w:type="dxa"/>
            <w:shd w:val="clear" w:color="auto" w:fill="auto"/>
            <w:noWrap/>
            <w:vAlign w:val="center"/>
            <w:hideMark/>
          </w:tcPr>
          <w:p w14:paraId="2B31F45A"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360,800</w:t>
            </w:r>
          </w:p>
        </w:tc>
        <w:tc>
          <w:tcPr>
            <w:tcW w:w="1949" w:type="dxa"/>
            <w:shd w:val="clear" w:color="auto" w:fill="auto"/>
            <w:noWrap/>
            <w:vAlign w:val="center"/>
            <w:hideMark/>
          </w:tcPr>
          <w:p w14:paraId="3677EC60"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371,800</w:t>
            </w:r>
          </w:p>
        </w:tc>
        <w:tc>
          <w:tcPr>
            <w:tcW w:w="1949" w:type="dxa"/>
            <w:shd w:val="clear" w:color="auto" w:fill="auto"/>
            <w:noWrap/>
            <w:vAlign w:val="center"/>
            <w:hideMark/>
          </w:tcPr>
          <w:p w14:paraId="31B3E3E3"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384,600</w:t>
            </w:r>
          </w:p>
        </w:tc>
        <w:tc>
          <w:tcPr>
            <w:tcW w:w="1949" w:type="dxa"/>
            <w:shd w:val="clear" w:color="auto" w:fill="auto"/>
            <w:noWrap/>
            <w:vAlign w:val="center"/>
            <w:hideMark/>
          </w:tcPr>
          <w:p w14:paraId="5D3A3A1A"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399,200</w:t>
            </w:r>
          </w:p>
        </w:tc>
      </w:tr>
      <w:tr w:rsidR="00F716BC" w:rsidRPr="001E05F5" w14:paraId="35D4EB97" w14:textId="77777777" w:rsidTr="00E536C8">
        <w:trPr>
          <w:trHeight w:val="300"/>
        </w:trPr>
        <w:tc>
          <w:tcPr>
            <w:tcW w:w="1276" w:type="dxa"/>
            <w:shd w:val="clear" w:color="auto" w:fill="auto"/>
            <w:noWrap/>
            <w:vAlign w:val="center"/>
            <w:hideMark/>
          </w:tcPr>
          <w:p w14:paraId="66F5F6CE" w14:textId="77777777" w:rsidR="00F716BC" w:rsidRPr="001E05F5" w:rsidRDefault="00F716BC" w:rsidP="00E536C8">
            <w:pPr>
              <w:spacing w:before="40" w:after="40" w:line="240" w:lineRule="auto"/>
              <w:rPr>
                <w:rFonts w:cs="Arial"/>
                <w:color w:val="000000"/>
                <w:szCs w:val="20"/>
                <w:lang w:eastAsia="en-GB"/>
              </w:rPr>
            </w:pPr>
            <w:r w:rsidRPr="001E05F5">
              <w:rPr>
                <w:rFonts w:cs="Arial"/>
                <w:color w:val="000000"/>
                <w:szCs w:val="20"/>
                <w:lang w:eastAsia="en-GB"/>
              </w:rPr>
              <w:t>Scenario 3</w:t>
            </w:r>
          </w:p>
        </w:tc>
        <w:tc>
          <w:tcPr>
            <w:tcW w:w="1949" w:type="dxa"/>
            <w:shd w:val="clear" w:color="auto" w:fill="auto"/>
            <w:noWrap/>
            <w:vAlign w:val="center"/>
            <w:hideMark/>
          </w:tcPr>
          <w:p w14:paraId="050A1C86"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357,400</w:t>
            </w:r>
          </w:p>
        </w:tc>
        <w:tc>
          <w:tcPr>
            <w:tcW w:w="1949" w:type="dxa"/>
            <w:shd w:val="clear" w:color="auto" w:fill="auto"/>
            <w:noWrap/>
            <w:vAlign w:val="center"/>
            <w:hideMark/>
          </w:tcPr>
          <w:p w14:paraId="6FF4F26E"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362,900</w:t>
            </w:r>
          </w:p>
        </w:tc>
        <w:tc>
          <w:tcPr>
            <w:tcW w:w="1949" w:type="dxa"/>
            <w:shd w:val="clear" w:color="auto" w:fill="auto"/>
            <w:noWrap/>
            <w:vAlign w:val="center"/>
            <w:hideMark/>
          </w:tcPr>
          <w:p w14:paraId="2305572E"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368,300</w:t>
            </w:r>
          </w:p>
        </w:tc>
        <w:tc>
          <w:tcPr>
            <w:tcW w:w="1949" w:type="dxa"/>
            <w:shd w:val="clear" w:color="auto" w:fill="auto"/>
            <w:noWrap/>
            <w:vAlign w:val="center"/>
            <w:hideMark/>
          </w:tcPr>
          <w:p w14:paraId="1EEE44DF"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373,300</w:t>
            </w:r>
          </w:p>
        </w:tc>
      </w:tr>
      <w:tr w:rsidR="00F716BC" w:rsidRPr="001E05F5" w14:paraId="5FB99A32" w14:textId="77777777" w:rsidTr="00E536C8">
        <w:trPr>
          <w:trHeight w:val="300"/>
        </w:trPr>
        <w:tc>
          <w:tcPr>
            <w:tcW w:w="1276" w:type="dxa"/>
            <w:shd w:val="clear" w:color="auto" w:fill="auto"/>
            <w:noWrap/>
            <w:vAlign w:val="center"/>
            <w:hideMark/>
          </w:tcPr>
          <w:p w14:paraId="445ECBC2" w14:textId="77777777" w:rsidR="00F716BC" w:rsidRPr="001E05F5" w:rsidRDefault="00F716BC" w:rsidP="00E536C8">
            <w:pPr>
              <w:spacing w:before="40" w:after="40" w:line="240" w:lineRule="auto"/>
              <w:rPr>
                <w:rFonts w:cs="Arial"/>
                <w:color w:val="000000"/>
                <w:szCs w:val="20"/>
                <w:lang w:eastAsia="en-GB"/>
              </w:rPr>
            </w:pPr>
            <w:r w:rsidRPr="001E05F5">
              <w:rPr>
                <w:rFonts w:cs="Arial"/>
                <w:color w:val="000000"/>
                <w:szCs w:val="20"/>
                <w:lang w:eastAsia="en-GB"/>
              </w:rPr>
              <w:t>Scenario 4</w:t>
            </w:r>
          </w:p>
        </w:tc>
        <w:tc>
          <w:tcPr>
            <w:tcW w:w="1949" w:type="dxa"/>
            <w:shd w:val="clear" w:color="auto" w:fill="auto"/>
            <w:noWrap/>
            <w:vAlign w:val="center"/>
            <w:hideMark/>
          </w:tcPr>
          <w:p w14:paraId="03BBAB65"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360,600</w:t>
            </w:r>
          </w:p>
        </w:tc>
        <w:tc>
          <w:tcPr>
            <w:tcW w:w="1949" w:type="dxa"/>
            <w:shd w:val="clear" w:color="auto" w:fill="auto"/>
            <w:noWrap/>
            <w:vAlign w:val="center"/>
            <w:hideMark/>
          </w:tcPr>
          <w:p w14:paraId="51AAF3F8"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370,200</w:t>
            </w:r>
          </w:p>
        </w:tc>
        <w:tc>
          <w:tcPr>
            <w:tcW w:w="1949" w:type="dxa"/>
            <w:shd w:val="clear" w:color="auto" w:fill="auto"/>
            <w:noWrap/>
            <w:vAlign w:val="center"/>
            <w:hideMark/>
          </w:tcPr>
          <w:p w14:paraId="265E465D"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379,400</w:t>
            </w:r>
          </w:p>
        </w:tc>
        <w:tc>
          <w:tcPr>
            <w:tcW w:w="1949" w:type="dxa"/>
            <w:shd w:val="clear" w:color="auto" w:fill="auto"/>
            <w:noWrap/>
            <w:vAlign w:val="center"/>
            <w:hideMark/>
          </w:tcPr>
          <w:p w14:paraId="09BE2C63"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388,000</w:t>
            </w:r>
          </w:p>
        </w:tc>
      </w:tr>
      <w:tr w:rsidR="00F716BC" w:rsidRPr="001E05F5" w14:paraId="55242B36" w14:textId="77777777" w:rsidTr="00E536C8">
        <w:trPr>
          <w:trHeight w:val="300"/>
        </w:trPr>
        <w:tc>
          <w:tcPr>
            <w:tcW w:w="1276" w:type="dxa"/>
            <w:shd w:val="clear" w:color="auto" w:fill="auto"/>
            <w:noWrap/>
            <w:vAlign w:val="center"/>
            <w:hideMark/>
          </w:tcPr>
          <w:p w14:paraId="6E5D4DE6" w14:textId="77777777" w:rsidR="00F716BC" w:rsidRPr="001E05F5" w:rsidRDefault="00F716BC" w:rsidP="00E536C8">
            <w:pPr>
              <w:spacing w:before="40" w:after="40" w:line="240" w:lineRule="auto"/>
              <w:rPr>
                <w:rFonts w:cs="Arial"/>
                <w:color w:val="000000"/>
                <w:szCs w:val="20"/>
                <w:lang w:eastAsia="en-GB"/>
              </w:rPr>
            </w:pPr>
            <w:r w:rsidRPr="001E05F5">
              <w:rPr>
                <w:rFonts w:cs="Arial"/>
                <w:color w:val="000000"/>
                <w:szCs w:val="20"/>
                <w:lang w:eastAsia="en-GB"/>
              </w:rPr>
              <w:t>Scenario 5</w:t>
            </w:r>
          </w:p>
        </w:tc>
        <w:tc>
          <w:tcPr>
            <w:tcW w:w="1949" w:type="dxa"/>
            <w:shd w:val="clear" w:color="auto" w:fill="auto"/>
            <w:noWrap/>
            <w:vAlign w:val="center"/>
            <w:hideMark/>
          </w:tcPr>
          <w:p w14:paraId="0C825350"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357,700</w:t>
            </w:r>
          </w:p>
        </w:tc>
        <w:tc>
          <w:tcPr>
            <w:tcW w:w="1949" w:type="dxa"/>
            <w:shd w:val="clear" w:color="auto" w:fill="auto"/>
            <w:noWrap/>
            <w:vAlign w:val="center"/>
            <w:hideMark/>
          </w:tcPr>
          <w:p w14:paraId="7EC2E71F"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365,000</w:t>
            </w:r>
          </w:p>
        </w:tc>
        <w:tc>
          <w:tcPr>
            <w:tcW w:w="1949" w:type="dxa"/>
            <w:shd w:val="clear" w:color="auto" w:fill="auto"/>
            <w:noWrap/>
            <w:vAlign w:val="center"/>
            <w:hideMark/>
          </w:tcPr>
          <w:p w14:paraId="16297FE8"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377,700</w:t>
            </w:r>
          </w:p>
        </w:tc>
        <w:tc>
          <w:tcPr>
            <w:tcW w:w="1949" w:type="dxa"/>
            <w:shd w:val="clear" w:color="auto" w:fill="auto"/>
            <w:noWrap/>
            <w:vAlign w:val="center"/>
            <w:hideMark/>
          </w:tcPr>
          <w:p w14:paraId="511CB3A2"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390,300</w:t>
            </w:r>
          </w:p>
        </w:tc>
      </w:tr>
      <w:tr w:rsidR="00F716BC" w:rsidRPr="001E05F5" w14:paraId="205EFFCB" w14:textId="77777777" w:rsidTr="00E536C8">
        <w:tc>
          <w:tcPr>
            <w:tcW w:w="1276" w:type="dxa"/>
            <w:shd w:val="clear" w:color="auto" w:fill="auto"/>
            <w:noWrap/>
            <w:vAlign w:val="center"/>
            <w:hideMark/>
          </w:tcPr>
          <w:p w14:paraId="679A9CE4" w14:textId="77777777" w:rsidR="00F716BC" w:rsidRPr="001E05F5" w:rsidRDefault="00F716BC" w:rsidP="00E536C8">
            <w:pPr>
              <w:spacing w:before="40" w:after="40" w:line="240" w:lineRule="auto"/>
              <w:rPr>
                <w:rFonts w:cs="Arial"/>
                <w:color w:val="000000"/>
                <w:szCs w:val="20"/>
                <w:lang w:eastAsia="en-GB"/>
              </w:rPr>
            </w:pPr>
            <w:r w:rsidRPr="001E05F5">
              <w:rPr>
                <w:rFonts w:cs="Arial"/>
                <w:color w:val="000000"/>
                <w:szCs w:val="20"/>
                <w:lang w:eastAsia="en-GB"/>
              </w:rPr>
              <w:t xml:space="preserve">Range </w:t>
            </w:r>
          </w:p>
        </w:tc>
        <w:tc>
          <w:tcPr>
            <w:tcW w:w="1949" w:type="dxa"/>
            <w:shd w:val="clear" w:color="auto" w:fill="auto"/>
            <w:noWrap/>
            <w:vAlign w:val="center"/>
            <w:hideMark/>
          </w:tcPr>
          <w:p w14:paraId="3181D4B5"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357,400 to 360,800</w:t>
            </w:r>
          </w:p>
        </w:tc>
        <w:tc>
          <w:tcPr>
            <w:tcW w:w="1949" w:type="dxa"/>
            <w:shd w:val="clear" w:color="auto" w:fill="auto"/>
            <w:noWrap/>
            <w:vAlign w:val="center"/>
            <w:hideMark/>
          </w:tcPr>
          <w:p w14:paraId="5CCA0396"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362,900 to 371,800</w:t>
            </w:r>
          </w:p>
        </w:tc>
        <w:tc>
          <w:tcPr>
            <w:tcW w:w="1949" w:type="dxa"/>
            <w:shd w:val="clear" w:color="auto" w:fill="auto"/>
            <w:noWrap/>
            <w:vAlign w:val="center"/>
            <w:hideMark/>
          </w:tcPr>
          <w:p w14:paraId="4CF8778B"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368,300 to 384,600</w:t>
            </w:r>
          </w:p>
        </w:tc>
        <w:tc>
          <w:tcPr>
            <w:tcW w:w="1949" w:type="dxa"/>
            <w:shd w:val="clear" w:color="auto" w:fill="auto"/>
            <w:noWrap/>
            <w:vAlign w:val="center"/>
            <w:hideMark/>
          </w:tcPr>
          <w:p w14:paraId="730EF878" w14:textId="77777777" w:rsidR="00F716BC" w:rsidRPr="001E05F5" w:rsidRDefault="00F716BC" w:rsidP="00E536C8">
            <w:pPr>
              <w:spacing w:before="40" w:after="40" w:line="240" w:lineRule="auto"/>
              <w:jc w:val="center"/>
              <w:rPr>
                <w:rFonts w:cs="Arial"/>
                <w:color w:val="000000"/>
                <w:szCs w:val="20"/>
                <w:lang w:eastAsia="en-GB"/>
              </w:rPr>
            </w:pPr>
            <w:r w:rsidRPr="001E05F5">
              <w:rPr>
                <w:rFonts w:cs="Arial"/>
                <w:color w:val="000000"/>
                <w:szCs w:val="20"/>
                <w:lang w:eastAsia="en-GB"/>
              </w:rPr>
              <w:t>373,100 to 399,200</w:t>
            </w:r>
          </w:p>
        </w:tc>
      </w:tr>
    </w:tbl>
    <w:p w14:paraId="44DA6761" w14:textId="77777777" w:rsidR="00F716BC" w:rsidRPr="001E05F5" w:rsidRDefault="00F716BC" w:rsidP="009F7103">
      <w:pPr>
        <w:rPr>
          <w:b/>
          <w:color w:val="000000"/>
        </w:rPr>
      </w:pPr>
    </w:p>
    <w:p w14:paraId="797B3C70" w14:textId="177A2B43" w:rsidR="009F7103" w:rsidRPr="001E05F5" w:rsidRDefault="009F7103" w:rsidP="009F7103">
      <w:pPr>
        <w:rPr>
          <w:b/>
          <w:color w:val="000000"/>
        </w:rPr>
      </w:pPr>
      <w:r w:rsidRPr="001E05F5">
        <w:rPr>
          <w:b/>
          <w:color w:val="000000"/>
        </w:rPr>
        <w:t>Figure 4.2: Forecast Tonnage based on MHCLG housing forecast</w:t>
      </w:r>
    </w:p>
    <w:p w14:paraId="07CA8A1B" w14:textId="77777777" w:rsidR="009F7103" w:rsidRPr="001E05F5" w:rsidRDefault="009F7103" w:rsidP="009F7103">
      <w:pPr>
        <w:rPr>
          <w:rFonts w:cs="Arial"/>
          <w:sz w:val="18"/>
        </w:rPr>
      </w:pPr>
      <w:r w:rsidRPr="001E05F5">
        <w:rPr>
          <w:noProof/>
          <w:lang w:eastAsia="en-GB"/>
        </w:rPr>
        <w:drawing>
          <wp:inline distT="0" distB="0" distL="0" distR="0" wp14:anchorId="0ADB2F70" wp14:editId="15B7A3D9">
            <wp:extent cx="8863330" cy="306107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8863330" cy="3061070"/>
                    </a:xfrm>
                    <a:prstGeom prst="rect">
                      <a:avLst/>
                    </a:prstGeom>
                    <a:noFill/>
                    <a:ln w="9525">
                      <a:noFill/>
                      <a:miter lim="800000"/>
                      <a:headEnd/>
                      <a:tailEnd/>
                    </a:ln>
                  </pic:spPr>
                </pic:pic>
              </a:graphicData>
            </a:graphic>
          </wp:inline>
        </w:drawing>
      </w:r>
    </w:p>
    <w:p w14:paraId="0020D334" w14:textId="77777777" w:rsidR="00CD7AA9" w:rsidRPr="001E05F5" w:rsidRDefault="00CD7AA9" w:rsidP="00CD7AA9">
      <w:pPr>
        <w:spacing w:before="40" w:after="40"/>
      </w:pPr>
    </w:p>
    <w:p w14:paraId="06531782" w14:textId="77777777" w:rsidR="009F7103" w:rsidRPr="001E05F5" w:rsidRDefault="009F7103" w:rsidP="00CD7AA9">
      <w:pPr>
        <w:spacing w:before="40" w:after="40"/>
      </w:pPr>
    </w:p>
    <w:p w14:paraId="3CB990BF" w14:textId="77777777" w:rsidR="009F7103" w:rsidRPr="001E05F5" w:rsidRDefault="009F7103" w:rsidP="00CD7AA9">
      <w:pPr>
        <w:spacing w:before="40" w:after="40"/>
        <w:sectPr w:rsidR="009F7103" w:rsidRPr="001E05F5" w:rsidSect="009F7103">
          <w:pgSz w:w="16838" w:h="11906" w:orient="landscape"/>
          <w:pgMar w:top="1416" w:right="1440" w:bottom="1440" w:left="1440" w:header="708" w:footer="708" w:gutter="0"/>
          <w:cols w:space="708"/>
          <w:docGrid w:linePitch="360"/>
        </w:sectPr>
      </w:pPr>
    </w:p>
    <w:p w14:paraId="35F2D247" w14:textId="6BA47B82" w:rsidR="009F7103" w:rsidRPr="001E05F5" w:rsidRDefault="009F7103" w:rsidP="009F7103">
      <w:pPr>
        <w:rPr>
          <w:rFonts w:cs="Arial"/>
          <w:szCs w:val="20"/>
        </w:rPr>
      </w:pPr>
      <w:r w:rsidRPr="001E05F5">
        <w:rPr>
          <w:rFonts w:cs="Arial"/>
          <w:szCs w:val="20"/>
        </w:rPr>
        <w:lastRenderedPageBreak/>
        <w:t xml:space="preserve">The proposed waste forecasts were agreed at the Options Appraisal Workshop, with Waste Forecast Scenario 4 being used as the forecast in the waste flow model.  However, it was also agreed to run a sensitivity analysis on the waste forecasts using the percentage changes in household numbers which are proposed in upcoming Local Plans for some of the constituent Councils.  The tonnage forecasts based on the housing growth proposed by each Council is provided in Table </w:t>
      </w:r>
      <w:proofErr w:type="gramStart"/>
      <w:r w:rsidRPr="001E05F5">
        <w:rPr>
          <w:rFonts w:cs="Arial"/>
          <w:szCs w:val="20"/>
        </w:rPr>
        <w:t>4.4</w:t>
      </w:r>
      <w:r w:rsidR="003C0641" w:rsidRPr="001E05F5">
        <w:rPr>
          <w:rFonts w:cs="Arial"/>
          <w:szCs w:val="20"/>
        </w:rPr>
        <w:t>, and</w:t>
      </w:r>
      <w:proofErr w:type="gramEnd"/>
      <w:r w:rsidR="003C0641" w:rsidRPr="001E05F5">
        <w:rPr>
          <w:rFonts w:cs="Arial"/>
          <w:szCs w:val="20"/>
        </w:rPr>
        <w:t xml:space="preserve"> highlight that if the housing growth proposed within Local Plans is achieved there is the potential for an additional 18,000 to 20,000 tonnes of waste to be managed</w:t>
      </w:r>
      <w:r w:rsidR="004200B5" w:rsidRPr="001E05F5">
        <w:rPr>
          <w:rFonts w:cs="Arial"/>
          <w:szCs w:val="20"/>
        </w:rPr>
        <w:t xml:space="preserve"> per annum.</w:t>
      </w:r>
    </w:p>
    <w:p w14:paraId="3F79CE27" w14:textId="77777777" w:rsidR="009F7103" w:rsidRPr="001E05F5" w:rsidRDefault="009F7103" w:rsidP="009F7103">
      <w:pPr>
        <w:spacing w:before="240"/>
        <w:rPr>
          <w:b/>
          <w:color w:val="000000"/>
        </w:rPr>
      </w:pPr>
      <w:r w:rsidRPr="001E05F5">
        <w:rPr>
          <w:b/>
          <w:color w:val="000000"/>
        </w:rPr>
        <w:t>Table 4.</w:t>
      </w:r>
      <w:r w:rsidR="003C0641" w:rsidRPr="001E05F5">
        <w:rPr>
          <w:b/>
          <w:color w:val="000000"/>
        </w:rPr>
        <w:t>4</w:t>
      </w:r>
      <w:r w:rsidRPr="001E05F5">
        <w:rPr>
          <w:b/>
          <w:color w:val="000000"/>
        </w:rPr>
        <w:t xml:space="preserve">: Forecast Tonnage based on </w:t>
      </w:r>
      <w:r w:rsidRPr="001E05F5">
        <w:rPr>
          <w:rFonts w:cs="Arial"/>
          <w:b/>
          <w:szCs w:val="20"/>
        </w:rPr>
        <w:t>constituent Council</w:t>
      </w:r>
      <w:r w:rsidRPr="001E05F5">
        <w:rPr>
          <w:b/>
          <w:color w:val="000000"/>
        </w:rPr>
        <w:t xml:space="preserve"> housing forecast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49"/>
        <w:gridCol w:w="1949"/>
        <w:gridCol w:w="1949"/>
        <w:gridCol w:w="1949"/>
      </w:tblGrid>
      <w:tr w:rsidR="009F7103" w:rsidRPr="001E05F5" w14:paraId="7428343E" w14:textId="77777777" w:rsidTr="00E536C8">
        <w:trPr>
          <w:trHeight w:val="300"/>
        </w:trPr>
        <w:tc>
          <w:tcPr>
            <w:tcW w:w="1276" w:type="dxa"/>
            <w:tcBorders>
              <w:right w:val="single" w:sz="4" w:space="0" w:color="auto"/>
            </w:tcBorders>
            <w:shd w:val="clear" w:color="auto" w:fill="D9D9D9"/>
            <w:noWrap/>
            <w:vAlign w:val="bottom"/>
          </w:tcPr>
          <w:p w14:paraId="3EE67846" w14:textId="77777777" w:rsidR="009F7103" w:rsidRPr="001E05F5" w:rsidRDefault="009F7103" w:rsidP="009E5BB6">
            <w:pPr>
              <w:spacing w:before="40" w:after="40" w:line="240" w:lineRule="auto"/>
              <w:rPr>
                <w:rFonts w:cs="Arial"/>
                <w:b/>
                <w:color w:val="000000"/>
                <w:szCs w:val="20"/>
                <w:lang w:eastAsia="en-GB"/>
              </w:rPr>
            </w:pPr>
          </w:p>
        </w:tc>
        <w:tc>
          <w:tcPr>
            <w:tcW w:w="1949" w:type="dxa"/>
            <w:tcBorders>
              <w:left w:val="single" w:sz="4" w:space="0" w:color="auto"/>
              <w:right w:val="single" w:sz="4" w:space="0" w:color="auto"/>
            </w:tcBorders>
            <w:shd w:val="clear" w:color="auto" w:fill="D9D9D9"/>
            <w:noWrap/>
            <w:vAlign w:val="bottom"/>
            <w:hideMark/>
          </w:tcPr>
          <w:p w14:paraId="2AA0E18F" w14:textId="77777777" w:rsidR="009F7103" w:rsidRPr="001E05F5" w:rsidRDefault="009F7103" w:rsidP="009E5BB6">
            <w:pPr>
              <w:spacing w:before="40" w:after="40" w:line="240" w:lineRule="auto"/>
              <w:jc w:val="center"/>
              <w:rPr>
                <w:rFonts w:cs="Arial"/>
                <w:b/>
                <w:color w:val="000000"/>
                <w:szCs w:val="20"/>
                <w:lang w:eastAsia="en-GB"/>
              </w:rPr>
            </w:pPr>
            <w:r w:rsidRPr="001E05F5">
              <w:rPr>
                <w:rFonts w:cs="Arial"/>
                <w:b/>
                <w:color w:val="000000"/>
                <w:szCs w:val="20"/>
                <w:lang w:eastAsia="en-GB"/>
              </w:rPr>
              <w:t>2020/21</w:t>
            </w:r>
          </w:p>
        </w:tc>
        <w:tc>
          <w:tcPr>
            <w:tcW w:w="1949" w:type="dxa"/>
            <w:tcBorders>
              <w:left w:val="single" w:sz="4" w:space="0" w:color="auto"/>
              <w:right w:val="single" w:sz="4" w:space="0" w:color="auto"/>
            </w:tcBorders>
            <w:shd w:val="clear" w:color="auto" w:fill="D9D9D9"/>
            <w:noWrap/>
            <w:vAlign w:val="bottom"/>
            <w:hideMark/>
          </w:tcPr>
          <w:p w14:paraId="78F9F367" w14:textId="77777777" w:rsidR="009F7103" w:rsidRPr="001E05F5" w:rsidRDefault="009F7103" w:rsidP="009E5BB6">
            <w:pPr>
              <w:spacing w:before="40" w:after="40" w:line="240" w:lineRule="auto"/>
              <w:jc w:val="center"/>
              <w:rPr>
                <w:rFonts w:cs="Arial"/>
                <w:b/>
                <w:color w:val="000000"/>
                <w:szCs w:val="20"/>
                <w:lang w:eastAsia="en-GB"/>
              </w:rPr>
            </w:pPr>
            <w:r w:rsidRPr="001E05F5">
              <w:rPr>
                <w:rFonts w:cs="Arial"/>
                <w:b/>
                <w:color w:val="000000"/>
                <w:szCs w:val="20"/>
                <w:lang w:eastAsia="en-GB"/>
              </w:rPr>
              <w:t>2025/26</w:t>
            </w:r>
          </w:p>
        </w:tc>
        <w:tc>
          <w:tcPr>
            <w:tcW w:w="1949" w:type="dxa"/>
            <w:tcBorders>
              <w:left w:val="single" w:sz="4" w:space="0" w:color="auto"/>
              <w:right w:val="single" w:sz="4" w:space="0" w:color="auto"/>
            </w:tcBorders>
            <w:shd w:val="clear" w:color="auto" w:fill="D9D9D9"/>
            <w:noWrap/>
            <w:vAlign w:val="bottom"/>
            <w:hideMark/>
          </w:tcPr>
          <w:p w14:paraId="27FBA90F" w14:textId="77777777" w:rsidR="009F7103" w:rsidRPr="001E05F5" w:rsidRDefault="009F7103" w:rsidP="009E5BB6">
            <w:pPr>
              <w:spacing w:before="40" w:after="40" w:line="240" w:lineRule="auto"/>
              <w:jc w:val="center"/>
              <w:rPr>
                <w:rFonts w:cs="Arial"/>
                <w:b/>
                <w:color w:val="000000"/>
                <w:szCs w:val="20"/>
                <w:lang w:eastAsia="en-GB"/>
              </w:rPr>
            </w:pPr>
            <w:r w:rsidRPr="001E05F5">
              <w:rPr>
                <w:rFonts w:cs="Arial"/>
                <w:b/>
                <w:color w:val="000000"/>
                <w:szCs w:val="20"/>
                <w:lang w:eastAsia="en-GB"/>
              </w:rPr>
              <w:t>2030/31</w:t>
            </w:r>
          </w:p>
        </w:tc>
        <w:tc>
          <w:tcPr>
            <w:tcW w:w="1949" w:type="dxa"/>
            <w:tcBorders>
              <w:left w:val="single" w:sz="4" w:space="0" w:color="auto"/>
            </w:tcBorders>
            <w:shd w:val="clear" w:color="auto" w:fill="D9D9D9"/>
            <w:noWrap/>
            <w:vAlign w:val="bottom"/>
            <w:hideMark/>
          </w:tcPr>
          <w:p w14:paraId="7C917AFD" w14:textId="77777777" w:rsidR="009F7103" w:rsidRPr="001E05F5" w:rsidRDefault="009F7103" w:rsidP="009E5BB6">
            <w:pPr>
              <w:spacing w:before="40" w:after="40" w:line="240" w:lineRule="auto"/>
              <w:jc w:val="center"/>
              <w:rPr>
                <w:rFonts w:cs="Arial"/>
                <w:b/>
                <w:color w:val="000000"/>
                <w:szCs w:val="20"/>
                <w:lang w:eastAsia="en-GB"/>
              </w:rPr>
            </w:pPr>
            <w:r w:rsidRPr="001E05F5">
              <w:rPr>
                <w:rFonts w:cs="Arial"/>
                <w:b/>
                <w:color w:val="000000"/>
                <w:szCs w:val="20"/>
                <w:lang w:eastAsia="en-GB"/>
              </w:rPr>
              <w:t>2035/36</w:t>
            </w:r>
          </w:p>
        </w:tc>
      </w:tr>
      <w:tr w:rsidR="009F7103" w:rsidRPr="001E05F5" w14:paraId="0423B7B3" w14:textId="77777777" w:rsidTr="009E5BB6">
        <w:trPr>
          <w:trHeight w:val="300"/>
        </w:trPr>
        <w:tc>
          <w:tcPr>
            <w:tcW w:w="1276" w:type="dxa"/>
            <w:shd w:val="clear" w:color="auto" w:fill="auto"/>
            <w:noWrap/>
            <w:vAlign w:val="center"/>
            <w:hideMark/>
          </w:tcPr>
          <w:p w14:paraId="456923F0" w14:textId="77777777" w:rsidR="009F7103" w:rsidRPr="001E05F5" w:rsidRDefault="009F7103" w:rsidP="009F7103">
            <w:pPr>
              <w:spacing w:before="40" w:after="40" w:line="240" w:lineRule="auto"/>
              <w:rPr>
                <w:rFonts w:cs="Arial"/>
                <w:color w:val="000000"/>
                <w:szCs w:val="20"/>
                <w:lang w:eastAsia="en-GB"/>
              </w:rPr>
            </w:pPr>
            <w:r w:rsidRPr="001E05F5">
              <w:rPr>
                <w:rFonts w:cs="Arial"/>
                <w:color w:val="000000"/>
                <w:szCs w:val="20"/>
                <w:lang w:eastAsia="en-GB"/>
              </w:rPr>
              <w:t>Scenario 1</w:t>
            </w:r>
          </w:p>
        </w:tc>
        <w:tc>
          <w:tcPr>
            <w:tcW w:w="1949" w:type="dxa"/>
            <w:shd w:val="clear" w:color="auto" w:fill="auto"/>
            <w:noWrap/>
            <w:hideMark/>
          </w:tcPr>
          <w:p w14:paraId="6D9479F0"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360,600</w:t>
            </w:r>
          </w:p>
        </w:tc>
        <w:tc>
          <w:tcPr>
            <w:tcW w:w="1949" w:type="dxa"/>
            <w:shd w:val="clear" w:color="auto" w:fill="auto"/>
            <w:noWrap/>
            <w:hideMark/>
          </w:tcPr>
          <w:p w14:paraId="7416DE86"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372,000</w:t>
            </w:r>
          </w:p>
        </w:tc>
        <w:tc>
          <w:tcPr>
            <w:tcW w:w="1949" w:type="dxa"/>
            <w:shd w:val="clear" w:color="auto" w:fill="auto"/>
            <w:noWrap/>
            <w:hideMark/>
          </w:tcPr>
          <w:p w14:paraId="2C63C214"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383,400</w:t>
            </w:r>
          </w:p>
        </w:tc>
        <w:tc>
          <w:tcPr>
            <w:tcW w:w="1949" w:type="dxa"/>
            <w:shd w:val="clear" w:color="auto" w:fill="auto"/>
            <w:noWrap/>
            <w:hideMark/>
          </w:tcPr>
          <w:p w14:paraId="0A193570"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392,400</w:t>
            </w:r>
          </w:p>
        </w:tc>
      </w:tr>
      <w:tr w:rsidR="009F7103" w:rsidRPr="001E05F5" w14:paraId="31303FF7" w14:textId="77777777" w:rsidTr="009E5BB6">
        <w:trPr>
          <w:trHeight w:val="300"/>
        </w:trPr>
        <w:tc>
          <w:tcPr>
            <w:tcW w:w="1276" w:type="dxa"/>
            <w:shd w:val="clear" w:color="auto" w:fill="auto"/>
            <w:noWrap/>
            <w:vAlign w:val="center"/>
            <w:hideMark/>
          </w:tcPr>
          <w:p w14:paraId="694AEF5E" w14:textId="77777777" w:rsidR="009F7103" w:rsidRPr="001E05F5" w:rsidRDefault="009F7103" w:rsidP="009F7103">
            <w:pPr>
              <w:spacing w:before="40" w:after="40" w:line="240" w:lineRule="auto"/>
              <w:rPr>
                <w:rFonts w:cs="Arial"/>
                <w:color w:val="000000"/>
                <w:szCs w:val="20"/>
                <w:lang w:eastAsia="en-GB"/>
              </w:rPr>
            </w:pPr>
            <w:r w:rsidRPr="001E05F5">
              <w:rPr>
                <w:rFonts w:cs="Arial"/>
                <w:color w:val="000000"/>
                <w:szCs w:val="20"/>
                <w:lang w:eastAsia="en-GB"/>
              </w:rPr>
              <w:t>Scenario 2</w:t>
            </w:r>
          </w:p>
        </w:tc>
        <w:tc>
          <w:tcPr>
            <w:tcW w:w="1949" w:type="dxa"/>
            <w:shd w:val="clear" w:color="auto" w:fill="auto"/>
            <w:noWrap/>
            <w:hideMark/>
          </w:tcPr>
          <w:p w14:paraId="7ACDE2D4"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363,600</w:t>
            </w:r>
          </w:p>
        </w:tc>
        <w:tc>
          <w:tcPr>
            <w:tcW w:w="1949" w:type="dxa"/>
            <w:shd w:val="clear" w:color="auto" w:fill="auto"/>
            <w:noWrap/>
            <w:hideMark/>
          </w:tcPr>
          <w:p w14:paraId="4783DE9E"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380,500</w:t>
            </w:r>
          </w:p>
        </w:tc>
        <w:tc>
          <w:tcPr>
            <w:tcW w:w="1949" w:type="dxa"/>
            <w:shd w:val="clear" w:color="auto" w:fill="auto"/>
            <w:noWrap/>
            <w:hideMark/>
          </w:tcPr>
          <w:p w14:paraId="29003A20"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399,600</w:t>
            </w:r>
          </w:p>
        </w:tc>
        <w:tc>
          <w:tcPr>
            <w:tcW w:w="1949" w:type="dxa"/>
            <w:shd w:val="clear" w:color="auto" w:fill="auto"/>
            <w:noWrap/>
            <w:hideMark/>
          </w:tcPr>
          <w:p w14:paraId="08C2B897"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419,600</w:t>
            </w:r>
          </w:p>
        </w:tc>
      </w:tr>
      <w:tr w:rsidR="009F7103" w:rsidRPr="001E05F5" w14:paraId="58F21503" w14:textId="77777777" w:rsidTr="009E5BB6">
        <w:trPr>
          <w:trHeight w:val="300"/>
        </w:trPr>
        <w:tc>
          <w:tcPr>
            <w:tcW w:w="1276" w:type="dxa"/>
            <w:shd w:val="clear" w:color="auto" w:fill="auto"/>
            <w:noWrap/>
            <w:vAlign w:val="center"/>
            <w:hideMark/>
          </w:tcPr>
          <w:p w14:paraId="2312A8AB" w14:textId="77777777" w:rsidR="009F7103" w:rsidRPr="001E05F5" w:rsidRDefault="009F7103" w:rsidP="009F7103">
            <w:pPr>
              <w:spacing w:before="40" w:after="40" w:line="240" w:lineRule="auto"/>
              <w:rPr>
                <w:rFonts w:cs="Arial"/>
                <w:color w:val="000000"/>
                <w:szCs w:val="20"/>
                <w:lang w:eastAsia="en-GB"/>
              </w:rPr>
            </w:pPr>
            <w:r w:rsidRPr="001E05F5">
              <w:rPr>
                <w:rFonts w:cs="Arial"/>
                <w:color w:val="000000"/>
                <w:szCs w:val="20"/>
                <w:lang w:eastAsia="en-GB"/>
              </w:rPr>
              <w:t>Scenario 3</w:t>
            </w:r>
          </w:p>
        </w:tc>
        <w:tc>
          <w:tcPr>
            <w:tcW w:w="1949" w:type="dxa"/>
            <w:shd w:val="clear" w:color="auto" w:fill="auto"/>
            <w:noWrap/>
            <w:hideMark/>
          </w:tcPr>
          <w:p w14:paraId="1DDD7BF8"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360,200</w:t>
            </w:r>
          </w:p>
        </w:tc>
        <w:tc>
          <w:tcPr>
            <w:tcW w:w="1949" w:type="dxa"/>
            <w:shd w:val="clear" w:color="auto" w:fill="auto"/>
            <w:noWrap/>
            <w:hideMark/>
          </w:tcPr>
          <w:p w14:paraId="54E99662"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371,200</w:t>
            </w:r>
          </w:p>
        </w:tc>
        <w:tc>
          <w:tcPr>
            <w:tcW w:w="1949" w:type="dxa"/>
            <w:shd w:val="clear" w:color="auto" w:fill="auto"/>
            <w:noWrap/>
            <w:hideMark/>
          </w:tcPr>
          <w:p w14:paraId="203B1DC5"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382,300</w:t>
            </w:r>
          </w:p>
        </w:tc>
        <w:tc>
          <w:tcPr>
            <w:tcW w:w="1949" w:type="dxa"/>
            <w:shd w:val="clear" w:color="auto" w:fill="auto"/>
            <w:noWrap/>
            <w:hideMark/>
          </w:tcPr>
          <w:p w14:paraId="16F1E530"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391,700</w:t>
            </w:r>
          </w:p>
        </w:tc>
      </w:tr>
      <w:tr w:rsidR="009F7103" w:rsidRPr="001E05F5" w14:paraId="22DE4A65" w14:textId="77777777" w:rsidTr="009E5BB6">
        <w:trPr>
          <w:trHeight w:val="300"/>
        </w:trPr>
        <w:tc>
          <w:tcPr>
            <w:tcW w:w="1276" w:type="dxa"/>
            <w:shd w:val="clear" w:color="auto" w:fill="auto"/>
            <w:noWrap/>
            <w:vAlign w:val="center"/>
            <w:hideMark/>
          </w:tcPr>
          <w:p w14:paraId="5A1D053B" w14:textId="77777777" w:rsidR="009F7103" w:rsidRPr="001E05F5" w:rsidRDefault="009F7103" w:rsidP="009F7103">
            <w:pPr>
              <w:spacing w:before="40" w:after="40" w:line="240" w:lineRule="auto"/>
              <w:rPr>
                <w:rFonts w:cs="Arial"/>
                <w:color w:val="000000"/>
                <w:szCs w:val="20"/>
                <w:lang w:eastAsia="en-GB"/>
              </w:rPr>
            </w:pPr>
            <w:r w:rsidRPr="001E05F5">
              <w:rPr>
                <w:rFonts w:cs="Arial"/>
                <w:color w:val="000000"/>
                <w:szCs w:val="20"/>
                <w:lang w:eastAsia="en-GB"/>
              </w:rPr>
              <w:t>Scenario 4</w:t>
            </w:r>
          </w:p>
        </w:tc>
        <w:tc>
          <w:tcPr>
            <w:tcW w:w="1949" w:type="dxa"/>
            <w:shd w:val="clear" w:color="auto" w:fill="auto"/>
            <w:noWrap/>
            <w:hideMark/>
          </w:tcPr>
          <w:p w14:paraId="265E8CEA"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363,500</w:t>
            </w:r>
          </w:p>
        </w:tc>
        <w:tc>
          <w:tcPr>
            <w:tcW w:w="1949" w:type="dxa"/>
            <w:shd w:val="clear" w:color="auto" w:fill="auto"/>
            <w:noWrap/>
            <w:hideMark/>
          </w:tcPr>
          <w:p w14:paraId="1450B6BE"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378,900</w:t>
            </w:r>
          </w:p>
        </w:tc>
        <w:tc>
          <w:tcPr>
            <w:tcW w:w="1949" w:type="dxa"/>
            <w:shd w:val="clear" w:color="auto" w:fill="auto"/>
            <w:noWrap/>
            <w:hideMark/>
          </w:tcPr>
          <w:p w14:paraId="777F404E"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394,500</w:t>
            </w:r>
          </w:p>
        </w:tc>
        <w:tc>
          <w:tcPr>
            <w:tcW w:w="1949" w:type="dxa"/>
            <w:shd w:val="clear" w:color="auto" w:fill="auto"/>
            <w:noWrap/>
            <w:hideMark/>
          </w:tcPr>
          <w:p w14:paraId="67D2F3C2"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408,200</w:t>
            </w:r>
          </w:p>
        </w:tc>
      </w:tr>
      <w:tr w:rsidR="009F7103" w:rsidRPr="001E05F5" w14:paraId="67440ABA" w14:textId="77777777" w:rsidTr="009E5BB6">
        <w:trPr>
          <w:trHeight w:val="300"/>
        </w:trPr>
        <w:tc>
          <w:tcPr>
            <w:tcW w:w="1276" w:type="dxa"/>
            <w:shd w:val="clear" w:color="auto" w:fill="auto"/>
            <w:noWrap/>
            <w:vAlign w:val="center"/>
            <w:hideMark/>
          </w:tcPr>
          <w:p w14:paraId="44D8D444" w14:textId="77777777" w:rsidR="009F7103" w:rsidRPr="001E05F5" w:rsidRDefault="009F7103" w:rsidP="009F7103">
            <w:pPr>
              <w:spacing w:before="40" w:after="40" w:line="240" w:lineRule="auto"/>
              <w:rPr>
                <w:rFonts w:cs="Arial"/>
                <w:color w:val="000000"/>
                <w:szCs w:val="20"/>
                <w:lang w:eastAsia="en-GB"/>
              </w:rPr>
            </w:pPr>
            <w:r w:rsidRPr="001E05F5">
              <w:rPr>
                <w:rFonts w:cs="Arial"/>
                <w:color w:val="000000"/>
                <w:szCs w:val="20"/>
                <w:lang w:eastAsia="en-GB"/>
              </w:rPr>
              <w:t>Scenario 5</w:t>
            </w:r>
          </w:p>
        </w:tc>
        <w:tc>
          <w:tcPr>
            <w:tcW w:w="1949" w:type="dxa"/>
            <w:shd w:val="clear" w:color="auto" w:fill="auto"/>
            <w:noWrap/>
            <w:hideMark/>
          </w:tcPr>
          <w:p w14:paraId="4D540ACC"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360,600</w:t>
            </w:r>
          </w:p>
        </w:tc>
        <w:tc>
          <w:tcPr>
            <w:tcW w:w="1949" w:type="dxa"/>
            <w:shd w:val="clear" w:color="auto" w:fill="auto"/>
            <w:noWrap/>
            <w:hideMark/>
          </w:tcPr>
          <w:p w14:paraId="2C2F02A3"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373,600</w:t>
            </w:r>
          </w:p>
        </w:tc>
        <w:tc>
          <w:tcPr>
            <w:tcW w:w="1949" w:type="dxa"/>
            <w:shd w:val="clear" w:color="auto" w:fill="auto"/>
            <w:noWrap/>
            <w:hideMark/>
          </w:tcPr>
          <w:p w14:paraId="2284E87B"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393,000</w:t>
            </w:r>
          </w:p>
        </w:tc>
        <w:tc>
          <w:tcPr>
            <w:tcW w:w="1949" w:type="dxa"/>
            <w:shd w:val="clear" w:color="auto" w:fill="auto"/>
            <w:noWrap/>
            <w:hideMark/>
          </w:tcPr>
          <w:p w14:paraId="5FD7722D" w14:textId="77777777" w:rsidR="009F7103" w:rsidRPr="001E05F5" w:rsidRDefault="009F7103" w:rsidP="009F7103">
            <w:pPr>
              <w:spacing w:before="40" w:after="40" w:line="240" w:lineRule="auto"/>
              <w:jc w:val="center"/>
              <w:rPr>
                <w:rFonts w:cs="Arial"/>
                <w:color w:val="000000"/>
                <w:szCs w:val="20"/>
                <w:lang w:eastAsia="en-GB"/>
              </w:rPr>
            </w:pPr>
            <w:r w:rsidRPr="001E05F5">
              <w:rPr>
                <w:rFonts w:cs="Arial"/>
                <w:color w:val="000000"/>
                <w:szCs w:val="20"/>
                <w:lang w:eastAsia="en-GB"/>
              </w:rPr>
              <w:t>410,900</w:t>
            </w:r>
          </w:p>
        </w:tc>
      </w:tr>
      <w:tr w:rsidR="009F7103" w:rsidRPr="001E05F5" w14:paraId="356BE78C" w14:textId="77777777" w:rsidTr="009E5BB6">
        <w:tc>
          <w:tcPr>
            <w:tcW w:w="1276" w:type="dxa"/>
            <w:shd w:val="clear" w:color="auto" w:fill="auto"/>
            <w:noWrap/>
            <w:vAlign w:val="center"/>
            <w:hideMark/>
          </w:tcPr>
          <w:p w14:paraId="385C6E5E" w14:textId="77777777" w:rsidR="009F7103" w:rsidRPr="001E05F5" w:rsidRDefault="009F7103" w:rsidP="009E5BB6">
            <w:pPr>
              <w:spacing w:before="40" w:after="40" w:line="240" w:lineRule="auto"/>
              <w:rPr>
                <w:rFonts w:cs="Arial"/>
                <w:color w:val="000000"/>
                <w:szCs w:val="20"/>
                <w:lang w:eastAsia="en-GB"/>
              </w:rPr>
            </w:pPr>
            <w:r w:rsidRPr="001E05F5">
              <w:rPr>
                <w:rFonts w:cs="Arial"/>
                <w:color w:val="000000"/>
                <w:szCs w:val="20"/>
                <w:lang w:eastAsia="en-GB"/>
              </w:rPr>
              <w:t xml:space="preserve">Range </w:t>
            </w:r>
          </w:p>
        </w:tc>
        <w:tc>
          <w:tcPr>
            <w:tcW w:w="1949" w:type="dxa"/>
            <w:shd w:val="clear" w:color="auto" w:fill="auto"/>
            <w:noWrap/>
            <w:vAlign w:val="center"/>
            <w:hideMark/>
          </w:tcPr>
          <w:p w14:paraId="4D02DC19" w14:textId="77777777" w:rsidR="009F7103" w:rsidRPr="001E05F5" w:rsidRDefault="009F7103" w:rsidP="009E5BB6">
            <w:pPr>
              <w:spacing w:before="40" w:after="40" w:line="240" w:lineRule="auto"/>
              <w:jc w:val="center"/>
              <w:rPr>
                <w:rFonts w:cs="Arial"/>
                <w:color w:val="000000"/>
                <w:szCs w:val="20"/>
                <w:lang w:eastAsia="en-GB"/>
              </w:rPr>
            </w:pPr>
            <w:r w:rsidRPr="001E05F5">
              <w:rPr>
                <w:rFonts w:cs="Arial"/>
                <w:color w:val="000000"/>
                <w:szCs w:val="20"/>
                <w:lang w:eastAsia="en-GB"/>
              </w:rPr>
              <w:t>360,200 to 363,600</w:t>
            </w:r>
          </w:p>
        </w:tc>
        <w:tc>
          <w:tcPr>
            <w:tcW w:w="1949" w:type="dxa"/>
            <w:shd w:val="clear" w:color="auto" w:fill="auto"/>
            <w:noWrap/>
            <w:vAlign w:val="center"/>
            <w:hideMark/>
          </w:tcPr>
          <w:p w14:paraId="01C27DA8" w14:textId="77777777" w:rsidR="009F7103" w:rsidRPr="001E05F5" w:rsidRDefault="009F7103" w:rsidP="009E5BB6">
            <w:pPr>
              <w:spacing w:before="40" w:after="40" w:line="240" w:lineRule="auto"/>
              <w:jc w:val="center"/>
              <w:rPr>
                <w:rFonts w:cs="Arial"/>
                <w:color w:val="000000"/>
                <w:szCs w:val="20"/>
                <w:lang w:eastAsia="en-GB"/>
              </w:rPr>
            </w:pPr>
            <w:r w:rsidRPr="001E05F5">
              <w:rPr>
                <w:rFonts w:cs="Arial"/>
                <w:color w:val="000000"/>
                <w:szCs w:val="20"/>
                <w:lang w:eastAsia="en-GB"/>
              </w:rPr>
              <w:t>371,200 to 380,500</w:t>
            </w:r>
          </w:p>
        </w:tc>
        <w:tc>
          <w:tcPr>
            <w:tcW w:w="1949" w:type="dxa"/>
            <w:shd w:val="clear" w:color="auto" w:fill="auto"/>
            <w:noWrap/>
            <w:vAlign w:val="center"/>
            <w:hideMark/>
          </w:tcPr>
          <w:p w14:paraId="1D5B4FF4" w14:textId="77777777" w:rsidR="009F7103" w:rsidRPr="001E05F5" w:rsidRDefault="009F7103" w:rsidP="009E5BB6">
            <w:pPr>
              <w:spacing w:before="40" w:after="40" w:line="240" w:lineRule="auto"/>
              <w:jc w:val="center"/>
              <w:rPr>
                <w:rFonts w:cs="Arial"/>
                <w:color w:val="000000"/>
                <w:szCs w:val="20"/>
                <w:lang w:eastAsia="en-GB"/>
              </w:rPr>
            </w:pPr>
            <w:r w:rsidRPr="001E05F5">
              <w:rPr>
                <w:rFonts w:cs="Arial"/>
                <w:color w:val="000000"/>
                <w:szCs w:val="20"/>
                <w:lang w:eastAsia="en-GB"/>
              </w:rPr>
              <w:t>382,300 to 399,600</w:t>
            </w:r>
          </w:p>
        </w:tc>
        <w:tc>
          <w:tcPr>
            <w:tcW w:w="1949" w:type="dxa"/>
            <w:shd w:val="clear" w:color="auto" w:fill="auto"/>
            <w:noWrap/>
            <w:vAlign w:val="center"/>
            <w:hideMark/>
          </w:tcPr>
          <w:p w14:paraId="531706C7" w14:textId="77777777" w:rsidR="009F7103" w:rsidRPr="001E05F5" w:rsidRDefault="009F7103" w:rsidP="009E5BB6">
            <w:pPr>
              <w:spacing w:before="40" w:after="40" w:line="240" w:lineRule="auto"/>
              <w:jc w:val="center"/>
              <w:rPr>
                <w:rFonts w:cs="Arial"/>
                <w:color w:val="000000"/>
                <w:szCs w:val="20"/>
                <w:lang w:eastAsia="en-GB"/>
              </w:rPr>
            </w:pPr>
            <w:r w:rsidRPr="001E05F5">
              <w:rPr>
                <w:rFonts w:cs="Arial"/>
                <w:color w:val="000000"/>
                <w:szCs w:val="20"/>
                <w:lang w:eastAsia="en-GB"/>
              </w:rPr>
              <w:t>3</w:t>
            </w:r>
            <w:r w:rsidR="003C0641" w:rsidRPr="001E05F5">
              <w:rPr>
                <w:rFonts w:cs="Arial"/>
                <w:color w:val="000000"/>
                <w:szCs w:val="20"/>
                <w:lang w:eastAsia="en-GB"/>
              </w:rPr>
              <w:t>91</w:t>
            </w:r>
            <w:r w:rsidRPr="001E05F5">
              <w:rPr>
                <w:rFonts w:cs="Arial"/>
                <w:color w:val="000000"/>
                <w:szCs w:val="20"/>
                <w:lang w:eastAsia="en-GB"/>
              </w:rPr>
              <w:t>,</w:t>
            </w:r>
            <w:r w:rsidR="003C0641" w:rsidRPr="001E05F5">
              <w:rPr>
                <w:rFonts w:cs="Arial"/>
                <w:color w:val="000000"/>
                <w:szCs w:val="20"/>
                <w:lang w:eastAsia="en-GB"/>
              </w:rPr>
              <w:t>7</w:t>
            </w:r>
            <w:r w:rsidRPr="001E05F5">
              <w:rPr>
                <w:rFonts w:cs="Arial"/>
                <w:color w:val="000000"/>
                <w:szCs w:val="20"/>
                <w:lang w:eastAsia="en-GB"/>
              </w:rPr>
              <w:t xml:space="preserve">00 to </w:t>
            </w:r>
            <w:r w:rsidR="003C0641" w:rsidRPr="001E05F5">
              <w:rPr>
                <w:rFonts w:cs="Arial"/>
                <w:color w:val="000000"/>
                <w:szCs w:val="20"/>
                <w:lang w:eastAsia="en-GB"/>
              </w:rPr>
              <w:t>419,600</w:t>
            </w:r>
          </w:p>
        </w:tc>
      </w:tr>
    </w:tbl>
    <w:p w14:paraId="079EA4E1" w14:textId="77777777" w:rsidR="009F7103" w:rsidRPr="001E05F5" w:rsidRDefault="009F7103" w:rsidP="009F7103"/>
    <w:p w14:paraId="6C27F5FF" w14:textId="77777777" w:rsidR="00F73D1E" w:rsidRPr="001E05F5" w:rsidRDefault="00FC2823" w:rsidP="00FC2823">
      <w:pPr>
        <w:pStyle w:val="Heading3"/>
        <w:tabs>
          <w:tab w:val="clear" w:pos="282"/>
          <w:tab w:val="num" w:pos="567"/>
        </w:tabs>
        <w:ind w:left="567" w:hanging="567"/>
      </w:pPr>
      <w:r w:rsidRPr="001E05F5">
        <w:t xml:space="preserve">Prevention, reuse and recycling initiatives </w:t>
      </w:r>
      <w:r w:rsidR="00F73D1E" w:rsidRPr="001E05F5">
        <w:t>assumptions</w:t>
      </w:r>
    </w:p>
    <w:p w14:paraId="5415228F" w14:textId="6F3BAD02" w:rsidR="00F73D1E" w:rsidRPr="001E05F5" w:rsidRDefault="009E5BB6" w:rsidP="009E5BB6">
      <w:r w:rsidRPr="001E05F5">
        <w:t xml:space="preserve">For the prevention, reuse and recycling initiatives (including bulky waste recycling and </w:t>
      </w:r>
      <w:r w:rsidR="004200B5" w:rsidRPr="001E05F5">
        <w:t xml:space="preserve">minimisation of </w:t>
      </w:r>
      <w:r w:rsidRPr="001E05F5">
        <w:t xml:space="preserve">contamination in </w:t>
      </w:r>
      <w:r w:rsidR="004200B5" w:rsidRPr="001E05F5">
        <w:t xml:space="preserve">dry </w:t>
      </w:r>
      <w:r w:rsidRPr="001E05F5">
        <w:t>recycling</w:t>
      </w:r>
      <w:r w:rsidR="004200B5" w:rsidRPr="001E05F5">
        <w:t xml:space="preserve"> and </w:t>
      </w:r>
      <w:r w:rsidRPr="001E05F5">
        <w:t xml:space="preserve">composting), a series of performance and cost assumptions were developed </w:t>
      </w:r>
      <w:r w:rsidR="00C27726" w:rsidRPr="001E05F5">
        <w:t>based on information produced by WRAP and industry knowledge.  The assumptions are provided in Appendix B.</w:t>
      </w:r>
      <w:r w:rsidR="00376E9F" w:rsidRPr="001E05F5">
        <w:t xml:space="preserve">  The assumptions were fed into the waste flow model</w:t>
      </w:r>
      <w:r w:rsidR="009D0F07" w:rsidRPr="001E05F5">
        <w:t xml:space="preserve">. </w:t>
      </w:r>
      <w:r w:rsidR="00A6210C" w:rsidRPr="001E05F5">
        <w:t xml:space="preserve"> Appendix C provides an overview of the waste flow model</w:t>
      </w:r>
      <w:r w:rsidR="00376E9F" w:rsidRPr="001E05F5">
        <w:t>.</w:t>
      </w:r>
    </w:p>
    <w:p w14:paraId="49DBA995" w14:textId="77777777" w:rsidR="00F73D1E" w:rsidRPr="001E05F5" w:rsidRDefault="00F73D1E" w:rsidP="00FC2823">
      <w:pPr>
        <w:pStyle w:val="Heading3"/>
        <w:tabs>
          <w:tab w:val="clear" w:pos="282"/>
          <w:tab w:val="num" w:pos="567"/>
        </w:tabs>
        <w:ind w:left="567" w:hanging="567"/>
      </w:pPr>
      <w:r w:rsidRPr="001E05F5">
        <w:rPr>
          <w:szCs w:val="20"/>
        </w:rPr>
        <w:t xml:space="preserve">Collection modelling assumptions </w:t>
      </w:r>
    </w:p>
    <w:p w14:paraId="0B05869C" w14:textId="5B057D95" w:rsidR="00F73D1E" w:rsidRPr="001E05F5" w:rsidRDefault="00C27726" w:rsidP="00376E9F">
      <w:r w:rsidRPr="001E05F5">
        <w:t>The collection system modelling was undertaken using WRAP’s Kerbside Analysis Tool (KAT</w:t>
      </w:r>
      <w:r w:rsidR="004E2433" w:rsidRPr="001E05F5">
        <w:t xml:space="preserve">). This provided a means to calculate the amount of residual waste requiring treatment </w:t>
      </w:r>
      <w:r w:rsidR="009D0F07" w:rsidRPr="001E05F5">
        <w:t>depending on the alternative collection system modelled</w:t>
      </w:r>
      <w:r w:rsidR="004200B5" w:rsidRPr="001E05F5">
        <w:t xml:space="preserve"> and the level of recycling achieved</w:t>
      </w:r>
      <w:r w:rsidR="009D0F07" w:rsidRPr="001E05F5">
        <w:t xml:space="preserve">. </w:t>
      </w:r>
    </w:p>
    <w:p w14:paraId="6E09BB1A" w14:textId="15287FB3" w:rsidR="00C27726" w:rsidRPr="001E05F5" w:rsidRDefault="00C27726" w:rsidP="00376E9F">
      <w:r w:rsidRPr="001E05F5">
        <w:t xml:space="preserve">Each Council was provided with KAT </w:t>
      </w:r>
      <w:r w:rsidR="00E26965" w:rsidRPr="001E05F5">
        <w:t xml:space="preserve">data </w:t>
      </w:r>
      <w:r w:rsidRPr="001E05F5">
        <w:t>pro-forma</w:t>
      </w:r>
      <w:r w:rsidR="008248BE" w:rsidRPr="001E05F5">
        <w:t>s</w:t>
      </w:r>
      <w:r w:rsidRPr="001E05F5">
        <w:t xml:space="preserve"> to </w:t>
      </w:r>
      <w:r w:rsidR="008248BE" w:rsidRPr="001E05F5">
        <w:t>obtain data on</w:t>
      </w:r>
      <w:r w:rsidRPr="001E05F5">
        <w:t xml:space="preserve"> </w:t>
      </w:r>
      <w:r w:rsidR="004200B5" w:rsidRPr="001E05F5">
        <w:t xml:space="preserve">their </w:t>
      </w:r>
      <w:r w:rsidRPr="001E05F5">
        <w:t xml:space="preserve">current </w:t>
      </w:r>
      <w:r w:rsidR="008248BE" w:rsidRPr="001E05F5">
        <w:t xml:space="preserve">collection </w:t>
      </w:r>
      <w:r w:rsidRPr="001E05F5">
        <w:t>service performance</w:t>
      </w:r>
      <w:r w:rsidR="004200B5" w:rsidRPr="001E05F5">
        <w:t xml:space="preserve"> and </w:t>
      </w:r>
      <w:r w:rsidRPr="001E05F5">
        <w:t xml:space="preserve">operation. The pro-formas </w:t>
      </w:r>
      <w:r w:rsidR="008248BE" w:rsidRPr="001E05F5">
        <w:t xml:space="preserve">captured </w:t>
      </w:r>
      <w:r w:rsidRPr="001E05F5">
        <w:t xml:space="preserve">data </w:t>
      </w:r>
      <w:r w:rsidR="008248BE" w:rsidRPr="001E05F5">
        <w:t>under the following general headings</w:t>
      </w:r>
      <w:r w:rsidRPr="001E05F5">
        <w:t>:</w:t>
      </w:r>
    </w:p>
    <w:p w14:paraId="065BC9A3" w14:textId="77777777" w:rsidR="00C27726" w:rsidRPr="001E05F5" w:rsidRDefault="00C27726" w:rsidP="00E7613F">
      <w:pPr>
        <w:pStyle w:val="ListParagraph"/>
        <w:numPr>
          <w:ilvl w:val="0"/>
          <w:numId w:val="14"/>
        </w:numPr>
        <w:spacing w:after="120"/>
        <w:ind w:left="714" w:hanging="357"/>
      </w:pPr>
      <w:r w:rsidRPr="001E05F5">
        <w:t>Vehicle requirements;</w:t>
      </w:r>
    </w:p>
    <w:p w14:paraId="0A5328FE" w14:textId="77777777" w:rsidR="00C27726" w:rsidRPr="001E05F5" w:rsidRDefault="00C27726" w:rsidP="00E7613F">
      <w:pPr>
        <w:pStyle w:val="ListParagraph"/>
        <w:numPr>
          <w:ilvl w:val="0"/>
          <w:numId w:val="14"/>
        </w:numPr>
        <w:spacing w:after="120"/>
        <w:ind w:left="714" w:hanging="357"/>
      </w:pPr>
      <w:r w:rsidRPr="001E05F5">
        <w:t>Vehicle specifications / costs / operational parameters and performance;</w:t>
      </w:r>
    </w:p>
    <w:p w14:paraId="33584349" w14:textId="77777777" w:rsidR="00C27726" w:rsidRPr="001E05F5" w:rsidRDefault="00C27726" w:rsidP="00E7613F">
      <w:pPr>
        <w:pStyle w:val="ListParagraph"/>
        <w:numPr>
          <w:ilvl w:val="0"/>
          <w:numId w:val="14"/>
        </w:numPr>
        <w:spacing w:after="120"/>
        <w:ind w:left="714" w:hanging="357"/>
      </w:pPr>
      <w:r w:rsidRPr="001E05F5">
        <w:t>Operational and capital costs, financing arrangements and infrastructure procurement details;</w:t>
      </w:r>
    </w:p>
    <w:p w14:paraId="5C1A0509" w14:textId="77777777" w:rsidR="00C27726" w:rsidRPr="001E05F5" w:rsidRDefault="00C27726" w:rsidP="00E7613F">
      <w:pPr>
        <w:pStyle w:val="ListParagraph"/>
        <w:numPr>
          <w:ilvl w:val="0"/>
          <w:numId w:val="14"/>
        </w:numPr>
        <w:spacing w:after="120"/>
        <w:ind w:left="714" w:hanging="357"/>
      </w:pPr>
      <w:r w:rsidRPr="001E05F5">
        <w:t>Collection tonnages;</w:t>
      </w:r>
    </w:p>
    <w:p w14:paraId="6D4008FA" w14:textId="77777777" w:rsidR="00C27726" w:rsidRPr="001E05F5" w:rsidRDefault="00C27726" w:rsidP="00E7613F">
      <w:pPr>
        <w:pStyle w:val="ListParagraph"/>
        <w:numPr>
          <w:ilvl w:val="0"/>
          <w:numId w:val="14"/>
        </w:numPr>
        <w:spacing w:after="120"/>
        <w:ind w:left="714" w:hanging="357"/>
      </w:pPr>
      <w:r w:rsidRPr="001E05F5">
        <w:t>Round data; and</w:t>
      </w:r>
    </w:p>
    <w:p w14:paraId="4CA54F70" w14:textId="77777777" w:rsidR="00C27726" w:rsidRPr="001E05F5" w:rsidRDefault="00C27726" w:rsidP="00D17D3B">
      <w:pPr>
        <w:pStyle w:val="ListParagraph"/>
        <w:numPr>
          <w:ilvl w:val="0"/>
          <w:numId w:val="14"/>
        </w:numPr>
      </w:pPr>
      <w:r w:rsidRPr="001E05F5">
        <w:t>Staffing levels.</w:t>
      </w:r>
    </w:p>
    <w:p w14:paraId="7CE555D3" w14:textId="3044695A" w:rsidR="0052445E" w:rsidRPr="001E05F5" w:rsidRDefault="004E2433" w:rsidP="00C27726">
      <w:r w:rsidRPr="001E05F5">
        <w:t xml:space="preserve">This data was then used to develop a baseline model. </w:t>
      </w:r>
      <w:r w:rsidR="0052445E" w:rsidRPr="001E05F5">
        <w:t>The baseline model reflect</w:t>
      </w:r>
      <w:r w:rsidRPr="001E05F5">
        <w:t>s</w:t>
      </w:r>
      <w:r w:rsidR="0052445E" w:rsidRPr="001E05F5">
        <w:t xml:space="preserve"> the current service operation</w:t>
      </w:r>
      <w:r w:rsidRPr="001E05F5">
        <w:t xml:space="preserve"> </w:t>
      </w:r>
      <w:r w:rsidR="0052445E" w:rsidRPr="001E05F5">
        <w:t xml:space="preserve">and therefore </w:t>
      </w:r>
      <w:r w:rsidRPr="001E05F5">
        <w:t>provide</w:t>
      </w:r>
      <w:r w:rsidR="001459A3" w:rsidRPr="001E05F5">
        <w:t>s</w:t>
      </w:r>
      <w:r w:rsidRPr="001E05F5">
        <w:t xml:space="preserve"> </w:t>
      </w:r>
      <w:r w:rsidR="0052445E" w:rsidRPr="001E05F5">
        <w:t xml:space="preserve">an accurate representation of the </w:t>
      </w:r>
      <w:r w:rsidR="001459A3" w:rsidRPr="001E05F5">
        <w:t xml:space="preserve">existing </w:t>
      </w:r>
      <w:r w:rsidR="0052445E" w:rsidRPr="001E05F5">
        <w:t>service</w:t>
      </w:r>
      <w:r w:rsidRPr="001E05F5">
        <w:t xml:space="preserve"> to compare against </w:t>
      </w:r>
      <w:r w:rsidR="001459A3" w:rsidRPr="001E05F5">
        <w:t xml:space="preserve">the </w:t>
      </w:r>
      <w:r w:rsidRPr="001E05F5">
        <w:t xml:space="preserve">alternative collection </w:t>
      </w:r>
      <w:r w:rsidR="001459A3" w:rsidRPr="001E05F5">
        <w:t>scenarios</w:t>
      </w:r>
      <w:r w:rsidR="0052445E" w:rsidRPr="001E05F5">
        <w:t>. All cost elements are annualised, including existing bins, vehicles etc. This approach allows a ‘like for like’ comparison against alternative collection systems</w:t>
      </w:r>
      <w:r w:rsidR="001459A3" w:rsidRPr="001E05F5">
        <w:t>.</w:t>
      </w:r>
      <w:r w:rsidR="0052445E" w:rsidRPr="001E05F5">
        <w:t xml:space="preserve"> </w:t>
      </w:r>
    </w:p>
    <w:p w14:paraId="051A6D34" w14:textId="740A4D38" w:rsidR="00C27726" w:rsidRPr="001E05F5" w:rsidRDefault="00C27726" w:rsidP="00C27726">
      <w:r w:rsidRPr="001E05F5">
        <w:t>A number of assumptions</w:t>
      </w:r>
      <w:r w:rsidR="004E121A" w:rsidRPr="001E05F5">
        <w:t xml:space="preserve"> </w:t>
      </w:r>
      <w:r w:rsidRPr="001E05F5">
        <w:t xml:space="preserve">were made to supplement the information provided. These were based on industry practice, either in the form of WRAP guidance or prior experience from comparable </w:t>
      </w:r>
      <w:r w:rsidRPr="001E05F5">
        <w:lastRenderedPageBreak/>
        <w:t>authorities</w:t>
      </w:r>
      <w:r w:rsidR="00376E9F" w:rsidRPr="001E05F5">
        <w:t>.  All assumptions were agreed with officers prior to modelling.</w:t>
      </w:r>
      <w:r w:rsidR="0052445E" w:rsidRPr="001E05F5">
        <w:t xml:space="preserve">  A summary of the KAT modelling assumptions is provided in Appendix D</w:t>
      </w:r>
    </w:p>
    <w:p w14:paraId="61DC0695" w14:textId="5E35F147" w:rsidR="00B93B17" w:rsidRPr="001E05F5" w:rsidRDefault="00376E9F" w:rsidP="00E7613F">
      <w:r w:rsidRPr="001E05F5">
        <w:t>The outputs from KAT</w:t>
      </w:r>
      <w:r w:rsidR="004E121A" w:rsidRPr="001E05F5">
        <w:t xml:space="preserve"> modelling</w:t>
      </w:r>
      <w:r w:rsidRPr="001E05F5">
        <w:t xml:space="preserve"> were fed into the waste flow model.</w:t>
      </w:r>
      <w:r w:rsidR="00B93B17" w:rsidRPr="001E05F5">
        <w:t xml:space="preserve">  In addition, the outputs from KAT have been used to inform the assessment of:</w:t>
      </w:r>
    </w:p>
    <w:p w14:paraId="50F55FCA" w14:textId="77777777" w:rsidR="00B93B17" w:rsidRPr="001E05F5" w:rsidRDefault="00B93B17" w:rsidP="00E7613F">
      <w:pPr>
        <w:pStyle w:val="ListParagraph"/>
        <w:numPr>
          <w:ilvl w:val="0"/>
          <w:numId w:val="21"/>
        </w:numPr>
        <w:spacing w:after="120"/>
      </w:pPr>
      <w:r w:rsidRPr="001E05F5">
        <w:t>Criterion 6: Economic regeneration, including employment and a more circular economy, in term of the employment implications of different collection scenario</w:t>
      </w:r>
      <w:r w:rsidR="00D41BCB" w:rsidRPr="001E05F5">
        <w:t>s</w:t>
      </w:r>
      <w:r w:rsidRPr="001E05F5">
        <w:t>;</w:t>
      </w:r>
    </w:p>
    <w:p w14:paraId="7068A42B" w14:textId="77777777" w:rsidR="00B93B17" w:rsidRPr="001E05F5" w:rsidRDefault="00B93B17" w:rsidP="00E7613F">
      <w:pPr>
        <w:pStyle w:val="ListParagraph"/>
        <w:numPr>
          <w:ilvl w:val="0"/>
          <w:numId w:val="21"/>
        </w:numPr>
        <w:spacing w:after="120"/>
      </w:pPr>
      <w:r w:rsidRPr="001E05F5">
        <w:t xml:space="preserve">Criterion 7: Protection of the environment and natural resources, </w:t>
      </w:r>
      <w:r w:rsidR="00D41BCB" w:rsidRPr="001E05F5">
        <w:t>with the different mileage from the different collection scenarios being fed to the WRATE analysis.</w:t>
      </w:r>
    </w:p>
    <w:p w14:paraId="796EF303" w14:textId="77777777" w:rsidR="00FC2823" w:rsidRPr="001E05F5" w:rsidRDefault="00F73D1E" w:rsidP="00FC2823">
      <w:pPr>
        <w:pStyle w:val="Heading3"/>
        <w:tabs>
          <w:tab w:val="clear" w:pos="282"/>
          <w:tab w:val="num" w:pos="567"/>
        </w:tabs>
        <w:ind w:left="567" w:hanging="567"/>
      </w:pPr>
      <w:r w:rsidRPr="001E05F5">
        <w:t xml:space="preserve"> </w:t>
      </w:r>
      <w:r w:rsidRPr="001E05F5">
        <w:rPr>
          <w:szCs w:val="20"/>
        </w:rPr>
        <w:t>Waste treatment options assumptions</w:t>
      </w:r>
    </w:p>
    <w:p w14:paraId="306DC1C9" w14:textId="0CC1DE4F" w:rsidR="00FC2823" w:rsidRPr="001E05F5" w:rsidRDefault="004E121A" w:rsidP="00E7613F">
      <w:r w:rsidRPr="001E05F5">
        <w:t xml:space="preserve">The </w:t>
      </w:r>
      <w:r w:rsidR="00392A9D" w:rsidRPr="001E05F5">
        <w:t>waste flow model allows the performance of each</w:t>
      </w:r>
      <w:r w:rsidR="008C3812" w:rsidRPr="001E05F5">
        <w:t xml:space="preserve"> of the</w:t>
      </w:r>
      <w:r w:rsidR="00392A9D" w:rsidRPr="001E05F5">
        <w:t xml:space="preserve"> scenarios to be tested and provides outputs for the assessment of</w:t>
      </w:r>
      <w:r w:rsidR="00594E7B" w:rsidRPr="001E05F5">
        <w:t>:</w:t>
      </w:r>
    </w:p>
    <w:p w14:paraId="7DB0140F" w14:textId="77777777" w:rsidR="00A83D3D" w:rsidRPr="001E05F5" w:rsidRDefault="00A83D3D" w:rsidP="00E7613F">
      <w:pPr>
        <w:pStyle w:val="ListParagraph"/>
        <w:numPr>
          <w:ilvl w:val="0"/>
          <w:numId w:val="20"/>
        </w:numPr>
        <w:spacing w:after="120"/>
      </w:pPr>
      <w:r w:rsidRPr="001E05F5">
        <w:t>Criterion 2</w:t>
      </w:r>
      <w:r w:rsidR="00594E7B" w:rsidRPr="001E05F5">
        <w:t>:</w:t>
      </w:r>
      <w:r w:rsidRPr="001E05F5">
        <w:t xml:space="preserve"> Reduces the amount of waste generated by householder and managed by the Councils from baseline forecast</w:t>
      </w:r>
      <w:r w:rsidR="00594E7B" w:rsidRPr="001E05F5">
        <w:t>;</w:t>
      </w:r>
    </w:p>
    <w:p w14:paraId="66FE6DB2" w14:textId="77777777" w:rsidR="00A83D3D" w:rsidRPr="001E05F5" w:rsidRDefault="00594E7B" w:rsidP="00E7613F">
      <w:pPr>
        <w:pStyle w:val="ListParagraph"/>
        <w:numPr>
          <w:ilvl w:val="0"/>
          <w:numId w:val="20"/>
        </w:numPr>
        <w:spacing w:after="120"/>
        <w:rPr>
          <w:szCs w:val="20"/>
        </w:rPr>
      </w:pPr>
      <w:r w:rsidRPr="001E05F5">
        <w:rPr>
          <w:szCs w:val="20"/>
        </w:rPr>
        <w:t xml:space="preserve">Criterion </w:t>
      </w:r>
      <w:r w:rsidR="00A83D3D" w:rsidRPr="001E05F5">
        <w:rPr>
          <w:szCs w:val="20"/>
        </w:rPr>
        <w:t>3</w:t>
      </w:r>
      <w:r w:rsidRPr="001E05F5">
        <w:rPr>
          <w:szCs w:val="20"/>
        </w:rPr>
        <w:t>:</w:t>
      </w:r>
      <w:r w:rsidR="00A83D3D" w:rsidRPr="001E05F5">
        <w:rPr>
          <w:szCs w:val="20"/>
        </w:rPr>
        <w:t xml:space="preserve"> Increases reuse and recycling</w:t>
      </w:r>
      <w:r w:rsidRPr="001E05F5">
        <w:rPr>
          <w:szCs w:val="20"/>
        </w:rPr>
        <w:t>;</w:t>
      </w:r>
    </w:p>
    <w:p w14:paraId="49C33562" w14:textId="77777777" w:rsidR="00A83D3D" w:rsidRPr="001E05F5" w:rsidRDefault="00594E7B" w:rsidP="00E7613F">
      <w:pPr>
        <w:pStyle w:val="ListParagraph"/>
        <w:numPr>
          <w:ilvl w:val="0"/>
          <w:numId w:val="20"/>
        </w:numPr>
        <w:spacing w:after="120"/>
        <w:rPr>
          <w:szCs w:val="20"/>
        </w:rPr>
      </w:pPr>
      <w:r w:rsidRPr="001E05F5">
        <w:rPr>
          <w:szCs w:val="20"/>
        </w:rPr>
        <w:t xml:space="preserve">Criterion </w:t>
      </w:r>
      <w:r w:rsidR="00A83D3D" w:rsidRPr="001E05F5">
        <w:rPr>
          <w:szCs w:val="20"/>
        </w:rPr>
        <w:t>4</w:t>
      </w:r>
      <w:r w:rsidRPr="001E05F5">
        <w:rPr>
          <w:szCs w:val="20"/>
        </w:rPr>
        <w:t>:</w:t>
      </w:r>
      <w:r w:rsidR="00A83D3D" w:rsidRPr="001E05F5">
        <w:rPr>
          <w:szCs w:val="20"/>
        </w:rPr>
        <w:t xml:space="preserve"> Maximises recovery of waste</w:t>
      </w:r>
      <w:r w:rsidRPr="001E05F5">
        <w:rPr>
          <w:szCs w:val="20"/>
        </w:rPr>
        <w:t>;</w:t>
      </w:r>
    </w:p>
    <w:p w14:paraId="60E3C3C5" w14:textId="77777777" w:rsidR="00A83D3D" w:rsidRPr="001E05F5" w:rsidRDefault="00594E7B" w:rsidP="00E7613F">
      <w:pPr>
        <w:pStyle w:val="ListParagraph"/>
        <w:numPr>
          <w:ilvl w:val="0"/>
          <w:numId w:val="20"/>
        </w:numPr>
        <w:spacing w:after="120"/>
        <w:rPr>
          <w:szCs w:val="20"/>
        </w:rPr>
      </w:pPr>
      <w:r w:rsidRPr="001E05F5">
        <w:rPr>
          <w:szCs w:val="20"/>
        </w:rPr>
        <w:t xml:space="preserve">Criterion </w:t>
      </w:r>
      <w:r w:rsidR="00A83D3D" w:rsidRPr="001E05F5">
        <w:rPr>
          <w:szCs w:val="20"/>
        </w:rPr>
        <w:t>5</w:t>
      </w:r>
      <w:r w:rsidRPr="001E05F5">
        <w:rPr>
          <w:szCs w:val="20"/>
        </w:rPr>
        <w:t>:</w:t>
      </w:r>
      <w:r w:rsidR="00A83D3D" w:rsidRPr="001E05F5">
        <w:rPr>
          <w:szCs w:val="20"/>
        </w:rPr>
        <w:t xml:space="preserve"> Working towards zero waste to landfill</w:t>
      </w:r>
      <w:r w:rsidRPr="001E05F5">
        <w:rPr>
          <w:szCs w:val="20"/>
        </w:rPr>
        <w:t xml:space="preserve">; and </w:t>
      </w:r>
    </w:p>
    <w:p w14:paraId="1CDA4E3C" w14:textId="77777777" w:rsidR="00A83D3D" w:rsidRPr="001E05F5" w:rsidRDefault="00594E7B" w:rsidP="00D17D3B">
      <w:pPr>
        <w:pStyle w:val="ListParagraph"/>
        <w:numPr>
          <w:ilvl w:val="0"/>
          <w:numId w:val="20"/>
        </w:numPr>
        <w:rPr>
          <w:szCs w:val="20"/>
        </w:rPr>
      </w:pPr>
      <w:r w:rsidRPr="001E05F5">
        <w:rPr>
          <w:szCs w:val="20"/>
        </w:rPr>
        <w:t xml:space="preserve">Criterion </w:t>
      </w:r>
      <w:r w:rsidRPr="001E05F5">
        <w:rPr>
          <w:color w:val="000000"/>
          <w:szCs w:val="20"/>
        </w:rPr>
        <w:t>9. Affordable (long term measure).</w:t>
      </w:r>
    </w:p>
    <w:p w14:paraId="7DF81C53" w14:textId="1DE174C0" w:rsidR="00A83D3D" w:rsidRPr="001E05F5" w:rsidRDefault="00594E7B" w:rsidP="00A83D3D">
      <w:r w:rsidRPr="001E05F5">
        <w:t>To inform the inputs to the waste flow model</w:t>
      </w:r>
      <w:r w:rsidR="00BC2F5E" w:rsidRPr="001E05F5">
        <w:t xml:space="preserve"> a series of assumptions</w:t>
      </w:r>
      <w:r w:rsidR="00E356FE" w:rsidRPr="001E05F5">
        <w:t xml:space="preserve"> were</w:t>
      </w:r>
      <w:r w:rsidR="00BC2F5E" w:rsidRPr="001E05F5">
        <w:t xml:space="preserve"> need</w:t>
      </w:r>
      <w:r w:rsidR="00044861" w:rsidRPr="001E05F5">
        <w:t>ed</w:t>
      </w:r>
      <w:r w:rsidR="00BC2F5E" w:rsidRPr="001E05F5">
        <w:t xml:space="preserve"> about the waste treatment options</w:t>
      </w:r>
      <w:r w:rsidR="00253EC2" w:rsidRPr="001E05F5">
        <w:t>.</w:t>
      </w:r>
    </w:p>
    <w:p w14:paraId="326395C3" w14:textId="2B8F5ED3" w:rsidR="00044861" w:rsidRPr="001E05F5" w:rsidRDefault="0025401D" w:rsidP="00044861">
      <w:pPr>
        <w:pStyle w:val="Heading4"/>
        <w:numPr>
          <w:ilvl w:val="0"/>
          <w:numId w:val="0"/>
        </w:numPr>
        <w:spacing w:after="0"/>
        <w:ind w:left="284" w:hanging="284"/>
      </w:pPr>
      <w:r>
        <w:t>C</w:t>
      </w:r>
      <w:r w:rsidR="00044861" w:rsidRPr="001E05F5">
        <w:t>ontract extension (beyond 2025) for existing EfW contract</w:t>
      </w:r>
    </w:p>
    <w:p w14:paraId="31752C30" w14:textId="77777777" w:rsidR="00044861" w:rsidRPr="001E05F5" w:rsidRDefault="00044861" w:rsidP="00044861">
      <w:r w:rsidRPr="001E05F5">
        <w:t xml:space="preserve">Under this option, it has been assumed that the existing </w:t>
      </w:r>
      <w:r w:rsidR="00E64934" w:rsidRPr="001E05F5">
        <w:t xml:space="preserve">Haverton Hill </w:t>
      </w:r>
      <w:r w:rsidRPr="001E05F5">
        <w:t xml:space="preserve">EfW continues to be used under an extension to the existing agreements.  The performance of the facility remains the same with waste being received from Hartlepool, Middlesbrough, Redcar and Cleveland and Stockton-on-Tees with Darlington continuing to use the </w:t>
      </w:r>
      <w:r w:rsidR="00253EC2" w:rsidRPr="001E05F5">
        <w:t xml:space="preserve">Stonegrave </w:t>
      </w:r>
      <w:r w:rsidRPr="001E05F5">
        <w:t xml:space="preserve">treatment </w:t>
      </w:r>
      <w:r w:rsidR="00253EC2" w:rsidRPr="001E05F5">
        <w:t xml:space="preserve">facility to prepare an RFD. </w:t>
      </w:r>
    </w:p>
    <w:p w14:paraId="772CF8D0" w14:textId="77777777" w:rsidR="00253EC2" w:rsidRPr="001E05F5" w:rsidRDefault="00253EC2" w:rsidP="00044861">
      <w:r w:rsidRPr="001E05F5">
        <w:t xml:space="preserve">The </w:t>
      </w:r>
      <w:r w:rsidR="00E64934" w:rsidRPr="001E05F5">
        <w:t>agreed</w:t>
      </w:r>
      <w:r w:rsidRPr="001E05F5">
        <w:t xml:space="preserve"> </w:t>
      </w:r>
      <w:r w:rsidR="00E64934" w:rsidRPr="001E05F5">
        <w:t>cost profile for the Haverton Hill EfW continues up 2025 after which the gates fee is aligned with market prices.</w:t>
      </w:r>
    </w:p>
    <w:p w14:paraId="1352396E" w14:textId="77777777" w:rsidR="00E64934" w:rsidRPr="001E05F5" w:rsidRDefault="00E64934" w:rsidP="00E64934">
      <w:pPr>
        <w:pStyle w:val="Heading4"/>
        <w:numPr>
          <w:ilvl w:val="0"/>
          <w:numId w:val="0"/>
        </w:numPr>
        <w:spacing w:after="0"/>
        <w:ind w:left="284" w:hanging="284"/>
      </w:pPr>
      <w:bookmarkStart w:id="14" w:name="_Hlk518994784"/>
      <w:r w:rsidRPr="001E05F5">
        <w:t>New build energy recovery facility</w:t>
      </w:r>
      <w:bookmarkEnd w:id="14"/>
    </w:p>
    <w:p w14:paraId="5471D9CC" w14:textId="1BB59C59" w:rsidR="00E64934" w:rsidRPr="001E05F5" w:rsidRDefault="00E64934" w:rsidP="00E64934">
      <w:r w:rsidRPr="001E05F5">
        <w:t xml:space="preserve">The term energy recovery facility can cover a range of </w:t>
      </w:r>
      <w:r w:rsidR="002F3C78" w:rsidRPr="001E05F5">
        <w:t xml:space="preserve">technologies </w:t>
      </w:r>
      <w:r w:rsidRPr="001E05F5">
        <w:t>and</w:t>
      </w:r>
      <w:r w:rsidR="002F3C78" w:rsidRPr="001E05F5">
        <w:t xml:space="preserve"> facility designs</w:t>
      </w:r>
      <w:r w:rsidRPr="001E05F5">
        <w:t>, such</w:t>
      </w:r>
      <w:r w:rsidR="002F3C78" w:rsidRPr="001E05F5">
        <w:t xml:space="preserve"> Incineration (which usually involves the combustion of unprepared</w:t>
      </w:r>
      <w:r w:rsidR="00C870DE" w:rsidRPr="001E05F5">
        <w:t xml:space="preserve"> residual</w:t>
      </w:r>
      <w:r w:rsidR="009801BD" w:rsidRPr="001E05F5">
        <w:t xml:space="preserve"> waste</w:t>
      </w:r>
      <w:r w:rsidR="002F3C78" w:rsidRPr="001E05F5">
        <w:t>) or Advanced Thermal Treatment (ATT</w:t>
      </w:r>
      <w:r w:rsidR="0058041D" w:rsidRPr="001E05F5">
        <w:t>)</w:t>
      </w:r>
      <w:r w:rsidR="002F3C78" w:rsidRPr="001E05F5">
        <w:t xml:space="preserve"> - the principal process</w:t>
      </w:r>
      <w:r w:rsidR="0058041D" w:rsidRPr="001E05F5">
        <w:t>es</w:t>
      </w:r>
      <w:r w:rsidR="002F3C78" w:rsidRPr="001E05F5">
        <w:t xml:space="preserve"> being gasification</w:t>
      </w:r>
      <w:r w:rsidR="0058041D" w:rsidRPr="001E05F5">
        <w:t xml:space="preserve"> and pyrolysis</w:t>
      </w:r>
      <w:r w:rsidR="002F3C78" w:rsidRPr="001E05F5">
        <w:t xml:space="preserve">.  Both Incineration and ATT technologies offer the option of treating residual waste and recovering energy. </w:t>
      </w:r>
      <w:r w:rsidR="00C870DE" w:rsidRPr="001E05F5">
        <w:t xml:space="preserve"> </w:t>
      </w:r>
      <w:r w:rsidR="002F3C78" w:rsidRPr="001E05F5">
        <w:t>However, these technologies are different in how the waste is processed and the energy liberated for recovery, i.e. combustion directly releases the energy in the waste, whereas pyrolysis and gasification thermally treat the waste to generate secondary products (gas, liquid and/or solid) from which energy can be generated.</w:t>
      </w:r>
    </w:p>
    <w:p w14:paraId="2EBD40BA" w14:textId="09EFA66C" w:rsidR="00DF76FB" w:rsidRPr="001E05F5" w:rsidRDefault="00C870DE" w:rsidP="00E64934">
      <w:r w:rsidRPr="001E05F5">
        <w:t xml:space="preserve">In the UK, there is a proven </w:t>
      </w:r>
      <w:r w:rsidR="0058041D" w:rsidRPr="001E05F5">
        <w:t xml:space="preserve">commercial and operational </w:t>
      </w:r>
      <w:r w:rsidRPr="001E05F5">
        <w:t xml:space="preserve">track record </w:t>
      </w:r>
      <w:r w:rsidR="0058041D" w:rsidRPr="001E05F5">
        <w:t xml:space="preserve">for </w:t>
      </w:r>
      <w:r w:rsidRPr="001E05F5">
        <w:t>incineration, whereas there has been limited success with ATT technologies</w:t>
      </w:r>
      <w:r w:rsidR="00B93B17" w:rsidRPr="001E05F5">
        <w:t xml:space="preserve">.  </w:t>
      </w:r>
      <w:r w:rsidR="00D41BCB" w:rsidRPr="001E05F5">
        <w:t xml:space="preserve">Therefore, for the purposes of the options appraisal process it has been assumed that </w:t>
      </w:r>
      <w:r w:rsidR="0058041D" w:rsidRPr="001E05F5">
        <w:t xml:space="preserve">the </w:t>
      </w:r>
      <w:r w:rsidR="00D41BCB" w:rsidRPr="001E05F5">
        <w:t xml:space="preserve">energy recovery facility would be a new EfW and both electricity only and CHP facilities have been considered.  In the result for these scenarios, the assessment </w:t>
      </w:r>
      <w:r w:rsidR="0058041D" w:rsidRPr="001E05F5">
        <w:t xml:space="preserve">only </w:t>
      </w:r>
      <w:r w:rsidR="00D41BCB" w:rsidRPr="001E05F5">
        <w:t>uses the scores for the CHP facilit</w:t>
      </w:r>
      <w:r w:rsidR="00A76FBB" w:rsidRPr="001E05F5">
        <w:t>y</w:t>
      </w:r>
      <w:r w:rsidR="00D41BCB" w:rsidRPr="001E05F5">
        <w:t xml:space="preserve"> </w:t>
      </w:r>
      <w:r w:rsidR="00A76FBB" w:rsidRPr="001E05F5">
        <w:t>to show the potential benefits from developing a CHP facility.  In this scenario it is assumed that waste for all the Councils is sent for the new energy recovery facility from 2025.</w:t>
      </w:r>
    </w:p>
    <w:p w14:paraId="2D68DC57" w14:textId="77777777" w:rsidR="00A76FBB" w:rsidRPr="001E05F5" w:rsidRDefault="00A76FBB" w:rsidP="00E64934">
      <w:r w:rsidRPr="001E05F5">
        <w:lastRenderedPageBreak/>
        <w:t>In addition, the use of an EfW in the options appraisal process would not prevent an ATT facility being brought forward by a potential contractor in any subsequent procurement process.</w:t>
      </w:r>
    </w:p>
    <w:p w14:paraId="2AD9B4FF" w14:textId="77777777" w:rsidR="00E64934" w:rsidRPr="001E05F5" w:rsidRDefault="00E64934" w:rsidP="00E64934">
      <w:pPr>
        <w:pStyle w:val="Heading4"/>
        <w:numPr>
          <w:ilvl w:val="0"/>
          <w:numId w:val="0"/>
        </w:numPr>
        <w:spacing w:after="0"/>
        <w:ind w:left="284" w:hanging="284"/>
      </w:pPr>
      <w:bookmarkStart w:id="15" w:name="_Hlk518994807"/>
      <w:r w:rsidRPr="001E05F5">
        <w:t xml:space="preserve">New build </w:t>
      </w:r>
      <w:proofErr w:type="gramStart"/>
      <w:r w:rsidRPr="001E05F5">
        <w:t>refuse</w:t>
      </w:r>
      <w:proofErr w:type="gramEnd"/>
      <w:r w:rsidRPr="001E05F5">
        <w:t xml:space="preserve"> derived fuel facility (RDF)</w:t>
      </w:r>
      <w:bookmarkEnd w:id="15"/>
    </w:p>
    <w:p w14:paraId="7D0167BC" w14:textId="40BB2396" w:rsidR="00E64934" w:rsidRPr="001E05F5" w:rsidRDefault="00A76FBB" w:rsidP="00E64934">
      <w:r w:rsidRPr="001E05F5">
        <w:t xml:space="preserve">Under this option, it has been assumed that waste for all the Councils is sent </w:t>
      </w:r>
      <w:r w:rsidR="0058041D" w:rsidRPr="001E05F5">
        <w:t>to a</w:t>
      </w:r>
      <w:r w:rsidRPr="001E05F5">
        <w:t xml:space="preserve"> new RDF facility from 2025 with the RDF being exported to Europe, as is the case with the RDF currently produced from Darlington’s waste at Stonegrave treatment facility.</w:t>
      </w:r>
    </w:p>
    <w:p w14:paraId="39F593FA" w14:textId="77777777" w:rsidR="00E64934" w:rsidRPr="001E05F5" w:rsidRDefault="00E64934" w:rsidP="00E64934">
      <w:pPr>
        <w:pStyle w:val="Heading4"/>
        <w:numPr>
          <w:ilvl w:val="0"/>
          <w:numId w:val="0"/>
        </w:numPr>
        <w:spacing w:after="0"/>
        <w:ind w:left="284" w:hanging="284"/>
      </w:pPr>
      <w:r w:rsidRPr="001E05F5">
        <w:t>Utilise third party energy recovery facility capacity</w:t>
      </w:r>
    </w:p>
    <w:p w14:paraId="1D3AC141" w14:textId="071CDB41" w:rsidR="00E64934" w:rsidRPr="001E05F5" w:rsidRDefault="00595CD3" w:rsidP="00E64934">
      <w:r w:rsidRPr="001E05F5">
        <w:t>Under this option, it has been assumed that, from 2025, capacity at an existing EfW facility outside Tees Valley in the UK is secure</w:t>
      </w:r>
      <w:r w:rsidR="002573F0" w:rsidRPr="001E05F5">
        <w:t>d</w:t>
      </w:r>
      <w:r w:rsidRPr="001E05F5">
        <w:t xml:space="preserve"> for the waste for all the Councils.  So, alongside the gate fee for the 3</w:t>
      </w:r>
      <w:r w:rsidRPr="001E05F5">
        <w:rPr>
          <w:vertAlign w:val="superscript"/>
        </w:rPr>
        <w:t>rd</w:t>
      </w:r>
      <w:r w:rsidRPr="001E05F5">
        <w:t xml:space="preserve"> </w:t>
      </w:r>
      <w:r w:rsidR="00BF335C" w:rsidRPr="001E05F5">
        <w:t>party EfW</w:t>
      </w:r>
      <w:r w:rsidRPr="001E05F5">
        <w:t xml:space="preserve"> facility there is a </w:t>
      </w:r>
      <w:r w:rsidR="002573F0" w:rsidRPr="001E05F5">
        <w:t xml:space="preserve">transport </w:t>
      </w:r>
      <w:r w:rsidRPr="001E05F5">
        <w:t>cost of transferring the waste to the energy recovery facility.</w:t>
      </w:r>
      <w:r w:rsidR="00BF335C" w:rsidRPr="001E05F5">
        <w:t xml:space="preserve">  </w:t>
      </w:r>
    </w:p>
    <w:p w14:paraId="72148F83" w14:textId="77777777" w:rsidR="00F73D1E" w:rsidRPr="001E05F5" w:rsidRDefault="004F09B3" w:rsidP="004F09B3">
      <w:pPr>
        <w:pStyle w:val="Heading3"/>
        <w:tabs>
          <w:tab w:val="clear" w:pos="282"/>
          <w:tab w:val="num" w:pos="567"/>
        </w:tabs>
        <w:ind w:left="567" w:hanging="567"/>
      </w:pPr>
      <w:r w:rsidRPr="001E05F5">
        <w:t>WRATE assumptions</w:t>
      </w:r>
    </w:p>
    <w:p w14:paraId="19D27793" w14:textId="77777777" w:rsidR="00E7613F" w:rsidRPr="001E05F5" w:rsidRDefault="00E7613F" w:rsidP="00E7613F">
      <w:r w:rsidRPr="001E05F5">
        <w:t xml:space="preserve">The WRATE (Waste and Resources Assessment Tool for the Environment) software developed by the Environment Agency was used to perform a life cycle analysis for the baseline and alternative scenarios (primarily the collection and residual treatment options). WRATE is applied to assess environmental impacts of waste management activities during their whole life cycle. The model incorporates the </w:t>
      </w:r>
      <w:proofErr w:type="spellStart"/>
      <w:r w:rsidRPr="001E05F5">
        <w:t>EcoInvent</w:t>
      </w:r>
      <w:proofErr w:type="spellEnd"/>
      <w:r w:rsidRPr="001E05F5">
        <w:t xml:space="preserve"> life cycle database, allowing the environmental impacts of the material inputs and outputs to be calculated. The model includes peer reviewed waste management data and processes to facilitate the benefits and disbenefits of waste treatment, recycling and disposal. </w:t>
      </w:r>
    </w:p>
    <w:p w14:paraId="3A41F3EE" w14:textId="77777777" w:rsidR="00E7613F" w:rsidRPr="001E05F5" w:rsidRDefault="00E7613F" w:rsidP="00E7613F">
      <w:r w:rsidRPr="001E05F5">
        <w:t>The WRATE results include the following parameters which have been utilised for the Strategy development process, either in terms of this options appraisal or the Strategic environmental assessment:</w:t>
      </w:r>
    </w:p>
    <w:p w14:paraId="0F37CDC7" w14:textId="77777777" w:rsidR="00E7613F" w:rsidRPr="001E05F5" w:rsidRDefault="00E7613F" w:rsidP="00E7613F">
      <w:pPr>
        <w:pStyle w:val="ListParagraph"/>
        <w:numPr>
          <w:ilvl w:val="0"/>
          <w:numId w:val="14"/>
        </w:numPr>
        <w:spacing w:after="120"/>
        <w:ind w:left="714" w:hanging="357"/>
      </w:pPr>
      <w:r w:rsidRPr="001E05F5">
        <w:t>Climate Change impacts</w:t>
      </w:r>
    </w:p>
    <w:p w14:paraId="6ADDF660" w14:textId="77777777" w:rsidR="00E7613F" w:rsidRPr="001E05F5" w:rsidRDefault="00E7613F" w:rsidP="00E7613F">
      <w:pPr>
        <w:pStyle w:val="ListParagraph"/>
        <w:numPr>
          <w:ilvl w:val="0"/>
          <w:numId w:val="14"/>
        </w:numPr>
        <w:spacing w:after="120"/>
        <w:ind w:left="714" w:hanging="357"/>
      </w:pPr>
      <w:r w:rsidRPr="001E05F5">
        <w:t>Human Toxicity</w:t>
      </w:r>
    </w:p>
    <w:p w14:paraId="6041ABB9" w14:textId="77777777" w:rsidR="00E7613F" w:rsidRPr="001E05F5" w:rsidRDefault="00E7613F" w:rsidP="00E7613F">
      <w:pPr>
        <w:pStyle w:val="ListParagraph"/>
        <w:numPr>
          <w:ilvl w:val="0"/>
          <w:numId w:val="14"/>
        </w:numPr>
        <w:spacing w:after="120"/>
        <w:ind w:left="714" w:hanging="357"/>
      </w:pPr>
      <w:r w:rsidRPr="001E05F5">
        <w:t>Acidification</w:t>
      </w:r>
    </w:p>
    <w:p w14:paraId="5265B2F2" w14:textId="77777777" w:rsidR="00E7613F" w:rsidRPr="001E05F5" w:rsidRDefault="00E7613F" w:rsidP="00E7613F">
      <w:pPr>
        <w:pStyle w:val="ListParagraph"/>
        <w:numPr>
          <w:ilvl w:val="0"/>
          <w:numId w:val="14"/>
        </w:numPr>
        <w:spacing w:after="120"/>
        <w:ind w:left="714" w:hanging="357"/>
      </w:pPr>
      <w:r w:rsidRPr="001E05F5">
        <w:t>Eutrophication</w:t>
      </w:r>
    </w:p>
    <w:p w14:paraId="228EC67B" w14:textId="77777777" w:rsidR="00E7613F" w:rsidRPr="001E05F5" w:rsidRDefault="00E7613F" w:rsidP="00E7613F">
      <w:pPr>
        <w:pStyle w:val="ListParagraph"/>
        <w:numPr>
          <w:ilvl w:val="0"/>
          <w:numId w:val="14"/>
        </w:numPr>
        <w:spacing w:after="120"/>
        <w:ind w:left="714" w:hanging="357"/>
      </w:pPr>
      <w:r w:rsidRPr="001E05F5">
        <w:t>Resource Use</w:t>
      </w:r>
    </w:p>
    <w:p w14:paraId="5A612AFB" w14:textId="77777777" w:rsidR="00E7613F" w:rsidRPr="001E05F5" w:rsidRDefault="00E7613F" w:rsidP="00E7613F">
      <w:pPr>
        <w:pStyle w:val="ListParagraph"/>
        <w:numPr>
          <w:ilvl w:val="0"/>
          <w:numId w:val="14"/>
        </w:numPr>
        <w:spacing w:after="120"/>
        <w:ind w:left="714" w:hanging="357"/>
      </w:pPr>
      <w:r w:rsidRPr="001E05F5">
        <w:t>Freshwater Aquatic Toxicity</w:t>
      </w:r>
    </w:p>
    <w:p w14:paraId="5CBAD844" w14:textId="77777777" w:rsidR="00E7613F" w:rsidRPr="001E05F5" w:rsidRDefault="00E7613F" w:rsidP="00E7613F">
      <w:pPr>
        <w:pStyle w:val="ListParagraph"/>
        <w:numPr>
          <w:ilvl w:val="0"/>
          <w:numId w:val="14"/>
        </w:numPr>
        <w:spacing w:after="120"/>
        <w:ind w:left="714" w:hanging="357"/>
      </w:pPr>
      <w:r w:rsidRPr="001E05F5">
        <w:t>Land Take</w:t>
      </w:r>
    </w:p>
    <w:p w14:paraId="070796ED" w14:textId="77777777" w:rsidR="00E7613F" w:rsidRPr="001E05F5" w:rsidRDefault="00E7613F" w:rsidP="00E7613F">
      <w:pPr>
        <w:pStyle w:val="ListParagraph"/>
        <w:numPr>
          <w:ilvl w:val="0"/>
          <w:numId w:val="14"/>
        </w:numPr>
      </w:pPr>
      <w:r w:rsidRPr="001E05F5">
        <w:t>Vehicle Mileage data</w:t>
      </w:r>
    </w:p>
    <w:p w14:paraId="4935BCFE" w14:textId="77777777" w:rsidR="00E7613F" w:rsidRPr="001E05F5" w:rsidRDefault="00E7613F" w:rsidP="00E7613F">
      <w:r w:rsidRPr="001E05F5">
        <w:t>It should be noted that WRATE is not a good tool for measuring waste prevention or re-use activity, and for these options alternative approaches have been used within the options appraisal.</w:t>
      </w:r>
    </w:p>
    <w:p w14:paraId="2DA02D46" w14:textId="77777777" w:rsidR="00E7613F" w:rsidRPr="001E05F5" w:rsidRDefault="00E7613F" w:rsidP="00E7613F">
      <w:r w:rsidRPr="001E05F5">
        <w:t xml:space="preserve">A comparison of alternative collection and treatment options and the effect of implementing alternative collection systems was modelled using the 2027 waste arisings (from the waste flow model) and associated estimated energy mix (within WRATE). This is the mid-point of the strategy and a point by which alternative residual waste treatment systems are assumed to have been implemented. </w:t>
      </w:r>
    </w:p>
    <w:p w14:paraId="74F59777" w14:textId="2A6FDF1C" w:rsidR="00E7613F" w:rsidRPr="001E05F5" w:rsidRDefault="00E7613F" w:rsidP="00E7613F">
      <w:pPr>
        <w:rPr>
          <w:rFonts w:cs="Arial"/>
          <w:szCs w:val="20"/>
        </w:rPr>
      </w:pPr>
      <w:r w:rsidRPr="001E05F5">
        <w:rPr>
          <w:rFonts w:cs="Arial"/>
          <w:szCs w:val="20"/>
        </w:rPr>
        <w:t xml:space="preserve">The assumptions applied within the models incorporated the data from the collection modelling (KAT), waste growth assumptions and the </w:t>
      </w:r>
      <w:r w:rsidR="002573F0" w:rsidRPr="001E05F5">
        <w:rPr>
          <w:rFonts w:cs="Arial"/>
          <w:szCs w:val="20"/>
        </w:rPr>
        <w:t>w</w:t>
      </w:r>
      <w:r w:rsidRPr="001E05F5">
        <w:rPr>
          <w:rFonts w:cs="Arial"/>
          <w:szCs w:val="20"/>
        </w:rPr>
        <w:t xml:space="preserve">aste </w:t>
      </w:r>
      <w:r w:rsidR="002573F0" w:rsidRPr="001E05F5">
        <w:rPr>
          <w:rFonts w:cs="Arial"/>
          <w:szCs w:val="20"/>
        </w:rPr>
        <w:t>f</w:t>
      </w:r>
      <w:r w:rsidRPr="001E05F5">
        <w:rPr>
          <w:rFonts w:cs="Arial"/>
          <w:szCs w:val="20"/>
        </w:rPr>
        <w:t>low model assumptions. Other key assumptions applied to the modelling are:</w:t>
      </w:r>
    </w:p>
    <w:p w14:paraId="0CC0A38C" w14:textId="77777777" w:rsidR="00E7613F" w:rsidRPr="001E05F5" w:rsidRDefault="00E7613F" w:rsidP="00E7613F">
      <w:pPr>
        <w:pStyle w:val="ListParagraph"/>
        <w:numPr>
          <w:ilvl w:val="0"/>
          <w:numId w:val="14"/>
        </w:numPr>
        <w:spacing w:after="120"/>
        <w:ind w:left="714" w:hanging="357"/>
      </w:pPr>
      <w:r w:rsidRPr="001E05F5">
        <w:t>Default technologies and closest vehicles applied from WRATE database</w:t>
      </w:r>
    </w:p>
    <w:p w14:paraId="554EFA50" w14:textId="77777777" w:rsidR="00E7613F" w:rsidRPr="001E05F5" w:rsidRDefault="00E7613F" w:rsidP="00E7613F">
      <w:pPr>
        <w:pStyle w:val="ListParagraph"/>
        <w:numPr>
          <w:ilvl w:val="0"/>
          <w:numId w:val="14"/>
        </w:numPr>
        <w:spacing w:after="120"/>
        <w:ind w:left="714" w:hanging="357"/>
      </w:pPr>
      <w:r w:rsidRPr="001E05F5">
        <w:lastRenderedPageBreak/>
        <w:t>Existing mass balances and energy recovery efficiency applied for the RDF and EfW plants respectively</w:t>
      </w:r>
    </w:p>
    <w:p w14:paraId="51E5C1B4" w14:textId="77777777" w:rsidR="00E7613F" w:rsidRPr="001E05F5" w:rsidRDefault="00E7613F" w:rsidP="00E7613F">
      <w:pPr>
        <w:pStyle w:val="ListParagraph"/>
        <w:numPr>
          <w:ilvl w:val="0"/>
          <w:numId w:val="14"/>
        </w:numPr>
        <w:spacing w:after="120"/>
        <w:ind w:left="714" w:hanging="357"/>
      </w:pPr>
      <w:r w:rsidRPr="001E05F5">
        <w:t>New EfW plant scenario has 29% electrical efficiency</w:t>
      </w:r>
    </w:p>
    <w:p w14:paraId="7644ECC8" w14:textId="5B82680F" w:rsidR="00E7613F" w:rsidRPr="001E05F5" w:rsidRDefault="00E7613F" w:rsidP="00E7613F">
      <w:pPr>
        <w:pStyle w:val="ListParagraph"/>
        <w:numPr>
          <w:ilvl w:val="0"/>
          <w:numId w:val="14"/>
        </w:numPr>
        <w:spacing w:after="120"/>
        <w:ind w:left="714" w:hanging="357"/>
      </w:pPr>
      <w:r w:rsidRPr="001E05F5">
        <w:t>Third party EfW plant assumed at 50</w:t>
      </w:r>
      <w:r w:rsidR="002B1748" w:rsidRPr="001E05F5">
        <w:t>-</w:t>
      </w:r>
      <w:r w:rsidRPr="001E05F5">
        <w:t>mile A-B distance from waste arisings</w:t>
      </w:r>
    </w:p>
    <w:p w14:paraId="4D3C9F0E" w14:textId="77777777" w:rsidR="00E7613F" w:rsidRPr="001E05F5" w:rsidRDefault="00E7613F" w:rsidP="00E7613F">
      <w:pPr>
        <w:pStyle w:val="ListParagraph"/>
        <w:numPr>
          <w:ilvl w:val="0"/>
          <w:numId w:val="14"/>
        </w:numPr>
        <w:spacing w:after="120"/>
        <w:ind w:left="714" w:hanging="357"/>
      </w:pPr>
      <w:r w:rsidRPr="001E05F5">
        <w:t>Anaerobic Digestion assumed for food waste processing</w:t>
      </w:r>
    </w:p>
    <w:p w14:paraId="29AEB33B" w14:textId="77777777" w:rsidR="00E7613F" w:rsidRPr="001E05F5" w:rsidRDefault="00E7613F" w:rsidP="00E7613F">
      <w:pPr>
        <w:pStyle w:val="ListParagraph"/>
        <w:numPr>
          <w:ilvl w:val="0"/>
          <w:numId w:val="14"/>
        </w:numPr>
        <w:spacing w:after="120"/>
        <w:ind w:left="714" w:hanging="357"/>
      </w:pPr>
      <w:r w:rsidRPr="001E05F5">
        <w:t>Where waste is displaced (e.g. via the charged garden collection), this is sent to home composting in the model as a proxy of impact</w:t>
      </w:r>
    </w:p>
    <w:p w14:paraId="2E1E9B6D" w14:textId="77777777" w:rsidR="00E7613F" w:rsidRPr="001E05F5" w:rsidRDefault="00E7613F" w:rsidP="00E7613F">
      <w:pPr>
        <w:pStyle w:val="ListParagraph"/>
        <w:numPr>
          <w:ilvl w:val="0"/>
          <w:numId w:val="14"/>
        </w:numPr>
        <w:spacing w:after="120"/>
        <w:ind w:left="714" w:hanging="357"/>
      </w:pPr>
      <w:r w:rsidRPr="001E05F5">
        <w:t>Collection mileages from KAT are inflated by the same factor as waste growth (in 2027) as a proxy of vehicle impacts</w:t>
      </w:r>
    </w:p>
    <w:p w14:paraId="673D78E4" w14:textId="77777777" w:rsidR="00E7613F" w:rsidRPr="001E05F5" w:rsidRDefault="00E7613F" w:rsidP="00E7613F">
      <w:pPr>
        <w:pStyle w:val="ListParagraph"/>
        <w:numPr>
          <w:ilvl w:val="0"/>
          <w:numId w:val="14"/>
        </w:numPr>
        <w:spacing w:after="120"/>
        <w:ind w:left="714" w:hanging="357"/>
      </w:pPr>
      <w:r w:rsidRPr="001E05F5">
        <w:t>RDF is exported as per actual situation, to Latvia</w:t>
      </w:r>
    </w:p>
    <w:p w14:paraId="3C53A9EE" w14:textId="77777777" w:rsidR="00E7613F" w:rsidRPr="001E05F5" w:rsidRDefault="00E7613F" w:rsidP="00E7613F">
      <w:pPr>
        <w:pStyle w:val="ListParagraph"/>
        <w:numPr>
          <w:ilvl w:val="0"/>
          <w:numId w:val="14"/>
        </w:numPr>
        <w:spacing w:after="120"/>
        <w:ind w:left="714" w:hanging="357"/>
      </w:pPr>
      <w:r w:rsidRPr="001E05F5">
        <w:t xml:space="preserve">All reprocessors / </w:t>
      </w:r>
      <w:r w:rsidR="007A1123" w:rsidRPr="001E05F5">
        <w:t>non-specific</w:t>
      </w:r>
      <w:r w:rsidRPr="001E05F5">
        <w:t xml:space="preserve"> outputs are set as 20km (A-B) distance, with the exception of Air Pollution Control residues which are 50km. Incinerator Bottom Ash (IBA) assumed to be processed at the EfW site, as per current arrangement</w:t>
      </w:r>
    </w:p>
    <w:p w14:paraId="70AAE6E6" w14:textId="77777777" w:rsidR="00E7613F" w:rsidRPr="001E05F5" w:rsidRDefault="00E7613F" w:rsidP="00E7613F">
      <w:pPr>
        <w:pStyle w:val="ListParagraph"/>
        <w:numPr>
          <w:ilvl w:val="0"/>
          <w:numId w:val="14"/>
        </w:numPr>
        <w:spacing w:after="120"/>
        <w:ind w:left="714" w:hanging="357"/>
      </w:pPr>
      <w:r w:rsidRPr="001E05F5">
        <w:t>Separated recyclate fractions are sent straight to a transfer station, comingled recyclate streams to an MRF</w:t>
      </w:r>
    </w:p>
    <w:p w14:paraId="676904C8" w14:textId="77777777" w:rsidR="00E7613F" w:rsidRPr="001E05F5" w:rsidRDefault="00FC2AED" w:rsidP="00E7613F">
      <w:pPr>
        <w:rPr>
          <w:rFonts w:cs="Arial"/>
          <w:szCs w:val="20"/>
        </w:rPr>
      </w:pPr>
      <w:r w:rsidRPr="001E05F5">
        <w:rPr>
          <w:rFonts w:cs="Arial"/>
          <w:szCs w:val="20"/>
        </w:rPr>
        <w:t xml:space="preserve">Figure 4.3 </w:t>
      </w:r>
      <w:r w:rsidR="00E7613F" w:rsidRPr="001E05F5">
        <w:rPr>
          <w:rFonts w:cs="Arial"/>
          <w:szCs w:val="20"/>
        </w:rPr>
        <w:t xml:space="preserve">illustrates the structure of a scenario being modelled using WRATE. </w:t>
      </w:r>
      <w:bookmarkStart w:id="16" w:name="_Ref519084376"/>
    </w:p>
    <w:bookmarkEnd w:id="16"/>
    <w:p w14:paraId="42E956FB" w14:textId="77777777" w:rsidR="00E7613F" w:rsidRPr="001E05F5" w:rsidRDefault="00FC2AED" w:rsidP="00E7613F">
      <w:pPr>
        <w:rPr>
          <w:b/>
        </w:rPr>
      </w:pPr>
      <w:r w:rsidRPr="001E05F5">
        <w:rPr>
          <w:rFonts w:cs="Arial"/>
          <w:b/>
          <w:szCs w:val="20"/>
        </w:rPr>
        <w:t xml:space="preserve">Figure 4.3: </w:t>
      </w:r>
      <w:r w:rsidR="00E7613F" w:rsidRPr="001E05F5">
        <w:rPr>
          <w:b/>
        </w:rPr>
        <w:t>Schematic of the Tees Valley WRATE Model</w:t>
      </w:r>
    </w:p>
    <w:p w14:paraId="0CBAAB5C" w14:textId="77777777" w:rsidR="00E7613F" w:rsidRPr="001E05F5" w:rsidRDefault="00E7613F" w:rsidP="00E7613F">
      <w:pPr>
        <w:rPr>
          <w:rFonts w:asciiTheme="majorHAnsi" w:eastAsiaTheme="majorEastAsia" w:hAnsiTheme="majorHAnsi" w:cstheme="majorBidi"/>
          <w:sz w:val="26"/>
          <w:szCs w:val="26"/>
        </w:rPr>
      </w:pPr>
      <w:r w:rsidRPr="001E05F5">
        <w:rPr>
          <w:rFonts w:asciiTheme="majorHAnsi" w:eastAsiaTheme="majorEastAsia" w:hAnsiTheme="majorHAnsi" w:cstheme="majorBidi"/>
          <w:noProof/>
          <w:color w:val="365F91" w:themeColor="accent1" w:themeShade="BF"/>
          <w:sz w:val="26"/>
          <w:szCs w:val="26"/>
          <w:lang w:eastAsia="en-GB"/>
        </w:rPr>
        <w:drawing>
          <wp:inline distT="0" distB="0" distL="0" distR="0" wp14:anchorId="41156C3C" wp14:editId="6DE620AC">
            <wp:extent cx="6103620" cy="458242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4145"/>
                    <a:stretch/>
                  </pic:blipFill>
                  <pic:spPr bwMode="auto">
                    <a:xfrm>
                      <a:off x="0" y="0"/>
                      <a:ext cx="6142039" cy="4611267"/>
                    </a:xfrm>
                    <a:prstGeom prst="rect">
                      <a:avLst/>
                    </a:prstGeom>
                    <a:noFill/>
                    <a:ln>
                      <a:noFill/>
                    </a:ln>
                    <a:extLst>
                      <a:ext uri="{53640926-AAD7-44D8-BBD7-CCE9431645EC}">
                        <a14:shadowObscured xmlns:a14="http://schemas.microsoft.com/office/drawing/2010/main"/>
                      </a:ext>
                    </a:extLst>
                  </pic:spPr>
                </pic:pic>
              </a:graphicData>
            </a:graphic>
          </wp:inline>
        </w:drawing>
      </w:r>
    </w:p>
    <w:p w14:paraId="704CA988" w14:textId="77777777" w:rsidR="004F09B3" w:rsidRPr="001E05F5" w:rsidRDefault="00595CD3" w:rsidP="00595CD3">
      <w:pPr>
        <w:pStyle w:val="Heading3"/>
        <w:tabs>
          <w:tab w:val="clear" w:pos="282"/>
          <w:tab w:val="num" w:pos="567"/>
        </w:tabs>
        <w:ind w:left="567" w:hanging="567"/>
      </w:pPr>
      <w:r w:rsidRPr="001E05F5">
        <w:lastRenderedPageBreak/>
        <w:t>Other Assumptions</w:t>
      </w:r>
    </w:p>
    <w:p w14:paraId="1F2C6B8E" w14:textId="36359D71" w:rsidR="00E356FE" w:rsidRPr="001E05F5" w:rsidRDefault="0054629A" w:rsidP="00E356FE">
      <w:r w:rsidRPr="001E05F5">
        <w:t xml:space="preserve">2016/17 figure were used for the </w:t>
      </w:r>
      <w:r w:rsidR="00E356FE" w:rsidRPr="001E05F5">
        <w:t xml:space="preserve">base year for the </w:t>
      </w:r>
      <w:r w:rsidRPr="001E05F5">
        <w:t xml:space="preserve">waste </w:t>
      </w:r>
      <w:r w:rsidR="00E356FE" w:rsidRPr="001E05F5">
        <w:t xml:space="preserve">arisings </w:t>
      </w:r>
      <w:r w:rsidRPr="001E05F5">
        <w:t>from</w:t>
      </w:r>
      <w:r w:rsidR="00E356FE" w:rsidRPr="001E05F5">
        <w:t xml:space="preserve"> </w:t>
      </w:r>
      <w:proofErr w:type="spellStart"/>
      <w:r w:rsidR="00E356FE" w:rsidRPr="001E05F5">
        <w:t>Waste</w:t>
      </w:r>
      <w:r w:rsidR="00571F2D" w:rsidRPr="001E05F5">
        <w:t>DateFlow</w:t>
      </w:r>
      <w:proofErr w:type="spellEnd"/>
      <w:r w:rsidR="00571F2D" w:rsidRPr="001E05F5">
        <w:rPr>
          <w:rStyle w:val="FootnoteReference"/>
        </w:rPr>
        <w:footnoteReference w:id="4"/>
      </w:r>
      <w:r w:rsidR="00E356FE" w:rsidRPr="001E05F5">
        <w:t>.</w:t>
      </w:r>
    </w:p>
    <w:p w14:paraId="0626F09E" w14:textId="73EF446A" w:rsidR="00E356FE" w:rsidRPr="001E05F5" w:rsidRDefault="00E356FE" w:rsidP="00E356FE">
      <w:r w:rsidRPr="001E05F5">
        <w:t>The inflation rate for all costs is assumed to be 2.5% pa other than where future price profiles have been provided.</w:t>
      </w:r>
    </w:p>
    <w:p w14:paraId="040E1488" w14:textId="77777777" w:rsidR="00E356FE" w:rsidRPr="001E05F5" w:rsidRDefault="00E356FE" w:rsidP="00E356FE">
      <w:r w:rsidRPr="001E05F5">
        <w:t>The changes in the collection arrangements has been modelled to start from 1st April 2020 for all authorities.</w:t>
      </w:r>
    </w:p>
    <w:p w14:paraId="2B364AF2" w14:textId="28605451" w:rsidR="00E356FE" w:rsidRPr="001E05F5" w:rsidRDefault="00E356FE" w:rsidP="00E356FE">
      <w:r w:rsidRPr="001E05F5">
        <w:t xml:space="preserve">In the scenarios where additional recycling communications are </w:t>
      </w:r>
      <w:r w:rsidR="0054629A" w:rsidRPr="001E05F5">
        <w:t>employed,</w:t>
      </w:r>
      <w:r w:rsidRPr="001E05F5">
        <w:t xml:space="preserve"> and additional activities are used to enhance the recycling at HWRCS</w:t>
      </w:r>
      <w:r w:rsidR="002B1748" w:rsidRPr="001E05F5">
        <w:t>, t</w:t>
      </w:r>
      <w:r w:rsidRPr="001E05F5">
        <w:t xml:space="preserve">his has been modelled as a 2.5% increase in the amount of recyclates in the first year and a 0.5% increase for the subsequent 9 years ending in 2030.  This </w:t>
      </w:r>
      <w:r w:rsidR="002E25EB" w:rsidRPr="001E05F5">
        <w:t>has been assumed to</w:t>
      </w:r>
      <w:r w:rsidRPr="001E05F5">
        <w:t xml:space="preserve"> cost £1 per household in addition to the normal collection costs.  The impact of the HWRC interventions will lead to an increase in recycling and reuse of 11% for Middlesbrough, Stockton and Hartlepool or 12% for Redcar and Cleveland and Darlington.  The costs to set this up are £50k per site plus an annual cost of £25k for additional staffing.</w:t>
      </w:r>
    </w:p>
    <w:p w14:paraId="5CE5FFD4" w14:textId="7399D1AA" w:rsidR="00E356FE" w:rsidRPr="001E05F5" w:rsidRDefault="00E356FE" w:rsidP="00E356FE">
      <w:pPr>
        <w:pStyle w:val="Heading4"/>
        <w:numPr>
          <w:ilvl w:val="0"/>
          <w:numId w:val="0"/>
        </w:numPr>
        <w:spacing w:after="0"/>
        <w:ind w:left="284" w:hanging="284"/>
      </w:pPr>
      <w:r w:rsidRPr="001E05F5">
        <w:t>Anaerobic Digestion</w:t>
      </w:r>
    </w:p>
    <w:p w14:paraId="7E9440A7" w14:textId="388388A0" w:rsidR="00E356FE" w:rsidRPr="001E05F5" w:rsidRDefault="00E356FE" w:rsidP="00E356FE">
      <w:r w:rsidRPr="001E05F5">
        <w:t xml:space="preserve">Where scenarios utilise separate food waste collection this is sent to anaerobic digestion, which is modelled as a facility within the </w:t>
      </w:r>
      <w:r w:rsidR="002E25EB" w:rsidRPr="001E05F5">
        <w:t xml:space="preserve">Tees Valley </w:t>
      </w:r>
      <w:r w:rsidRPr="001E05F5">
        <w:t>area</w:t>
      </w:r>
      <w:r w:rsidR="002B1748" w:rsidRPr="001E05F5">
        <w:t>,</w:t>
      </w:r>
      <w:r w:rsidRPr="001E05F5">
        <w:t xml:space="preserve"> but no specific facility is represented.  A gate fee of £20/t is assumed</w:t>
      </w:r>
    </w:p>
    <w:p w14:paraId="1881424D" w14:textId="77777777" w:rsidR="00E356FE" w:rsidRPr="001E05F5" w:rsidRDefault="00E356FE" w:rsidP="00E356FE">
      <w:pPr>
        <w:pStyle w:val="Heading4"/>
        <w:numPr>
          <w:ilvl w:val="0"/>
          <w:numId w:val="0"/>
        </w:numPr>
        <w:spacing w:after="0"/>
        <w:ind w:left="284" w:hanging="284"/>
      </w:pPr>
      <w:r w:rsidRPr="001E05F5">
        <w:t>New RDF production facility</w:t>
      </w:r>
    </w:p>
    <w:p w14:paraId="31D952B9" w14:textId="697F7725" w:rsidR="00E356FE" w:rsidRPr="001E05F5" w:rsidRDefault="00E356FE" w:rsidP="00E356FE">
      <w:r w:rsidRPr="001E05F5">
        <w:t xml:space="preserve">Based on </w:t>
      </w:r>
      <w:r w:rsidR="002E25EB" w:rsidRPr="001E05F5">
        <w:t xml:space="preserve">a typical </w:t>
      </w:r>
      <w:r w:rsidRPr="001E05F5">
        <w:t>performance of 33% mass loss,</w:t>
      </w:r>
      <w:r w:rsidR="002E25EB" w:rsidRPr="001E05F5">
        <w:t xml:space="preserve"> </w:t>
      </w:r>
      <w:r w:rsidRPr="001E05F5">
        <w:t>2% recycling, 35% RDF, 30% landfill.</w:t>
      </w:r>
    </w:p>
    <w:p w14:paraId="7947595F" w14:textId="77777777" w:rsidR="00E356FE" w:rsidRPr="001E05F5" w:rsidRDefault="00E356FE" w:rsidP="00E356FE">
      <w:r w:rsidRPr="001E05F5">
        <w:t>Costs are £25/t operational cost, RDF gate fee of £100/t and landfill at the prevailing costs (gate fee plus landfill tax)</w:t>
      </w:r>
    </w:p>
    <w:p w14:paraId="413C8D5E" w14:textId="77777777" w:rsidR="00E356FE" w:rsidRPr="001E05F5" w:rsidRDefault="00E356FE" w:rsidP="00E356FE">
      <w:pPr>
        <w:pStyle w:val="Heading4"/>
        <w:numPr>
          <w:ilvl w:val="0"/>
          <w:numId w:val="0"/>
        </w:numPr>
        <w:spacing w:after="0"/>
        <w:ind w:left="284" w:hanging="284"/>
      </w:pPr>
      <w:r w:rsidRPr="001E05F5">
        <w:t>New EfW</w:t>
      </w:r>
    </w:p>
    <w:p w14:paraId="4B0832BA" w14:textId="5CEE4AB9" w:rsidR="00E356FE" w:rsidRPr="001E05F5" w:rsidRDefault="00E356FE" w:rsidP="00E356FE">
      <w:r w:rsidRPr="001E05F5">
        <w:t>For the scenario analysis</w:t>
      </w:r>
      <w:r w:rsidR="002E25EB" w:rsidRPr="001E05F5">
        <w:t>,</w:t>
      </w:r>
      <w:r w:rsidRPr="001E05F5">
        <w:t xml:space="preserve"> data from a range of facilities has been collated and two options have been assessed.  A local facility of 250ktpa capacity and a larger (450ktpa) remote “merchant” facility.  The costs for the local facility is estimated at £83.56 /t on a 2016/17 basis and inflated at 2.5% pa.  The larger non-local facility was assumed to cost £68.14/t but require £15/t in additional transport costs, but again on a 2016/17 basis plus 2.5% inflation.</w:t>
      </w:r>
    </w:p>
    <w:p w14:paraId="148EF2C6" w14:textId="579F52DF" w:rsidR="00E356FE" w:rsidRPr="001E05F5" w:rsidRDefault="00E356FE" w:rsidP="00E356FE">
      <w:r w:rsidRPr="001E05F5">
        <w:t xml:space="preserve">The mass balance assumed </w:t>
      </w:r>
      <w:r w:rsidR="004F0C10" w:rsidRPr="001E05F5">
        <w:t>was</w:t>
      </w:r>
      <w:r w:rsidRPr="001E05F5">
        <w:t>, 3.6% APCR and unrecovered IBA to landfill, 2% recycled, 73% process loss and 21.4% recovered IBA.</w:t>
      </w:r>
    </w:p>
    <w:p w14:paraId="4B044A4E" w14:textId="77777777" w:rsidR="00E356FE" w:rsidRPr="001E05F5" w:rsidRDefault="00E356FE" w:rsidP="00E356FE">
      <w:pPr>
        <w:pStyle w:val="Heading4"/>
        <w:numPr>
          <w:ilvl w:val="0"/>
          <w:numId w:val="0"/>
        </w:numPr>
        <w:spacing w:after="0"/>
        <w:ind w:left="284" w:hanging="284"/>
      </w:pPr>
      <w:r w:rsidRPr="001E05F5">
        <w:t>Landfill</w:t>
      </w:r>
    </w:p>
    <w:p w14:paraId="3BB33605" w14:textId="76BD8470" w:rsidR="00E356FE" w:rsidRPr="001E05F5" w:rsidRDefault="00E356FE" w:rsidP="00E356FE">
      <w:r w:rsidRPr="001E05F5">
        <w:t xml:space="preserve">The model assumes a single gate fee of £24.95 plus the landfill tax at the </w:t>
      </w:r>
      <w:r w:rsidR="004F0C10" w:rsidRPr="001E05F5">
        <w:t xml:space="preserve">current rate </w:t>
      </w:r>
      <w:r w:rsidRPr="001E05F5">
        <w:t>and in subsequent years inflated in line with the other cost in the model at 2.5%.  Landfill of asbestos is costed at £181.75/t plus tax.</w:t>
      </w:r>
    </w:p>
    <w:p w14:paraId="57B23CA1" w14:textId="77777777" w:rsidR="00F73D1E" w:rsidRPr="001E05F5" w:rsidRDefault="00F73D1E" w:rsidP="00F73D1E">
      <w:pPr>
        <w:pStyle w:val="Heading1"/>
      </w:pPr>
      <w:bookmarkStart w:id="17" w:name="_Toc521426502"/>
      <w:r w:rsidRPr="001E05F5">
        <w:lastRenderedPageBreak/>
        <w:t>Assessment Results</w:t>
      </w:r>
      <w:bookmarkEnd w:id="17"/>
    </w:p>
    <w:p w14:paraId="6BCCC1E8" w14:textId="1AA04F46" w:rsidR="00A6210C" w:rsidRPr="001E05F5" w:rsidRDefault="002D6A7A" w:rsidP="00F73D1E">
      <w:r w:rsidRPr="001E05F5">
        <w:t xml:space="preserve">The options appraisal process involved evaluating the twenty </w:t>
      </w:r>
      <w:r w:rsidR="00B365BE" w:rsidRPr="001E05F5">
        <w:t xml:space="preserve">scenarios </w:t>
      </w:r>
      <w:r w:rsidRPr="001E05F5">
        <w:t xml:space="preserve">against the evaluation criteria set out in </w:t>
      </w:r>
      <w:r w:rsidR="00B365BE" w:rsidRPr="001E05F5">
        <w:t xml:space="preserve">Table 3.3.  </w:t>
      </w:r>
      <w:r w:rsidR="00A6210C" w:rsidRPr="001E05F5">
        <w:t xml:space="preserve">A summary of the outputs from the various </w:t>
      </w:r>
      <w:r w:rsidR="009F790A" w:rsidRPr="001E05F5">
        <w:t xml:space="preserve">models </w:t>
      </w:r>
      <w:r w:rsidR="00A6210C" w:rsidRPr="001E05F5">
        <w:t>use</w:t>
      </w:r>
      <w:r w:rsidR="009F790A" w:rsidRPr="001E05F5">
        <w:t>d</w:t>
      </w:r>
      <w:r w:rsidR="00A6210C" w:rsidRPr="001E05F5">
        <w:t xml:space="preserve"> to support the assessment are provided in the following appendices:</w:t>
      </w:r>
    </w:p>
    <w:p w14:paraId="2937CC35" w14:textId="77777777" w:rsidR="00704D50" w:rsidRPr="001E05F5" w:rsidRDefault="00A6210C" w:rsidP="00D17D3B">
      <w:pPr>
        <w:pStyle w:val="ListParagraph"/>
        <w:numPr>
          <w:ilvl w:val="0"/>
          <w:numId w:val="22"/>
        </w:numPr>
      </w:pPr>
      <w:r w:rsidRPr="001E05F5">
        <w:t xml:space="preserve">Appendix </w:t>
      </w:r>
      <w:r w:rsidR="0052445E" w:rsidRPr="001E05F5">
        <w:t>E</w:t>
      </w:r>
      <w:r w:rsidRPr="001E05F5">
        <w:t>: Summary of KAT model outputs</w:t>
      </w:r>
    </w:p>
    <w:p w14:paraId="5CA1C885" w14:textId="77777777" w:rsidR="00A6210C" w:rsidRPr="001E05F5" w:rsidRDefault="00704D50" w:rsidP="00D17D3B">
      <w:pPr>
        <w:pStyle w:val="ListParagraph"/>
        <w:numPr>
          <w:ilvl w:val="0"/>
          <w:numId w:val="22"/>
        </w:numPr>
      </w:pPr>
      <w:r w:rsidRPr="001E05F5">
        <w:t xml:space="preserve">Appendix </w:t>
      </w:r>
      <w:r w:rsidR="0052445E" w:rsidRPr="001E05F5">
        <w:t>F</w:t>
      </w:r>
      <w:r w:rsidRPr="001E05F5">
        <w:t xml:space="preserve">: Summary of waste flow model outputs </w:t>
      </w:r>
    </w:p>
    <w:p w14:paraId="45968A28" w14:textId="77777777" w:rsidR="00704D50" w:rsidRPr="001E05F5" w:rsidRDefault="00704D50" w:rsidP="00D17D3B">
      <w:pPr>
        <w:pStyle w:val="ListParagraph"/>
        <w:numPr>
          <w:ilvl w:val="0"/>
          <w:numId w:val="22"/>
        </w:numPr>
      </w:pPr>
      <w:r w:rsidRPr="001E05F5">
        <w:t xml:space="preserve">Appendix </w:t>
      </w:r>
      <w:r w:rsidR="0052445E" w:rsidRPr="001E05F5">
        <w:t>G</w:t>
      </w:r>
      <w:r w:rsidRPr="001E05F5">
        <w:t>: Summary of WRATE outputs</w:t>
      </w:r>
    </w:p>
    <w:p w14:paraId="3B3EF354" w14:textId="2AAEE166" w:rsidR="002B3AB1" w:rsidRPr="001E05F5" w:rsidRDefault="00D74ABA" w:rsidP="00EF353C">
      <w:r w:rsidRPr="001E05F5">
        <w:t>The assessment results are provided in Table 5.1 and graphically in Figure 5.</w:t>
      </w:r>
      <w:r w:rsidR="002B3AB1" w:rsidRPr="001E05F5">
        <w:t xml:space="preserve">1 which shows the unweighted </w:t>
      </w:r>
      <w:r w:rsidR="004F0C10" w:rsidRPr="001E05F5">
        <w:t xml:space="preserve">scores </w:t>
      </w:r>
      <w:r w:rsidR="002B3AB1" w:rsidRPr="001E05F5">
        <w:t xml:space="preserve">and Figure 5.2 which presents the weighted scores.  </w:t>
      </w:r>
    </w:p>
    <w:p w14:paraId="7909AC56" w14:textId="77777777" w:rsidR="002B3AB1" w:rsidRPr="001E05F5" w:rsidRDefault="002B3AB1" w:rsidP="00EF353C">
      <w:r w:rsidRPr="001E05F5">
        <w:t>For both the unweighted and weighted scores the option</w:t>
      </w:r>
      <w:r w:rsidR="00DB5021" w:rsidRPr="001E05F5">
        <w:t>s which included building of a new energy recovery facility scored best within each scenario.  With Scenario 3f, which includes all prevention, reuse and recycling initiatives, high recycling collections and new energy recovery facility, scoring highest overall.</w:t>
      </w:r>
    </w:p>
    <w:p w14:paraId="032562BF" w14:textId="2C55BDCD" w:rsidR="00EF353C" w:rsidRPr="001E05F5" w:rsidRDefault="002B3AB1" w:rsidP="00EF353C">
      <w:r w:rsidRPr="001E05F5">
        <w:t>T</w:t>
      </w:r>
      <w:r w:rsidR="00D74ABA" w:rsidRPr="001E05F5">
        <w:t>he detailed assessment of each scenario</w:t>
      </w:r>
      <w:r w:rsidR="007A1123" w:rsidRPr="001E05F5">
        <w:t xml:space="preserve"> is</w:t>
      </w:r>
      <w:r w:rsidR="00534FAF">
        <w:t xml:space="preserve"> provided in Appendix H</w:t>
      </w:r>
      <w:r w:rsidR="00D74ABA" w:rsidRPr="001E05F5">
        <w:t>.</w:t>
      </w:r>
    </w:p>
    <w:p w14:paraId="4C49E478" w14:textId="77777777" w:rsidR="00EF353C" w:rsidRPr="001E05F5" w:rsidRDefault="00EF353C" w:rsidP="00EF353C"/>
    <w:p w14:paraId="49CEBA72" w14:textId="77777777" w:rsidR="00EF353C" w:rsidRPr="001E05F5" w:rsidRDefault="00EF353C" w:rsidP="00EF353C">
      <w:pPr>
        <w:sectPr w:rsidR="00EF353C" w:rsidRPr="001E05F5" w:rsidSect="00257714">
          <w:pgSz w:w="11906" w:h="16838"/>
          <w:pgMar w:top="1440" w:right="1416" w:bottom="1440" w:left="1440" w:header="708" w:footer="708" w:gutter="0"/>
          <w:cols w:space="708"/>
          <w:docGrid w:linePitch="360"/>
        </w:sectPr>
      </w:pPr>
    </w:p>
    <w:p w14:paraId="1AD372A5" w14:textId="77777777" w:rsidR="00D74ABA" w:rsidRPr="001E05F5" w:rsidRDefault="00D74ABA" w:rsidP="00D74ABA">
      <w:pPr>
        <w:spacing w:before="240"/>
        <w:rPr>
          <w:b/>
          <w:color w:val="000000"/>
        </w:rPr>
      </w:pPr>
      <w:r w:rsidRPr="001E05F5">
        <w:rPr>
          <w:b/>
          <w:color w:val="000000"/>
        </w:rPr>
        <w:lastRenderedPageBreak/>
        <w:t>Table 5.1: Assessment results</w:t>
      </w:r>
    </w:p>
    <w:tbl>
      <w:tblPr>
        <w:tblW w:w="14666" w:type="dxa"/>
        <w:tblLayout w:type="fixed"/>
        <w:tblLook w:val="04A0" w:firstRow="1" w:lastRow="0" w:firstColumn="1" w:lastColumn="0" w:noHBand="0" w:noVBand="1"/>
      </w:tblPr>
      <w:tblGrid>
        <w:gridCol w:w="7655"/>
        <w:gridCol w:w="737"/>
        <w:gridCol w:w="737"/>
        <w:gridCol w:w="510"/>
        <w:gridCol w:w="510"/>
        <w:gridCol w:w="580"/>
        <w:gridCol w:w="737"/>
        <w:gridCol w:w="580"/>
        <w:gridCol w:w="580"/>
        <w:gridCol w:w="510"/>
        <w:gridCol w:w="510"/>
        <w:gridCol w:w="510"/>
        <w:gridCol w:w="510"/>
      </w:tblGrid>
      <w:tr w:rsidR="00D74ABA" w:rsidRPr="001E05F5" w14:paraId="6E0647C8" w14:textId="77777777" w:rsidTr="00D74ABA">
        <w:trPr>
          <w:cantSplit/>
          <w:trHeight w:val="3117"/>
        </w:trPr>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E1E581" w14:textId="77777777" w:rsidR="00EF353C" w:rsidRPr="001E05F5" w:rsidRDefault="00EF353C" w:rsidP="00EF353C">
            <w:pPr>
              <w:spacing w:after="0" w:line="240" w:lineRule="auto"/>
              <w:rPr>
                <w:rFonts w:cs="Arial"/>
                <w:b/>
                <w:bCs/>
                <w:sz w:val="18"/>
                <w:szCs w:val="18"/>
                <w:lang w:eastAsia="en-GB"/>
              </w:rPr>
            </w:pPr>
            <w:r w:rsidRPr="001E05F5">
              <w:rPr>
                <w:rFonts w:cs="Arial"/>
                <w:b/>
                <w:bCs/>
                <w:sz w:val="18"/>
                <w:szCs w:val="18"/>
                <w:lang w:eastAsia="en-GB"/>
              </w:rPr>
              <w:t xml:space="preserve">Scenario </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412E5D3B"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1. Delivers an accessible service with engagement and customer satisfaction</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2ABB7255"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2. Reduces the amount of waste generated by householder and managed by the Councils</w:t>
            </w:r>
          </w:p>
        </w:tc>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741DEECF"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3. Increases reuse and recycling</w:t>
            </w:r>
          </w:p>
        </w:tc>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3B5F636D"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4. Maximises recovery of waste</w:t>
            </w: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5576198C"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5. Working towards zero waste to landfill</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2EBEFE9B"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6. Economic regeneration, including employment and a more circular economy</w:t>
            </w: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703A459D"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7. Protection of the environment and natural resources</w:t>
            </w: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068D98EA"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8. Reducing the carbon impact of waste management</w:t>
            </w:r>
          </w:p>
        </w:tc>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01300CAC"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9. Affordable (long term measure)</w:t>
            </w:r>
          </w:p>
        </w:tc>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2B62D6C9"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10. Deliverability</w:t>
            </w:r>
          </w:p>
        </w:tc>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09D6AE9F"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Un</w:t>
            </w:r>
            <w:r w:rsidR="00582208" w:rsidRPr="001E05F5">
              <w:rPr>
                <w:rFonts w:cs="Arial"/>
                <w:b/>
                <w:bCs/>
                <w:sz w:val="18"/>
                <w:szCs w:val="18"/>
                <w:lang w:eastAsia="en-GB"/>
              </w:rPr>
              <w:t>w</w:t>
            </w:r>
            <w:r w:rsidRPr="001E05F5">
              <w:rPr>
                <w:rFonts w:cs="Arial"/>
                <w:b/>
                <w:bCs/>
                <w:sz w:val="18"/>
                <w:szCs w:val="18"/>
                <w:lang w:eastAsia="en-GB"/>
              </w:rPr>
              <w:t>eighted Score</w:t>
            </w:r>
          </w:p>
        </w:tc>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57" w:type="dxa"/>
              <w:right w:w="28" w:type="dxa"/>
            </w:tcMar>
            <w:textDirection w:val="btLr"/>
            <w:vAlign w:val="center"/>
            <w:hideMark/>
          </w:tcPr>
          <w:p w14:paraId="0BF5C153" w14:textId="77777777" w:rsidR="00EF353C" w:rsidRPr="001E05F5" w:rsidRDefault="00EF353C" w:rsidP="00582208">
            <w:pPr>
              <w:spacing w:after="0" w:line="240" w:lineRule="auto"/>
              <w:ind w:left="113" w:right="113"/>
              <w:rPr>
                <w:rFonts w:cs="Arial"/>
                <w:b/>
                <w:bCs/>
                <w:sz w:val="18"/>
                <w:szCs w:val="18"/>
                <w:lang w:eastAsia="en-GB"/>
              </w:rPr>
            </w:pPr>
            <w:r w:rsidRPr="001E05F5">
              <w:rPr>
                <w:rFonts w:cs="Arial"/>
                <w:b/>
                <w:bCs/>
                <w:sz w:val="18"/>
                <w:szCs w:val="18"/>
                <w:lang w:eastAsia="en-GB"/>
              </w:rPr>
              <w:t>Weighted Score</w:t>
            </w:r>
          </w:p>
        </w:tc>
      </w:tr>
      <w:tr w:rsidR="00D74ABA" w:rsidRPr="001E05F5" w14:paraId="47B4A37A" w14:textId="77777777" w:rsidTr="00D74ABA">
        <w:trPr>
          <w:trHeight w:val="300"/>
        </w:trPr>
        <w:tc>
          <w:tcPr>
            <w:tcW w:w="7655" w:type="dxa"/>
            <w:tcBorders>
              <w:top w:val="single" w:sz="4" w:space="0" w:color="auto"/>
              <w:left w:val="single" w:sz="4" w:space="0" w:color="auto"/>
              <w:bottom w:val="nil"/>
              <w:right w:val="single" w:sz="4" w:space="0" w:color="auto"/>
            </w:tcBorders>
            <w:shd w:val="clear" w:color="auto" w:fill="auto"/>
            <w:noWrap/>
            <w:vAlign w:val="bottom"/>
            <w:hideMark/>
          </w:tcPr>
          <w:p w14:paraId="01FCB5D0" w14:textId="41E5DB42"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 xml:space="preserve">1a: </w:t>
            </w:r>
            <w:r w:rsidR="00DE34D1">
              <w:rPr>
                <w:rFonts w:ascii="Calibri" w:hAnsi="Calibri" w:cs="Calibri"/>
                <w:color w:val="000000"/>
                <w:sz w:val="22"/>
                <w:lang w:eastAsia="en-GB"/>
              </w:rPr>
              <w:t>C</w:t>
            </w:r>
            <w:r w:rsidRPr="001E05F5">
              <w:rPr>
                <w:rFonts w:ascii="Calibri" w:hAnsi="Calibri" w:cs="Calibri"/>
                <w:color w:val="000000"/>
                <w:sz w:val="22"/>
                <w:lang w:eastAsia="en-GB"/>
              </w:rPr>
              <w:t>ontract extension only</w:t>
            </w:r>
          </w:p>
        </w:tc>
        <w:tc>
          <w:tcPr>
            <w:tcW w:w="737"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56D7A8E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737"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2A76A20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24337CD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66489C0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0A963ED7"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737"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40F57B7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8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248EA1BB"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8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0EDF556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28DD3647"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4978090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1D000799"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13</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25304430"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31</w:t>
            </w:r>
          </w:p>
        </w:tc>
      </w:tr>
      <w:tr w:rsidR="00D74ABA" w:rsidRPr="001E05F5" w14:paraId="7F2B19E0" w14:textId="77777777" w:rsidTr="00D74ABA">
        <w:trPr>
          <w:trHeight w:val="300"/>
        </w:trPr>
        <w:tc>
          <w:tcPr>
            <w:tcW w:w="7655" w:type="dxa"/>
            <w:tcBorders>
              <w:top w:val="nil"/>
              <w:left w:val="single" w:sz="4" w:space="0" w:color="auto"/>
              <w:bottom w:val="nil"/>
              <w:right w:val="single" w:sz="4" w:space="0" w:color="auto"/>
            </w:tcBorders>
            <w:shd w:val="clear" w:color="auto" w:fill="EAF1DD" w:themeFill="accent3" w:themeFillTint="33"/>
            <w:noWrap/>
            <w:vAlign w:val="bottom"/>
            <w:hideMark/>
          </w:tcPr>
          <w:p w14:paraId="77F06871"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1b: New energy recovery only</w:t>
            </w:r>
          </w:p>
        </w:tc>
        <w:tc>
          <w:tcPr>
            <w:tcW w:w="737"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5CE3B12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737"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261134E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7D27AA8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75C50B3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234C8D5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737"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4AD7BB7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8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513EC0A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6F71C85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7B20A81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2EDD9AE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068D59D5"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27</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77BBEAC9"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60</w:t>
            </w:r>
          </w:p>
        </w:tc>
      </w:tr>
      <w:tr w:rsidR="00D74ABA" w:rsidRPr="001E05F5" w14:paraId="259E463A" w14:textId="77777777" w:rsidTr="00D74ABA">
        <w:trPr>
          <w:trHeight w:val="300"/>
        </w:trPr>
        <w:tc>
          <w:tcPr>
            <w:tcW w:w="7655" w:type="dxa"/>
            <w:tcBorders>
              <w:top w:val="nil"/>
              <w:left w:val="single" w:sz="4" w:space="0" w:color="auto"/>
              <w:right w:val="single" w:sz="4" w:space="0" w:color="auto"/>
            </w:tcBorders>
            <w:shd w:val="clear" w:color="auto" w:fill="auto"/>
            <w:noWrap/>
            <w:vAlign w:val="bottom"/>
            <w:hideMark/>
          </w:tcPr>
          <w:p w14:paraId="338CA621"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1c: New RDF only</w:t>
            </w:r>
          </w:p>
        </w:tc>
        <w:tc>
          <w:tcPr>
            <w:tcW w:w="737" w:type="dxa"/>
            <w:tcBorders>
              <w:top w:val="nil"/>
              <w:left w:val="single" w:sz="4" w:space="0" w:color="auto"/>
              <w:right w:val="single" w:sz="4" w:space="0" w:color="auto"/>
            </w:tcBorders>
            <w:shd w:val="clear" w:color="auto" w:fill="auto"/>
            <w:tcMar>
              <w:left w:w="57" w:type="dxa"/>
              <w:right w:w="28" w:type="dxa"/>
            </w:tcMar>
            <w:vAlign w:val="center"/>
            <w:hideMark/>
          </w:tcPr>
          <w:p w14:paraId="35CE0E4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737" w:type="dxa"/>
            <w:tcBorders>
              <w:top w:val="nil"/>
              <w:left w:val="single" w:sz="4" w:space="0" w:color="auto"/>
              <w:right w:val="single" w:sz="4" w:space="0" w:color="auto"/>
            </w:tcBorders>
            <w:shd w:val="clear" w:color="auto" w:fill="auto"/>
            <w:tcMar>
              <w:left w:w="57" w:type="dxa"/>
              <w:right w:w="28" w:type="dxa"/>
            </w:tcMar>
            <w:vAlign w:val="center"/>
            <w:hideMark/>
          </w:tcPr>
          <w:p w14:paraId="3D06FF9B"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5088A52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25351D8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right w:val="single" w:sz="4" w:space="0" w:color="auto"/>
            </w:tcBorders>
            <w:shd w:val="clear" w:color="auto" w:fill="auto"/>
            <w:tcMar>
              <w:left w:w="57" w:type="dxa"/>
              <w:right w:w="28" w:type="dxa"/>
            </w:tcMar>
            <w:vAlign w:val="center"/>
            <w:hideMark/>
          </w:tcPr>
          <w:p w14:paraId="01BA21F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737" w:type="dxa"/>
            <w:tcBorders>
              <w:top w:val="nil"/>
              <w:left w:val="single" w:sz="4" w:space="0" w:color="auto"/>
              <w:right w:val="single" w:sz="4" w:space="0" w:color="auto"/>
            </w:tcBorders>
            <w:shd w:val="clear" w:color="auto" w:fill="auto"/>
            <w:tcMar>
              <w:left w:w="57" w:type="dxa"/>
              <w:right w:w="28" w:type="dxa"/>
            </w:tcMar>
            <w:vAlign w:val="center"/>
            <w:hideMark/>
          </w:tcPr>
          <w:p w14:paraId="5CB54EA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right w:val="single" w:sz="4" w:space="0" w:color="auto"/>
            </w:tcBorders>
            <w:shd w:val="clear" w:color="auto" w:fill="auto"/>
            <w:tcMar>
              <w:left w:w="57" w:type="dxa"/>
              <w:right w:w="28" w:type="dxa"/>
            </w:tcMar>
            <w:vAlign w:val="center"/>
            <w:hideMark/>
          </w:tcPr>
          <w:p w14:paraId="3298362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nil"/>
              <w:left w:val="single" w:sz="4" w:space="0" w:color="auto"/>
              <w:right w:val="single" w:sz="4" w:space="0" w:color="auto"/>
            </w:tcBorders>
            <w:shd w:val="clear" w:color="auto" w:fill="auto"/>
            <w:tcMar>
              <w:left w:w="57" w:type="dxa"/>
              <w:right w:w="28" w:type="dxa"/>
            </w:tcMar>
            <w:vAlign w:val="center"/>
            <w:hideMark/>
          </w:tcPr>
          <w:p w14:paraId="1462C8A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2CB81E2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2E6ACC6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5230C218"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13</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3392E66A"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36</w:t>
            </w:r>
          </w:p>
        </w:tc>
      </w:tr>
      <w:tr w:rsidR="00D74ABA" w:rsidRPr="001E05F5" w14:paraId="6B6F5F3E" w14:textId="77777777" w:rsidTr="00D74ABA">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43F8F11E"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1d: 3rd Party EfW</w:t>
            </w:r>
          </w:p>
        </w:tc>
        <w:tc>
          <w:tcPr>
            <w:tcW w:w="737"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4046E1C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737"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7A4FFC2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698A8B1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0305C58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0F78527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737"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15FF96F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094E5686"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1D5A044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2163217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7306930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5E42C550"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19</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42986534"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40</w:t>
            </w:r>
          </w:p>
        </w:tc>
      </w:tr>
      <w:tr w:rsidR="00D74ABA" w:rsidRPr="001E05F5" w14:paraId="0D140433" w14:textId="77777777" w:rsidTr="00D74ABA">
        <w:trPr>
          <w:trHeight w:val="300"/>
        </w:trPr>
        <w:tc>
          <w:tcPr>
            <w:tcW w:w="7655" w:type="dxa"/>
            <w:tcBorders>
              <w:top w:val="single" w:sz="4" w:space="0" w:color="auto"/>
              <w:left w:val="single" w:sz="4" w:space="0" w:color="auto"/>
              <w:bottom w:val="nil"/>
              <w:right w:val="single" w:sz="4" w:space="0" w:color="auto"/>
            </w:tcBorders>
            <w:shd w:val="clear" w:color="auto" w:fill="auto"/>
            <w:noWrap/>
            <w:vAlign w:val="bottom"/>
            <w:hideMark/>
          </w:tcPr>
          <w:p w14:paraId="2AA5C82F" w14:textId="2A193956"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2a: High efficiency collection with contract extension</w:t>
            </w:r>
          </w:p>
        </w:tc>
        <w:tc>
          <w:tcPr>
            <w:tcW w:w="737"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34FD73E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737"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7A53A9D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76A8CB1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4485288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4370627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737"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497D40A6"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6525F19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8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7BB27DD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09931D6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6BDB4F4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577D61B5"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19</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001A53F8"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47</w:t>
            </w:r>
          </w:p>
        </w:tc>
      </w:tr>
      <w:tr w:rsidR="00D74ABA" w:rsidRPr="001E05F5" w14:paraId="108910E3" w14:textId="77777777" w:rsidTr="00D74ABA">
        <w:trPr>
          <w:trHeight w:val="300"/>
        </w:trPr>
        <w:tc>
          <w:tcPr>
            <w:tcW w:w="7655" w:type="dxa"/>
            <w:tcBorders>
              <w:top w:val="nil"/>
              <w:left w:val="single" w:sz="4" w:space="0" w:color="auto"/>
              <w:bottom w:val="nil"/>
              <w:right w:val="single" w:sz="4" w:space="0" w:color="auto"/>
            </w:tcBorders>
            <w:shd w:val="clear" w:color="auto" w:fill="auto"/>
            <w:noWrap/>
            <w:vAlign w:val="bottom"/>
            <w:hideMark/>
          </w:tcPr>
          <w:p w14:paraId="53F1C75C"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2b: High efficiency collection with new energy recovery</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D79EA6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49235C9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CA41CF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EF72EB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BC791A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22A5FB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EA60ED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393825B"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4CFC9E6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255718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2F0B336"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30</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7180BCA"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72</w:t>
            </w:r>
          </w:p>
        </w:tc>
      </w:tr>
      <w:tr w:rsidR="00D74ABA" w:rsidRPr="001E05F5" w14:paraId="3064A107" w14:textId="77777777" w:rsidTr="00D74ABA">
        <w:trPr>
          <w:trHeight w:val="300"/>
        </w:trPr>
        <w:tc>
          <w:tcPr>
            <w:tcW w:w="7655" w:type="dxa"/>
            <w:tcBorders>
              <w:top w:val="nil"/>
              <w:left w:val="single" w:sz="4" w:space="0" w:color="auto"/>
              <w:bottom w:val="nil"/>
              <w:right w:val="single" w:sz="4" w:space="0" w:color="auto"/>
            </w:tcBorders>
            <w:shd w:val="clear" w:color="auto" w:fill="auto"/>
            <w:noWrap/>
            <w:vAlign w:val="bottom"/>
            <w:hideMark/>
          </w:tcPr>
          <w:p w14:paraId="75599965"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2c: High efficiency collection with new RDF facility</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95EBC1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26296B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B3C0A6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968B05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4041009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8C0BA16"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4AFA2E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10A3C2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0B1BC9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D9DD23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A955EA4"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19</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4F5CA64C"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54</w:t>
            </w:r>
          </w:p>
        </w:tc>
      </w:tr>
      <w:tr w:rsidR="00D74ABA" w:rsidRPr="001E05F5" w14:paraId="2C84E269" w14:textId="77777777" w:rsidTr="00D74ABA">
        <w:trPr>
          <w:trHeight w:val="300"/>
        </w:trPr>
        <w:tc>
          <w:tcPr>
            <w:tcW w:w="7655" w:type="dxa"/>
            <w:tcBorders>
              <w:top w:val="nil"/>
              <w:left w:val="single" w:sz="4" w:space="0" w:color="auto"/>
              <w:bottom w:val="nil"/>
              <w:right w:val="single" w:sz="4" w:space="0" w:color="auto"/>
            </w:tcBorders>
            <w:shd w:val="clear" w:color="auto" w:fill="auto"/>
            <w:noWrap/>
            <w:vAlign w:val="bottom"/>
            <w:hideMark/>
          </w:tcPr>
          <w:p w14:paraId="1F826735"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2d: High efficiency collection with 3rd Party EfW</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8BE11A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EB9073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B57B6D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F0EC786"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2509431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F60648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FFCB92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D58C73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1DE867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0D9007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FF36D0E"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25</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8ABA926"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59</w:t>
            </w:r>
          </w:p>
        </w:tc>
      </w:tr>
      <w:tr w:rsidR="00D74ABA" w:rsidRPr="001E05F5" w14:paraId="326B5FEC" w14:textId="77777777" w:rsidTr="00D74ABA">
        <w:trPr>
          <w:trHeight w:val="300"/>
        </w:trPr>
        <w:tc>
          <w:tcPr>
            <w:tcW w:w="7655" w:type="dxa"/>
            <w:tcBorders>
              <w:top w:val="nil"/>
              <w:left w:val="single" w:sz="4" w:space="0" w:color="auto"/>
              <w:bottom w:val="nil"/>
              <w:right w:val="single" w:sz="4" w:space="0" w:color="auto"/>
            </w:tcBorders>
            <w:shd w:val="clear" w:color="auto" w:fill="auto"/>
            <w:noWrap/>
            <w:vAlign w:val="bottom"/>
            <w:hideMark/>
          </w:tcPr>
          <w:p w14:paraId="00EE9430" w14:textId="24B96139"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2e: High recycling collection with contract extension</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BB7B83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222504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96F5BC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0200DB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8BC444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9946D9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E3C7E1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1BD079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BD965FB"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E2A0926"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2DADF523"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25</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5A1FCC9"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64</w:t>
            </w:r>
          </w:p>
        </w:tc>
      </w:tr>
      <w:tr w:rsidR="00D74ABA" w:rsidRPr="001E05F5" w14:paraId="2DB92837" w14:textId="77777777" w:rsidTr="00D74ABA">
        <w:trPr>
          <w:trHeight w:val="300"/>
        </w:trPr>
        <w:tc>
          <w:tcPr>
            <w:tcW w:w="7655" w:type="dxa"/>
            <w:tcBorders>
              <w:top w:val="nil"/>
              <w:left w:val="single" w:sz="4" w:space="0" w:color="auto"/>
              <w:bottom w:val="nil"/>
              <w:right w:val="single" w:sz="4" w:space="0" w:color="auto"/>
            </w:tcBorders>
            <w:shd w:val="clear" w:color="auto" w:fill="EAF1DD" w:themeFill="accent3" w:themeFillTint="33"/>
            <w:noWrap/>
            <w:vAlign w:val="bottom"/>
            <w:hideMark/>
          </w:tcPr>
          <w:p w14:paraId="5C4B9D5A"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2f: High recycling collection with new energy recovery</w:t>
            </w:r>
          </w:p>
        </w:tc>
        <w:tc>
          <w:tcPr>
            <w:tcW w:w="737"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5BE05D8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49703FE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7251896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3D10ABC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439BB5A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737"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4794D43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8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339ED25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6EF85DE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49380C6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064104B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075EC1E4"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33</w:t>
            </w:r>
          </w:p>
        </w:tc>
        <w:tc>
          <w:tcPr>
            <w:tcW w:w="510" w:type="dxa"/>
            <w:tcBorders>
              <w:top w:val="nil"/>
              <w:left w:val="single" w:sz="4" w:space="0" w:color="auto"/>
              <w:bottom w:val="nil"/>
              <w:right w:val="single" w:sz="4" w:space="0" w:color="auto"/>
            </w:tcBorders>
            <w:shd w:val="clear" w:color="auto" w:fill="EAF1DD" w:themeFill="accent3" w:themeFillTint="33"/>
            <w:tcMar>
              <w:left w:w="57" w:type="dxa"/>
              <w:right w:w="28" w:type="dxa"/>
            </w:tcMar>
            <w:vAlign w:val="center"/>
            <w:hideMark/>
          </w:tcPr>
          <w:p w14:paraId="59410066"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80</w:t>
            </w:r>
          </w:p>
        </w:tc>
      </w:tr>
      <w:tr w:rsidR="00D74ABA" w:rsidRPr="001E05F5" w14:paraId="64B4100B" w14:textId="77777777" w:rsidTr="00D74ABA">
        <w:trPr>
          <w:trHeight w:val="300"/>
        </w:trPr>
        <w:tc>
          <w:tcPr>
            <w:tcW w:w="7655" w:type="dxa"/>
            <w:tcBorders>
              <w:top w:val="nil"/>
              <w:left w:val="single" w:sz="4" w:space="0" w:color="auto"/>
              <w:right w:val="single" w:sz="4" w:space="0" w:color="auto"/>
            </w:tcBorders>
            <w:shd w:val="clear" w:color="auto" w:fill="auto"/>
            <w:noWrap/>
            <w:vAlign w:val="bottom"/>
            <w:hideMark/>
          </w:tcPr>
          <w:p w14:paraId="334893AF"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2g: High recycling collection with new RDF facility</w:t>
            </w:r>
          </w:p>
        </w:tc>
        <w:tc>
          <w:tcPr>
            <w:tcW w:w="737" w:type="dxa"/>
            <w:tcBorders>
              <w:top w:val="nil"/>
              <w:left w:val="single" w:sz="4" w:space="0" w:color="auto"/>
              <w:right w:val="single" w:sz="4" w:space="0" w:color="auto"/>
            </w:tcBorders>
            <w:shd w:val="clear" w:color="auto" w:fill="auto"/>
            <w:tcMar>
              <w:left w:w="57" w:type="dxa"/>
              <w:right w:w="28" w:type="dxa"/>
            </w:tcMar>
            <w:vAlign w:val="center"/>
            <w:hideMark/>
          </w:tcPr>
          <w:p w14:paraId="025661E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right w:val="single" w:sz="4" w:space="0" w:color="auto"/>
            </w:tcBorders>
            <w:shd w:val="clear" w:color="auto" w:fill="auto"/>
            <w:tcMar>
              <w:left w:w="57" w:type="dxa"/>
              <w:right w:w="28" w:type="dxa"/>
            </w:tcMar>
            <w:vAlign w:val="center"/>
            <w:hideMark/>
          </w:tcPr>
          <w:p w14:paraId="46F7107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0F3FA9D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1864145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right w:val="single" w:sz="4" w:space="0" w:color="auto"/>
            </w:tcBorders>
            <w:shd w:val="clear" w:color="auto" w:fill="auto"/>
            <w:tcMar>
              <w:left w:w="57" w:type="dxa"/>
              <w:right w:w="28" w:type="dxa"/>
            </w:tcMar>
            <w:vAlign w:val="center"/>
            <w:hideMark/>
          </w:tcPr>
          <w:p w14:paraId="526E43D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737" w:type="dxa"/>
            <w:tcBorders>
              <w:top w:val="nil"/>
              <w:left w:val="single" w:sz="4" w:space="0" w:color="auto"/>
              <w:right w:val="single" w:sz="4" w:space="0" w:color="auto"/>
            </w:tcBorders>
            <w:shd w:val="clear" w:color="auto" w:fill="auto"/>
            <w:tcMar>
              <w:left w:w="57" w:type="dxa"/>
              <w:right w:w="28" w:type="dxa"/>
            </w:tcMar>
            <w:vAlign w:val="center"/>
            <w:hideMark/>
          </w:tcPr>
          <w:p w14:paraId="6B2EA72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right w:val="single" w:sz="4" w:space="0" w:color="auto"/>
            </w:tcBorders>
            <w:shd w:val="clear" w:color="auto" w:fill="auto"/>
            <w:tcMar>
              <w:left w:w="57" w:type="dxa"/>
              <w:right w:w="28" w:type="dxa"/>
            </w:tcMar>
            <w:vAlign w:val="center"/>
            <w:hideMark/>
          </w:tcPr>
          <w:p w14:paraId="77CFD856"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right w:val="single" w:sz="4" w:space="0" w:color="auto"/>
            </w:tcBorders>
            <w:shd w:val="clear" w:color="auto" w:fill="auto"/>
            <w:tcMar>
              <w:left w:w="57" w:type="dxa"/>
              <w:right w:w="28" w:type="dxa"/>
            </w:tcMar>
            <w:vAlign w:val="center"/>
            <w:hideMark/>
          </w:tcPr>
          <w:p w14:paraId="7BAB529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768CC56B"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117E943B"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400966BD"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22</w:t>
            </w:r>
          </w:p>
        </w:tc>
        <w:tc>
          <w:tcPr>
            <w:tcW w:w="510" w:type="dxa"/>
            <w:tcBorders>
              <w:top w:val="nil"/>
              <w:left w:val="single" w:sz="4" w:space="0" w:color="auto"/>
              <w:right w:val="single" w:sz="4" w:space="0" w:color="auto"/>
            </w:tcBorders>
            <w:shd w:val="clear" w:color="auto" w:fill="auto"/>
            <w:tcMar>
              <w:left w:w="57" w:type="dxa"/>
              <w:right w:w="28" w:type="dxa"/>
            </w:tcMar>
            <w:vAlign w:val="center"/>
            <w:hideMark/>
          </w:tcPr>
          <w:p w14:paraId="43B72931"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64</w:t>
            </w:r>
          </w:p>
        </w:tc>
      </w:tr>
      <w:tr w:rsidR="00D74ABA" w:rsidRPr="001E05F5" w14:paraId="10BF99E5" w14:textId="77777777" w:rsidTr="00D74ABA">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6AD86EA1"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2h: High recycling collection with 3rd Party EfW</w:t>
            </w:r>
          </w:p>
        </w:tc>
        <w:tc>
          <w:tcPr>
            <w:tcW w:w="737"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0C19014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36523B0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0BAF9DF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6B4CC4F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7B2CC0D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737"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7EF00B2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8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59E8661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43A0ECC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0FA93EA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6AD55FC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16C7A68A"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30</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044CC8CA"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72</w:t>
            </w:r>
          </w:p>
        </w:tc>
      </w:tr>
      <w:tr w:rsidR="00D74ABA" w:rsidRPr="001E05F5" w14:paraId="675A08BD" w14:textId="77777777" w:rsidTr="00D74ABA">
        <w:trPr>
          <w:trHeight w:val="288"/>
        </w:trPr>
        <w:tc>
          <w:tcPr>
            <w:tcW w:w="7655" w:type="dxa"/>
            <w:tcBorders>
              <w:top w:val="single" w:sz="4" w:space="0" w:color="auto"/>
              <w:left w:val="single" w:sz="4" w:space="0" w:color="auto"/>
              <w:bottom w:val="nil"/>
              <w:right w:val="single" w:sz="4" w:space="0" w:color="auto"/>
            </w:tcBorders>
            <w:shd w:val="clear" w:color="auto" w:fill="auto"/>
            <w:noWrap/>
            <w:vAlign w:val="bottom"/>
            <w:hideMark/>
          </w:tcPr>
          <w:p w14:paraId="217F95A0" w14:textId="76D39E65"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3a: Waste prevention with high efficiency collection and contract extension</w:t>
            </w:r>
          </w:p>
        </w:tc>
        <w:tc>
          <w:tcPr>
            <w:tcW w:w="737"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369BCDC7"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12321D0B"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2790E8F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7D47226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2CFEAF5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737"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419A719B"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5D051396"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8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26CD37E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29E5C38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6E89DCA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39E262EF"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24</w:t>
            </w:r>
          </w:p>
        </w:tc>
        <w:tc>
          <w:tcPr>
            <w:tcW w:w="510" w:type="dxa"/>
            <w:tcBorders>
              <w:top w:val="single" w:sz="4" w:space="0" w:color="auto"/>
              <w:left w:val="single" w:sz="4" w:space="0" w:color="auto"/>
              <w:bottom w:val="nil"/>
              <w:right w:val="single" w:sz="4" w:space="0" w:color="auto"/>
            </w:tcBorders>
            <w:shd w:val="clear" w:color="auto" w:fill="auto"/>
            <w:tcMar>
              <w:left w:w="57" w:type="dxa"/>
              <w:right w:w="28" w:type="dxa"/>
            </w:tcMar>
            <w:vAlign w:val="center"/>
            <w:hideMark/>
          </w:tcPr>
          <w:p w14:paraId="3CFA3F45"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61</w:t>
            </w:r>
          </w:p>
        </w:tc>
      </w:tr>
      <w:tr w:rsidR="00D74ABA" w:rsidRPr="001E05F5" w14:paraId="6AEDD3F6" w14:textId="77777777" w:rsidTr="00D74ABA">
        <w:trPr>
          <w:trHeight w:val="288"/>
        </w:trPr>
        <w:tc>
          <w:tcPr>
            <w:tcW w:w="7655" w:type="dxa"/>
            <w:tcBorders>
              <w:top w:val="nil"/>
              <w:left w:val="single" w:sz="4" w:space="0" w:color="auto"/>
              <w:bottom w:val="nil"/>
              <w:right w:val="single" w:sz="4" w:space="0" w:color="auto"/>
            </w:tcBorders>
            <w:shd w:val="clear" w:color="auto" w:fill="auto"/>
            <w:noWrap/>
            <w:vAlign w:val="bottom"/>
            <w:hideMark/>
          </w:tcPr>
          <w:p w14:paraId="040E303A"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3b: Waste prevention with high efficiency collection and new energy recovery</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2F5CD45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74A30E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4438D2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E89D1B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83FA2E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C58C1E6"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4413497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2F5CA1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A57DF1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815D79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8FD513E"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34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9227BA2"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83</w:t>
            </w:r>
          </w:p>
        </w:tc>
      </w:tr>
      <w:tr w:rsidR="00D74ABA" w:rsidRPr="001E05F5" w14:paraId="62531314" w14:textId="77777777" w:rsidTr="00D74ABA">
        <w:trPr>
          <w:trHeight w:val="288"/>
        </w:trPr>
        <w:tc>
          <w:tcPr>
            <w:tcW w:w="7655" w:type="dxa"/>
            <w:tcBorders>
              <w:top w:val="nil"/>
              <w:left w:val="single" w:sz="4" w:space="0" w:color="auto"/>
              <w:bottom w:val="nil"/>
              <w:right w:val="single" w:sz="4" w:space="0" w:color="auto"/>
            </w:tcBorders>
            <w:shd w:val="clear" w:color="auto" w:fill="auto"/>
            <w:noWrap/>
            <w:vAlign w:val="bottom"/>
            <w:hideMark/>
          </w:tcPr>
          <w:p w14:paraId="40E9639A"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3c: Waste prevention with high efficiency collection and new RDF facility</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49EDFB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DF84D7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9C1731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D6A6DD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703A09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21340357"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370F59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F89E17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79C777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8A0D2A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4CBDF4C8"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24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2E648BC7"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67</w:t>
            </w:r>
          </w:p>
        </w:tc>
      </w:tr>
      <w:tr w:rsidR="00D74ABA" w:rsidRPr="001E05F5" w14:paraId="0074D1CB" w14:textId="77777777" w:rsidTr="00D74ABA">
        <w:trPr>
          <w:trHeight w:val="288"/>
        </w:trPr>
        <w:tc>
          <w:tcPr>
            <w:tcW w:w="7655" w:type="dxa"/>
            <w:tcBorders>
              <w:top w:val="nil"/>
              <w:left w:val="single" w:sz="4" w:space="0" w:color="auto"/>
              <w:bottom w:val="nil"/>
              <w:right w:val="single" w:sz="4" w:space="0" w:color="auto"/>
            </w:tcBorders>
            <w:shd w:val="clear" w:color="auto" w:fill="auto"/>
            <w:noWrap/>
            <w:vAlign w:val="bottom"/>
            <w:hideMark/>
          </w:tcPr>
          <w:p w14:paraId="280FD28A"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3d: Waste prevention with high efficiency collection and 3rd Party EfW</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20CBDA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DD5122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227260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22EA0D8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815654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7DB5D50"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5979DF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49375F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820E317"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0B4ADD7"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E7DEBB2"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30</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FC7D64C"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73</w:t>
            </w:r>
          </w:p>
        </w:tc>
      </w:tr>
      <w:tr w:rsidR="00D74ABA" w:rsidRPr="001E05F5" w14:paraId="1D2083A0" w14:textId="77777777" w:rsidTr="00D74ABA">
        <w:trPr>
          <w:trHeight w:val="288"/>
        </w:trPr>
        <w:tc>
          <w:tcPr>
            <w:tcW w:w="7655" w:type="dxa"/>
            <w:tcBorders>
              <w:top w:val="nil"/>
              <w:left w:val="single" w:sz="4" w:space="0" w:color="auto"/>
              <w:bottom w:val="nil"/>
              <w:right w:val="single" w:sz="4" w:space="0" w:color="auto"/>
            </w:tcBorders>
            <w:shd w:val="clear" w:color="auto" w:fill="auto"/>
            <w:noWrap/>
            <w:hideMark/>
          </w:tcPr>
          <w:p w14:paraId="1CA1045B" w14:textId="2F708EF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3e: Waste prevention with high recycling collection and contract extension</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6830E5F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6F2D79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D46578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2E98F0C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C5992C7"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360B4A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FFE8A9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231861C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96B163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C3FDB1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8C4506D"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28</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E4E4E58"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70</w:t>
            </w:r>
          </w:p>
        </w:tc>
      </w:tr>
      <w:tr w:rsidR="00D74ABA" w:rsidRPr="001E05F5" w14:paraId="68AD9AFB" w14:textId="77777777" w:rsidTr="00D74ABA">
        <w:trPr>
          <w:trHeight w:val="288"/>
        </w:trPr>
        <w:tc>
          <w:tcPr>
            <w:tcW w:w="7655" w:type="dxa"/>
            <w:tcBorders>
              <w:top w:val="nil"/>
              <w:left w:val="single" w:sz="4" w:space="0" w:color="auto"/>
              <w:bottom w:val="nil"/>
              <w:right w:val="single" w:sz="4" w:space="0" w:color="auto"/>
            </w:tcBorders>
            <w:shd w:val="clear" w:color="auto" w:fill="C2D69B" w:themeFill="accent3" w:themeFillTint="99"/>
            <w:noWrap/>
            <w:hideMark/>
          </w:tcPr>
          <w:p w14:paraId="03665C22"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3f: Waste prevention with high recycling collection and new energy recovery</w:t>
            </w:r>
          </w:p>
        </w:tc>
        <w:tc>
          <w:tcPr>
            <w:tcW w:w="737"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08E9310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7509FD7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1B4D4247"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7DF4706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258A5FF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737"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488F5FB7"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80"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3F57CE0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80"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2688385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52E5375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3E89F6F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4DD4A8E4"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36</w:t>
            </w:r>
          </w:p>
        </w:tc>
        <w:tc>
          <w:tcPr>
            <w:tcW w:w="510" w:type="dxa"/>
            <w:tcBorders>
              <w:top w:val="nil"/>
              <w:left w:val="single" w:sz="4" w:space="0" w:color="auto"/>
              <w:bottom w:val="nil"/>
              <w:right w:val="single" w:sz="4" w:space="0" w:color="auto"/>
            </w:tcBorders>
            <w:shd w:val="clear" w:color="auto" w:fill="C2D69B" w:themeFill="accent3" w:themeFillTint="99"/>
            <w:tcMar>
              <w:left w:w="57" w:type="dxa"/>
              <w:right w:w="28" w:type="dxa"/>
            </w:tcMar>
            <w:vAlign w:val="center"/>
            <w:hideMark/>
          </w:tcPr>
          <w:p w14:paraId="72600506"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88</w:t>
            </w:r>
          </w:p>
        </w:tc>
      </w:tr>
      <w:tr w:rsidR="00D74ABA" w:rsidRPr="001E05F5" w14:paraId="4BB6B6B8" w14:textId="77777777" w:rsidTr="00D74ABA">
        <w:trPr>
          <w:trHeight w:val="288"/>
        </w:trPr>
        <w:tc>
          <w:tcPr>
            <w:tcW w:w="7655" w:type="dxa"/>
            <w:tcBorders>
              <w:top w:val="nil"/>
              <w:left w:val="single" w:sz="4" w:space="0" w:color="auto"/>
              <w:bottom w:val="nil"/>
              <w:right w:val="single" w:sz="4" w:space="0" w:color="auto"/>
            </w:tcBorders>
            <w:shd w:val="clear" w:color="auto" w:fill="auto"/>
            <w:noWrap/>
            <w:hideMark/>
          </w:tcPr>
          <w:p w14:paraId="671F8D49"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3g: Waste prevention with high recycling collection and new RDF facility</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407C1E4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4A1A3A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78109AD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011A531"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2FFB165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0</w:t>
            </w:r>
          </w:p>
        </w:tc>
        <w:tc>
          <w:tcPr>
            <w:tcW w:w="737"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4E95547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51D5FD92"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8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96DA78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1EC19A13"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2</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04409A2E"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3D6790EE"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26</w:t>
            </w:r>
          </w:p>
        </w:tc>
        <w:tc>
          <w:tcPr>
            <w:tcW w:w="510" w:type="dxa"/>
            <w:tcBorders>
              <w:top w:val="nil"/>
              <w:left w:val="single" w:sz="4" w:space="0" w:color="auto"/>
              <w:bottom w:val="nil"/>
              <w:right w:val="single" w:sz="4" w:space="0" w:color="auto"/>
            </w:tcBorders>
            <w:shd w:val="clear" w:color="auto" w:fill="auto"/>
            <w:tcMar>
              <w:left w:w="57" w:type="dxa"/>
              <w:right w:w="28" w:type="dxa"/>
            </w:tcMar>
            <w:vAlign w:val="center"/>
            <w:hideMark/>
          </w:tcPr>
          <w:p w14:paraId="492FD978"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74</w:t>
            </w:r>
          </w:p>
        </w:tc>
      </w:tr>
      <w:tr w:rsidR="00D74ABA" w:rsidRPr="001E05F5" w14:paraId="024E2578" w14:textId="77777777" w:rsidTr="00D74ABA">
        <w:trPr>
          <w:trHeight w:val="288"/>
        </w:trPr>
        <w:tc>
          <w:tcPr>
            <w:tcW w:w="7655" w:type="dxa"/>
            <w:tcBorders>
              <w:top w:val="nil"/>
              <w:left w:val="single" w:sz="4" w:space="0" w:color="auto"/>
              <w:bottom w:val="single" w:sz="4" w:space="0" w:color="auto"/>
              <w:right w:val="single" w:sz="4" w:space="0" w:color="auto"/>
            </w:tcBorders>
            <w:shd w:val="clear" w:color="auto" w:fill="auto"/>
            <w:noWrap/>
            <w:hideMark/>
          </w:tcPr>
          <w:p w14:paraId="3B8CA0CA" w14:textId="77777777" w:rsidR="00EF353C" w:rsidRPr="001E05F5" w:rsidRDefault="00EF353C" w:rsidP="00EF353C">
            <w:pPr>
              <w:spacing w:after="0" w:line="240" w:lineRule="auto"/>
              <w:rPr>
                <w:rFonts w:ascii="Calibri" w:hAnsi="Calibri" w:cs="Calibri"/>
                <w:color w:val="000000"/>
                <w:sz w:val="22"/>
                <w:lang w:eastAsia="en-GB"/>
              </w:rPr>
            </w:pPr>
            <w:r w:rsidRPr="001E05F5">
              <w:rPr>
                <w:rFonts w:ascii="Calibri" w:hAnsi="Calibri" w:cs="Calibri"/>
                <w:color w:val="000000"/>
                <w:sz w:val="22"/>
                <w:lang w:eastAsia="en-GB"/>
              </w:rPr>
              <w:t>3h: Waste prevention with high recycling collection and 3rd Party EfW</w:t>
            </w:r>
          </w:p>
        </w:tc>
        <w:tc>
          <w:tcPr>
            <w:tcW w:w="737"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1D012719"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737"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5045A905"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1B7214D6"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02961E6D"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8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5419F66A"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5</w:t>
            </w:r>
          </w:p>
        </w:tc>
        <w:tc>
          <w:tcPr>
            <w:tcW w:w="737"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030F30E8"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3</w:t>
            </w:r>
          </w:p>
        </w:tc>
        <w:tc>
          <w:tcPr>
            <w:tcW w:w="58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78D3EA1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8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74C7EB24"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3494A7CF"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1</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45F6810C" w14:textId="77777777" w:rsidR="00EF353C" w:rsidRPr="001E05F5" w:rsidRDefault="00EF353C" w:rsidP="00D74ABA">
            <w:pPr>
              <w:spacing w:after="0" w:line="240" w:lineRule="auto"/>
              <w:jc w:val="center"/>
              <w:rPr>
                <w:rFonts w:ascii="Calibri" w:hAnsi="Calibri" w:cs="Calibri"/>
                <w:color w:val="000000"/>
                <w:sz w:val="22"/>
                <w:lang w:eastAsia="en-GB"/>
              </w:rPr>
            </w:pPr>
            <w:r w:rsidRPr="001E05F5">
              <w:rPr>
                <w:rFonts w:ascii="Calibri" w:hAnsi="Calibri" w:cs="Calibri"/>
                <w:color w:val="000000"/>
                <w:sz w:val="22"/>
                <w:lang w:eastAsia="en-GB"/>
              </w:rPr>
              <w:t>4</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1CC182D4"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34</w:t>
            </w:r>
          </w:p>
        </w:tc>
        <w:tc>
          <w:tcPr>
            <w:tcW w:w="510" w:type="dxa"/>
            <w:tcBorders>
              <w:top w:val="nil"/>
              <w:left w:val="single" w:sz="4" w:space="0" w:color="auto"/>
              <w:bottom w:val="single" w:sz="4" w:space="0" w:color="auto"/>
              <w:right w:val="single" w:sz="4" w:space="0" w:color="auto"/>
            </w:tcBorders>
            <w:shd w:val="clear" w:color="auto" w:fill="auto"/>
            <w:tcMar>
              <w:left w:w="57" w:type="dxa"/>
              <w:right w:w="28" w:type="dxa"/>
            </w:tcMar>
            <w:vAlign w:val="center"/>
            <w:hideMark/>
          </w:tcPr>
          <w:p w14:paraId="46C4ADD9" w14:textId="77777777" w:rsidR="00EF353C" w:rsidRPr="001E05F5" w:rsidRDefault="00EF353C" w:rsidP="00D74ABA">
            <w:pPr>
              <w:spacing w:after="0" w:line="240" w:lineRule="auto"/>
              <w:jc w:val="center"/>
              <w:rPr>
                <w:rFonts w:ascii="Calibri" w:hAnsi="Calibri" w:cs="Calibri"/>
                <w:b/>
                <w:sz w:val="22"/>
                <w:lang w:eastAsia="en-GB"/>
              </w:rPr>
            </w:pPr>
            <w:r w:rsidRPr="001E05F5">
              <w:rPr>
                <w:rFonts w:ascii="Calibri" w:hAnsi="Calibri" w:cs="Calibri"/>
                <w:b/>
                <w:sz w:val="22"/>
                <w:lang w:eastAsia="en-GB"/>
              </w:rPr>
              <w:t>83</w:t>
            </w:r>
          </w:p>
        </w:tc>
      </w:tr>
    </w:tbl>
    <w:p w14:paraId="0B001296" w14:textId="77777777" w:rsidR="002B3AB1" w:rsidRPr="001E05F5" w:rsidRDefault="002B3AB1" w:rsidP="002B3AB1">
      <w:pPr>
        <w:spacing w:before="240"/>
        <w:rPr>
          <w:b/>
          <w:color w:val="000000"/>
        </w:rPr>
      </w:pPr>
      <w:r w:rsidRPr="001E05F5">
        <w:rPr>
          <w:b/>
          <w:color w:val="000000"/>
        </w:rPr>
        <w:lastRenderedPageBreak/>
        <w:t xml:space="preserve">Figure 5.1: Assessment results – unweighted scores </w:t>
      </w:r>
    </w:p>
    <w:p w14:paraId="1CD5BB7F" w14:textId="71B43D1A" w:rsidR="002B3AB1" w:rsidRPr="001E05F5" w:rsidRDefault="0025401D" w:rsidP="00D74ABA">
      <w:pPr>
        <w:spacing w:before="240"/>
        <w:rPr>
          <w:b/>
          <w:color w:val="000000"/>
        </w:rPr>
      </w:pPr>
      <w:r w:rsidRPr="0025401D">
        <w:rPr>
          <w:noProof/>
        </w:rPr>
        <w:drawing>
          <wp:inline distT="0" distB="0" distL="0" distR="0" wp14:anchorId="2532A8C9" wp14:editId="5697F877">
            <wp:extent cx="8784000" cy="57358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84000" cy="5735830"/>
                    </a:xfrm>
                    <a:prstGeom prst="rect">
                      <a:avLst/>
                    </a:prstGeom>
                  </pic:spPr>
                </pic:pic>
              </a:graphicData>
            </a:graphic>
          </wp:inline>
        </w:drawing>
      </w:r>
    </w:p>
    <w:p w14:paraId="4E86A7AE" w14:textId="77777777" w:rsidR="00D74ABA" w:rsidRPr="001E05F5" w:rsidRDefault="00D74ABA" w:rsidP="002B3AB1">
      <w:pPr>
        <w:keepNext/>
        <w:spacing w:before="240"/>
        <w:rPr>
          <w:b/>
          <w:color w:val="000000"/>
        </w:rPr>
      </w:pPr>
      <w:r w:rsidRPr="001E05F5">
        <w:rPr>
          <w:b/>
          <w:color w:val="000000"/>
        </w:rPr>
        <w:lastRenderedPageBreak/>
        <w:t>Figure 5.</w:t>
      </w:r>
      <w:r w:rsidR="002B3AB1" w:rsidRPr="001E05F5">
        <w:rPr>
          <w:b/>
          <w:color w:val="000000"/>
        </w:rPr>
        <w:t>2</w:t>
      </w:r>
      <w:r w:rsidRPr="001E05F5">
        <w:rPr>
          <w:b/>
          <w:color w:val="000000"/>
        </w:rPr>
        <w:t>: Assessment results</w:t>
      </w:r>
      <w:r w:rsidR="002B3AB1" w:rsidRPr="001E05F5">
        <w:rPr>
          <w:b/>
          <w:color w:val="000000"/>
        </w:rPr>
        <w:t xml:space="preserve"> –weighted scores </w:t>
      </w:r>
    </w:p>
    <w:p w14:paraId="1EDBA3C7" w14:textId="4F4DE5B2" w:rsidR="002B3AB1" w:rsidRPr="001E05F5" w:rsidRDefault="0025401D" w:rsidP="00F73D1E">
      <w:r w:rsidRPr="0025401D">
        <w:rPr>
          <w:noProof/>
        </w:rPr>
        <w:drawing>
          <wp:inline distT="0" distB="0" distL="0" distR="0" wp14:anchorId="160A29C8" wp14:editId="1DA2B564">
            <wp:extent cx="8784000" cy="5735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84000" cy="5735825"/>
                    </a:xfrm>
                    <a:prstGeom prst="rect">
                      <a:avLst/>
                    </a:prstGeom>
                  </pic:spPr>
                </pic:pic>
              </a:graphicData>
            </a:graphic>
          </wp:inline>
        </w:drawing>
      </w:r>
    </w:p>
    <w:p w14:paraId="6B26D81D" w14:textId="77777777" w:rsidR="00EF353C" w:rsidRPr="001E05F5" w:rsidRDefault="00EF353C" w:rsidP="00F73D1E">
      <w:pPr>
        <w:sectPr w:rsidR="00EF353C" w:rsidRPr="001E05F5" w:rsidSect="00582208">
          <w:pgSz w:w="16838" w:h="11906" w:orient="landscape"/>
          <w:pgMar w:top="1134" w:right="1134" w:bottom="1134" w:left="1134" w:header="709" w:footer="709" w:gutter="0"/>
          <w:cols w:space="708"/>
          <w:docGrid w:linePitch="360"/>
        </w:sectPr>
      </w:pPr>
    </w:p>
    <w:p w14:paraId="4C3DD409" w14:textId="77777777" w:rsidR="00F73D1E" w:rsidRPr="001E05F5" w:rsidRDefault="00F73D1E" w:rsidP="003B6848">
      <w:pPr>
        <w:pStyle w:val="Heading1"/>
        <w:spacing w:before="0"/>
        <w:ind w:left="851" w:hanging="851"/>
      </w:pPr>
      <w:bookmarkStart w:id="18" w:name="_Toc521426503"/>
      <w:r w:rsidRPr="001E05F5">
        <w:lastRenderedPageBreak/>
        <w:t>Discussion</w:t>
      </w:r>
      <w:bookmarkEnd w:id="18"/>
    </w:p>
    <w:p w14:paraId="7AFC2EB7" w14:textId="4BEA74CE" w:rsidR="00EA3A66" w:rsidRPr="001E05F5" w:rsidRDefault="004F0C10" w:rsidP="00EA3A66">
      <w:r w:rsidRPr="001E05F5">
        <w:t>T</w:t>
      </w:r>
      <w:r w:rsidR="00EA3A66" w:rsidRPr="001E05F5">
        <w:t>he key factors that influence</w:t>
      </w:r>
      <w:r w:rsidR="00A114E1" w:rsidRPr="001E05F5">
        <w:t>d</w:t>
      </w:r>
      <w:r w:rsidR="00EA3A66" w:rsidRPr="001E05F5">
        <w:t xml:space="preserve"> the performance of different scenario</w:t>
      </w:r>
      <w:r w:rsidR="008031FE" w:rsidRPr="001E05F5">
        <w:t>s</w:t>
      </w:r>
      <w:r w:rsidR="00A114E1" w:rsidRPr="001E05F5">
        <w:t xml:space="preserve"> were;</w:t>
      </w:r>
      <w:r w:rsidR="00EA3A66" w:rsidRPr="001E05F5">
        <w:t xml:space="preserve">  </w:t>
      </w:r>
    </w:p>
    <w:p w14:paraId="37990D54" w14:textId="77777777" w:rsidR="00B50F03" w:rsidRPr="001E05F5" w:rsidRDefault="00B50F03" w:rsidP="00B50F03">
      <w:pPr>
        <w:pStyle w:val="Heading2"/>
      </w:pPr>
      <w:bookmarkStart w:id="19" w:name="_Toc521426504"/>
      <w:r w:rsidRPr="001E05F5">
        <w:t>Collection Scenarios</w:t>
      </w:r>
      <w:bookmarkEnd w:id="19"/>
    </w:p>
    <w:p w14:paraId="05A12A42" w14:textId="7C8FD448" w:rsidR="00B50F03" w:rsidRPr="001E05F5" w:rsidRDefault="00B50F03" w:rsidP="00B50F03">
      <w:r w:rsidRPr="001E05F5">
        <w:t xml:space="preserve">Both the baseline position and the high efficiency collection scenarios in isolation have no or limited impact on the level of reuse or recycling </w:t>
      </w:r>
      <w:r w:rsidR="00D44DB9" w:rsidRPr="001E05F5">
        <w:t xml:space="preserve">and as a result score less well than the high recycling collection scenarios.  In addition, </w:t>
      </w:r>
      <w:r w:rsidR="00A114E1" w:rsidRPr="001E05F5">
        <w:t xml:space="preserve">the high </w:t>
      </w:r>
      <w:r w:rsidR="00D44DB9" w:rsidRPr="001E05F5">
        <w:t>efficienc</w:t>
      </w:r>
      <w:r w:rsidR="00A114E1" w:rsidRPr="001E05F5">
        <w:t>y</w:t>
      </w:r>
      <w:r w:rsidR="00D44DB9" w:rsidRPr="001E05F5">
        <w:t xml:space="preserve"> collection scenarios reduc</w:t>
      </w:r>
      <w:r w:rsidR="00D028B8" w:rsidRPr="001E05F5">
        <w:t>e</w:t>
      </w:r>
      <w:r w:rsidR="00D44DB9" w:rsidRPr="001E05F5">
        <w:t xml:space="preserve"> the coverage and frequency of certain collections services which results in a loss of collection jobs; whereas the high recycling collection scenarios increase</w:t>
      </w:r>
      <w:r w:rsidR="00B62E25" w:rsidRPr="001E05F5">
        <w:t>s</w:t>
      </w:r>
      <w:r w:rsidR="00D44DB9" w:rsidRPr="001E05F5">
        <w:t xml:space="preserve"> the number of collection jobs.</w:t>
      </w:r>
    </w:p>
    <w:p w14:paraId="12DED82E" w14:textId="77777777" w:rsidR="00B62E25" w:rsidRPr="001E05F5" w:rsidRDefault="00B62E25" w:rsidP="00B62E25">
      <w:pPr>
        <w:pStyle w:val="Heading2"/>
      </w:pPr>
      <w:bookmarkStart w:id="20" w:name="_Toc521426505"/>
      <w:r w:rsidRPr="001E05F5">
        <w:t>Prevention, reuse and recycling initiatives</w:t>
      </w:r>
      <w:bookmarkEnd w:id="20"/>
    </w:p>
    <w:p w14:paraId="0A182B04" w14:textId="77777777" w:rsidR="00B62E25" w:rsidRPr="001E05F5" w:rsidRDefault="00B62E25" w:rsidP="00B62E25">
      <w:r w:rsidRPr="001E05F5">
        <w:t xml:space="preserve">The various waste prevention, reuse and recycling initiatives contribute to improved engagement, reuse and recycling, resource recovery and increased deliverability (due to consistency with current and emerging national policy).  Therefore, Scenario 3s score better than the comparable Scenario 2s.    </w:t>
      </w:r>
    </w:p>
    <w:p w14:paraId="5C36E4CF" w14:textId="77777777" w:rsidR="00043580" w:rsidRPr="001E05F5" w:rsidRDefault="00043580" w:rsidP="00043580">
      <w:pPr>
        <w:pStyle w:val="Heading2"/>
      </w:pPr>
      <w:bookmarkStart w:id="21" w:name="_Toc521426506"/>
      <w:r w:rsidRPr="001E05F5">
        <w:t>Waste treatment options</w:t>
      </w:r>
      <w:bookmarkEnd w:id="21"/>
    </w:p>
    <w:p w14:paraId="40F4C76B" w14:textId="77777777" w:rsidR="00043580" w:rsidRPr="001E05F5" w:rsidRDefault="00043580" w:rsidP="0038088B">
      <w:r w:rsidRPr="001E05F5">
        <w:t>The different waste treatment options have a range of influencing factors:</w:t>
      </w:r>
    </w:p>
    <w:p w14:paraId="09933522" w14:textId="26973F82" w:rsidR="00043580" w:rsidRPr="001E05F5" w:rsidRDefault="00043580" w:rsidP="0038088B">
      <w:pPr>
        <w:pStyle w:val="ListParagraph"/>
        <w:numPr>
          <w:ilvl w:val="0"/>
          <w:numId w:val="30"/>
        </w:numPr>
        <w:spacing w:after="120"/>
        <w:rPr>
          <w:szCs w:val="20"/>
        </w:rPr>
      </w:pPr>
      <w:r w:rsidRPr="001E05F5">
        <w:t xml:space="preserve">Scenarios based on a </w:t>
      </w:r>
      <w:r w:rsidRPr="001E05F5">
        <w:rPr>
          <w:szCs w:val="20"/>
        </w:rPr>
        <w:t xml:space="preserve">contract extension (beyond 2025) </w:t>
      </w:r>
      <w:r w:rsidR="008031FE" w:rsidRPr="001E05F5">
        <w:rPr>
          <w:szCs w:val="20"/>
        </w:rPr>
        <w:t xml:space="preserve">of the </w:t>
      </w:r>
      <w:r w:rsidRPr="001E05F5">
        <w:rPr>
          <w:szCs w:val="20"/>
        </w:rPr>
        <w:t xml:space="preserve">existing EfW contract perform poorly in terms of: economic regeneration/employment because no new jobs are created and is unlikely to help to secure other jobs in Tees Valley; the carbon impact of waste management because of the efficiency of the facility and no CHP capability; and </w:t>
      </w:r>
      <w:r w:rsidR="004A2001" w:rsidRPr="001E05F5">
        <w:rPr>
          <w:szCs w:val="20"/>
        </w:rPr>
        <w:t xml:space="preserve">deliverability mainly due to the fact that </w:t>
      </w:r>
      <w:r w:rsidR="008031FE" w:rsidRPr="001E05F5">
        <w:rPr>
          <w:szCs w:val="20"/>
        </w:rPr>
        <w:t>f</w:t>
      </w:r>
      <w:r w:rsidR="004A2001" w:rsidRPr="001E05F5">
        <w:rPr>
          <w:szCs w:val="20"/>
        </w:rPr>
        <w:t xml:space="preserve">urther extension to the current contract without competition is highly likely to be in </w:t>
      </w:r>
      <w:r w:rsidR="00A114E1" w:rsidRPr="001E05F5">
        <w:rPr>
          <w:szCs w:val="20"/>
        </w:rPr>
        <w:t>b</w:t>
      </w:r>
      <w:r w:rsidR="004A2001" w:rsidRPr="001E05F5">
        <w:rPr>
          <w:szCs w:val="20"/>
        </w:rPr>
        <w:t>reach of procurement rules.</w:t>
      </w:r>
    </w:p>
    <w:p w14:paraId="6F6A03FC" w14:textId="77777777" w:rsidR="00043580" w:rsidRPr="001E05F5" w:rsidRDefault="004A2001" w:rsidP="008031FE">
      <w:pPr>
        <w:pStyle w:val="ListParagraph"/>
        <w:numPr>
          <w:ilvl w:val="0"/>
          <w:numId w:val="30"/>
        </w:numPr>
        <w:spacing w:after="120"/>
        <w:rPr>
          <w:szCs w:val="20"/>
        </w:rPr>
      </w:pPr>
      <w:r w:rsidRPr="001E05F5">
        <w:rPr>
          <w:szCs w:val="20"/>
        </w:rPr>
        <w:t>Scenarios which include a n</w:t>
      </w:r>
      <w:r w:rsidR="00043580" w:rsidRPr="001E05F5">
        <w:rPr>
          <w:szCs w:val="20"/>
        </w:rPr>
        <w:t xml:space="preserve">ew build energy recovery </w:t>
      </w:r>
      <w:r w:rsidRPr="001E05F5">
        <w:rPr>
          <w:szCs w:val="20"/>
        </w:rPr>
        <w:t>facility score well because: they have the potential to secure jobs in the construction engineering sectors during construction of a new facility and if a CHP facility is developed it could help to secure employment in the energy use</w:t>
      </w:r>
      <w:r w:rsidR="008031FE" w:rsidRPr="001E05F5">
        <w:rPr>
          <w:szCs w:val="20"/>
        </w:rPr>
        <w:t xml:space="preserve"> and</w:t>
      </w:r>
      <w:r w:rsidRPr="001E05F5">
        <w:rPr>
          <w:szCs w:val="20"/>
        </w:rPr>
        <w:t xml:space="preserve"> manufacturing sector; also, a CHP facility would significantly reduce the carbon impacts of waste management.  However, there are some deliverability issues related to securing funding and </w:t>
      </w:r>
      <w:r w:rsidR="008031FE" w:rsidRPr="001E05F5">
        <w:rPr>
          <w:szCs w:val="20"/>
        </w:rPr>
        <w:t xml:space="preserve">locating </w:t>
      </w:r>
      <w:r w:rsidRPr="001E05F5">
        <w:rPr>
          <w:szCs w:val="20"/>
        </w:rPr>
        <w:t xml:space="preserve">a </w:t>
      </w:r>
      <w:r w:rsidR="008031FE" w:rsidRPr="001E05F5">
        <w:rPr>
          <w:szCs w:val="20"/>
        </w:rPr>
        <w:t xml:space="preserve">suitable </w:t>
      </w:r>
      <w:r w:rsidRPr="001E05F5">
        <w:rPr>
          <w:szCs w:val="20"/>
        </w:rPr>
        <w:t>site.</w:t>
      </w:r>
    </w:p>
    <w:p w14:paraId="5127C1F2" w14:textId="77777777" w:rsidR="00043580" w:rsidRPr="001E05F5" w:rsidRDefault="004A2001" w:rsidP="0038088B">
      <w:pPr>
        <w:pStyle w:val="ListParagraph"/>
        <w:numPr>
          <w:ilvl w:val="0"/>
          <w:numId w:val="30"/>
        </w:numPr>
        <w:spacing w:after="120"/>
        <w:rPr>
          <w:szCs w:val="20"/>
        </w:rPr>
      </w:pPr>
      <w:r w:rsidRPr="001E05F5">
        <w:rPr>
          <w:szCs w:val="20"/>
        </w:rPr>
        <w:t>Scenarios which include a n</w:t>
      </w:r>
      <w:r w:rsidR="00043580" w:rsidRPr="001E05F5">
        <w:rPr>
          <w:szCs w:val="20"/>
        </w:rPr>
        <w:t>ew build refuse derived fuel facility (RDF)</w:t>
      </w:r>
      <w:r w:rsidRPr="001E05F5">
        <w:rPr>
          <w:szCs w:val="20"/>
        </w:rPr>
        <w:t xml:space="preserve"> perform poorly in terms of maximising </w:t>
      </w:r>
      <w:r w:rsidRPr="001E05F5">
        <w:t>recovery</w:t>
      </w:r>
      <w:r w:rsidRPr="001E05F5">
        <w:rPr>
          <w:szCs w:val="20"/>
        </w:rPr>
        <w:t xml:space="preserve">, diversion of waste from landfill and </w:t>
      </w:r>
      <w:r w:rsidR="00CE67A4" w:rsidRPr="001E05F5">
        <w:rPr>
          <w:szCs w:val="20"/>
        </w:rPr>
        <w:t xml:space="preserve">reducing the carbon impacts of waste management.  This is because there is a significant increase in the </w:t>
      </w:r>
      <w:r w:rsidR="008031FE" w:rsidRPr="001E05F5">
        <w:rPr>
          <w:szCs w:val="20"/>
        </w:rPr>
        <w:t xml:space="preserve">amount of </w:t>
      </w:r>
      <w:r w:rsidR="00CE67A4" w:rsidRPr="001E05F5">
        <w:rPr>
          <w:szCs w:val="20"/>
        </w:rPr>
        <w:t xml:space="preserve">waste sent to landfill when compared </w:t>
      </w:r>
      <w:r w:rsidR="008031FE" w:rsidRPr="001E05F5">
        <w:rPr>
          <w:szCs w:val="20"/>
        </w:rPr>
        <w:t xml:space="preserve">to </w:t>
      </w:r>
      <w:r w:rsidR="00CE67A4" w:rsidRPr="001E05F5">
        <w:rPr>
          <w:szCs w:val="20"/>
        </w:rPr>
        <w:t>the current situation and the other technology options considered.</w:t>
      </w:r>
    </w:p>
    <w:p w14:paraId="7D48543A" w14:textId="1617CC41" w:rsidR="00043580" w:rsidRPr="001E05F5" w:rsidRDefault="00CE67A4" w:rsidP="0038088B">
      <w:pPr>
        <w:pStyle w:val="ListParagraph"/>
        <w:numPr>
          <w:ilvl w:val="0"/>
          <w:numId w:val="30"/>
        </w:numPr>
        <w:rPr>
          <w:szCs w:val="20"/>
        </w:rPr>
      </w:pPr>
      <w:r w:rsidRPr="001E05F5">
        <w:rPr>
          <w:szCs w:val="20"/>
        </w:rPr>
        <w:t>Scenarios which u</w:t>
      </w:r>
      <w:r w:rsidR="00043580" w:rsidRPr="001E05F5">
        <w:rPr>
          <w:szCs w:val="20"/>
        </w:rPr>
        <w:t xml:space="preserve">tilise </w:t>
      </w:r>
      <w:r w:rsidR="0038088B" w:rsidRPr="001E05F5">
        <w:rPr>
          <w:szCs w:val="20"/>
        </w:rPr>
        <w:t>3</w:t>
      </w:r>
      <w:r w:rsidR="0038088B" w:rsidRPr="001E05F5">
        <w:rPr>
          <w:szCs w:val="20"/>
          <w:vertAlign w:val="superscript"/>
        </w:rPr>
        <w:t>rd</w:t>
      </w:r>
      <w:r w:rsidR="00043580" w:rsidRPr="001E05F5">
        <w:rPr>
          <w:szCs w:val="20"/>
        </w:rPr>
        <w:t xml:space="preserve"> party energy recovery facility capacity</w:t>
      </w:r>
      <w:r w:rsidR="0038088B" w:rsidRPr="001E05F5">
        <w:rPr>
          <w:szCs w:val="20"/>
        </w:rPr>
        <w:t xml:space="preserve"> score poorly on economic regeneration/employment because it is assumed that the 3</w:t>
      </w:r>
      <w:r w:rsidR="0038088B" w:rsidRPr="001E05F5">
        <w:rPr>
          <w:szCs w:val="20"/>
          <w:vertAlign w:val="superscript"/>
        </w:rPr>
        <w:t>rd</w:t>
      </w:r>
      <w:r w:rsidR="0038088B" w:rsidRPr="001E05F5">
        <w:rPr>
          <w:szCs w:val="20"/>
        </w:rPr>
        <w:t xml:space="preserve"> party facility is </w:t>
      </w:r>
      <w:r w:rsidR="008031FE" w:rsidRPr="001E05F5">
        <w:rPr>
          <w:szCs w:val="20"/>
        </w:rPr>
        <w:t xml:space="preserve">located </w:t>
      </w:r>
      <w:r w:rsidR="0038088B" w:rsidRPr="001E05F5">
        <w:rPr>
          <w:szCs w:val="20"/>
        </w:rPr>
        <w:t>outside Tees Valley</w:t>
      </w:r>
      <w:r w:rsidR="00D028B8" w:rsidRPr="001E05F5">
        <w:rPr>
          <w:szCs w:val="20"/>
        </w:rPr>
        <w:t>,</w:t>
      </w:r>
      <w:r w:rsidR="0038088B" w:rsidRPr="001E05F5">
        <w:rPr>
          <w:szCs w:val="20"/>
        </w:rPr>
        <w:t xml:space="preserve"> resulting in a loss of jobs in the waste management sector.  It also </w:t>
      </w:r>
      <w:r w:rsidR="007A1123" w:rsidRPr="001E05F5">
        <w:rPr>
          <w:szCs w:val="20"/>
        </w:rPr>
        <w:t>scores</w:t>
      </w:r>
      <w:r w:rsidR="0038088B" w:rsidRPr="001E05F5">
        <w:rPr>
          <w:szCs w:val="20"/>
        </w:rPr>
        <w:t xml:space="preserve"> less well than the new build energy recovery facility on reducing carbon impacts</w:t>
      </w:r>
      <w:r w:rsidR="007A1123" w:rsidRPr="001E05F5">
        <w:rPr>
          <w:szCs w:val="20"/>
        </w:rPr>
        <w:t>,</w:t>
      </w:r>
      <w:r w:rsidR="0038088B" w:rsidRPr="001E05F5">
        <w:rPr>
          <w:szCs w:val="20"/>
        </w:rPr>
        <w:t xml:space="preserve"> as it </w:t>
      </w:r>
      <w:r w:rsidR="007A1123" w:rsidRPr="001E05F5">
        <w:rPr>
          <w:szCs w:val="20"/>
        </w:rPr>
        <w:t>was</w:t>
      </w:r>
      <w:r w:rsidR="0038088B" w:rsidRPr="001E05F5">
        <w:rPr>
          <w:szCs w:val="20"/>
        </w:rPr>
        <w:t xml:space="preserve"> assumed that the 3</w:t>
      </w:r>
      <w:r w:rsidR="0038088B" w:rsidRPr="001E05F5">
        <w:rPr>
          <w:szCs w:val="20"/>
          <w:vertAlign w:val="superscript"/>
        </w:rPr>
        <w:t>rd</w:t>
      </w:r>
      <w:r w:rsidR="0038088B" w:rsidRPr="001E05F5">
        <w:rPr>
          <w:szCs w:val="20"/>
        </w:rPr>
        <w:t xml:space="preserve"> party facility is not CHP enabled</w:t>
      </w:r>
      <w:r w:rsidR="000118C4" w:rsidRPr="001E05F5">
        <w:rPr>
          <w:szCs w:val="20"/>
        </w:rPr>
        <w:t xml:space="preserve"> and there is additional </w:t>
      </w:r>
      <w:r w:rsidR="00D17603" w:rsidRPr="001E05F5">
        <w:rPr>
          <w:szCs w:val="20"/>
        </w:rPr>
        <w:t>transport</w:t>
      </w:r>
      <w:r w:rsidR="0038088B" w:rsidRPr="001E05F5">
        <w:rPr>
          <w:szCs w:val="20"/>
        </w:rPr>
        <w:t>.</w:t>
      </w:r>
    </w:p>
    <w:p w14:paraId="5AD423D0" w14:textId="3AD1C952" w:rsidR="00043580" w:rsidRPr="001E05F5" w:rsidRDefault="007A1123" w:rsidP="00043580">
      <w:r w:rsidRPr="001E05F5">
        <w:t>Therefore,</w:t>
      </w:r>
      <w:r w:rsidR="0038088B" w:rsidRPr="001E05F5">
        <w:t xml:space="preserve"> based on the agree</w:t>
      </w:r>
      <w:r w:rsidR="008031FE" w:rsidRPr="001E05F5">
        <w:t>d</w:t>
      </w:r>
      <w:r w:rsidR="0038088B" w:rsidRPr="001E05F5">
        <w:t xml:space="preserve"> evaluation criteria</w:t>
      </w:r>
      <w:r w:rsidRPr="001E05F5">
        <w:t>, and regardless of weighting,</w:t>
      </w:r>
      <w:r w:rsidR="0038088B" w:rsidRPr="001E05F5">
        <w:t xml:space="preserve"> the preferred option would be</w:t>
      </w:r>
      <w:r w:rsidR="000118C4" w:rsidRPr="001E05F5">
        <w:t>;</w:t>
      </w:r>
      <w:r w:rsidR="0038088B" w:rsidRPr="001E05F5">
        <w:t xml:space="preserve"> all prevention, reuse and recycling initiatives, high recycling collections and new energy recovery facility.  </w:t>
      </w:r>
      <w:r w:rsidRPr="001E05F5">
        <w:t xml:space="preserve">The outcome is consistent with the approach adopted in the existing Waste Strategy.  </w:t>
      </w:r>
    </w:p>
    <w:p w14:paraId="176ECE63" w14:textId="77777777" w:rsidR="006128F7" w:rsidRPr="001E05F5" w:rsidRDefault="00453419" w:rsidP="00453419">
      <w:pPr>
        <w:pStyle w:val="Heading1"/>
        <w:numPr>
          <w:ilvl w:val="0"/>
          <w:numId w:val="0"/>
        </w:numPr>
        <w:spacing w:before="0"/>
        <w:ind w:left="850" w:hanging="850"/>
      </w:pPr>
      <w:bookmarkStart w:id="22" w:name="_Toc521426507"/>
      <w:r w:rsidRPr="001E05F5">
        <w:lastRenderedPageBreak/>
        <w:t xml:space="preserve">Appendix A: </w:t>
      </w:r>
      <w:r w:rsidR="0007149E" w:rsidRPr="001E05F5">
        <w:t>Waste Forecast</w:t>
      </w:r>
      <w:bookmarkEnd w:id="22"/>
    </w:p>
    <w:p w14:paraId="10F06E0E" w14:textId="77777777" w:rsidR="00DE70D0" w:rsidRPr="001E05F5" w:rsidRDefault="00DE70D0" w:rsidP="009D2E0B">
      <w:pPr>
        <w:pStyle w:val="Heading2"/>
        <w:numPr>
          <w:ilvl w:val="0"/>
          <w:numId w:val="0"/>
        </w:numPr>
        <w:ind w:left="567" w:hanging="567"/>
      </w:pPr>
      <w:bookmarkStart w:id="23" w:name="_Toc519062093"/>
      <w:bookmarkStart w:id="24" w:name="_Toc521426508"/>
      <w:r w:rsidRPr="001E05F5">
        <w:t>Methodology</w:t>
      </w:r>
      <w:bookmarkEnd w:id="23"/>
      <w:bookmarkEnd w:id="24"/>
    </w:p>
    <w:p w14:paraId="72BACA80" w14:textId="77777777" w:rsidR="00DE70D0" w:rsidRPr="001E05F5" w:rsidRDefault="00DE70D0" w:rsidP="00DE70D0">
      <w:r w:rsidRPr="001E05F5">
        <w:t xml:space="preserve">National Planning Practice Guidance on waste (NPPG: Waste) provides information in support of the implementation of waste planning policy.  It includes guidance on how waste planning authorities should forecast municipal waste arisings preparing growth profiles.  Box </w:t>
      </w:r>
      <w:r w:rsidR="00E7613F" w:rsidRPr="001E05F5">
        <w:t>A</w:t>
      </w:r>
      <w:r w:rsidR="009627B6" w:rsidRPr="001E05F5">
        <w:t>1</w:t>
      </w:r>
      <w:r w:rsidR="004F09B3" w:rsidRPr="001E05F5">
        <w:t xml:space="preserve"> </w:t>
      </w:r>
      <w:r w:rsidRPr="001E05F5">
        <w:t>reproduces the guidance for the 2014 revision</w:t>
      </w:r>
      <w:r w:rsidR="009627B6" w:rsidRPr="001E05F5">
        <w:t xml:space="preserve"> (</w:t>
      </w:r>
      <w:hyperlink r:id="rId18" w:history="1">
        <w:r w:rsidR="009627B6" w:rsidRPr="001E05F5">
          <w:rPr>
            <w:rStyle w:val="Hyperlink"/>
            <w:sz w:val="18"/>
          </w:rPr>
          <w:t>https://www.gov.uk/guidance/waste</w:t>
        </w:r>
      </w:hyperlink>
      <w:r w:rsidR="009627B6" w:rsidRPr="001E05F5">
        <w:rPr>
          <w:sz w:val="18"/>
        </w:rPr>
        <w:t xml:space="preserve"> accessed 3rd February 2018)</w:t>
      </w:r>
    </w:p>
    <w:p w14:paraId="02F79248" w14:textId="77777777" w:rsidR="009627B6" w:rsidRPr="001E05F5" w:rsidRDefault="009627B6" w:rsidP="009627B6">
      <w:pPr>
        <w:keepNext/>
        <w:rPr>
          <w:b/>
        </w:rPr>
      </w:pPr>
      <w:r w:rsidRPr="001E05F5">
        <w:rPr>
          <w:b/>
        </w:rPr>
        <w:t xml:space="preserve">Box </w:t>
      </w:r>
      <w:r w:rsidR="00E7613F" w:rsidRPr="001E05F5">
        <w:rPr>
          <w:b/>
        </w:rPr>
        <w:t>A</w:t>
      </w:r>
      <w:r w:rsidRPr="001E05F5">
        <w:rPr>
          <w:b/>
        </w:rPr>
        <w:t>1: National Planning Practice Guidance: Waste</w:t>
      </w:r>
    </w:p>
    <w:tbl>
      <w:tblPr>
        <w:tblStyle w:val="TableGrid"/>
        <w:tblW w:w="9498" w:type="dxa"/>
        <w:tblInd w:w="108" w:type="dxa"/>
        <w:shd w:val="clear" w:color="auto" w:fill="C1DBB7"/>
        <w:tblLook w:val="04A0" w:firstRow="1" w:lastRow="0" w:firstColumn="1" w:lastColumn="0" w:noHBand="0" w:noVBand="1"/>
      </w:tblPr>
      <w:tblGrid>
        <w:gridCol w:w="9498"/>
      </w:tblGrid>
      <w:tr w:rsidR="009627B6" w:rsidRPr="001E05F5" w14:paraId="68F17ECE" w14:textId="77777777" w:rsidTr="009627B6">
        <w:trPr>
          <w:cantSplit/>
        </w:trPr>
        <w:tc>
          <w:tcPr>
            <w:tcW w:w="9498" w:type="dxa"/>
            <w:shd w:val="clear" w:color="auto" w:fill="C1DBB7"/>
          </w:tcPr>
          <w:p w14:paraId="6EB37858" w14:textId="77777777" w:rsidR="009627B6" w:rsidRPr="001E05F5" w:rsidRDefault="009627B6" w:rsidP="009627B6">
            <w:pPr>
              <w:spacing w:before="120" w:after="0"/>
              <w:rPr>
                <w:rFonts w:cs="Tahoma"/>
                <w:b/>
              </w:rPr>
            </w:pPr>
            <w:r w:rsidRPr="001E05F5">
              <w:rPr>
                <w:rFonts w:cs="Tahoma"/>
                <w:b/>
              </w:rPr>
              <w:t>How should waste planning authorities forecast waste arisings?</w:t>
            </w:r>
          </w:p>
          <w:p w14:paraId="761CBDE8" w14:textId="77777777" w:rsidR="009627B6" w:rsidRPr="001E05F5" w:rsidRDefault="009627B6" w:rsidP="009627B6">
            <w:pPr>
              <w:spacing w:after="60"/>
              <w:rPr>
                <w:rFonts w:cs="Tahoma"/>
                <w:sz w:val="18"/>
                <w:szCs w:val="18"/>
              </w:rPr>
            </w:pPr>
            <w:r w:rsidRPr="001E05F5">
              <w:rPr>
                <w:rFonts w:cs="Tahoma"/>
                <w:sz w:val="18"/>
                <w:szCs w:val="18"/>
              </w:rPr>
              <w:t>Waste planning authorities should anticipate and forecast the amount of waste that should be managed at the end of the plan period. They should also forecast waste arising at specific points within the plan period, so as to enable proper consideration of when certain facilities might be needed. However, the right balance needs to be made between obtaining the best evidence to inform what will be necessary to meet waste needs, while avoiding unnecessary and spurious precision.</w:t>
            </w:r>
          </w:p>
          <w:p w14:paraId="47AE5A74" w14:textId="77777777" w:rsidR="009627B6" w:rsidRPr="001E05F5" w:rsidRDefault="009627B6" w:rsidP="009627B6">
            <w:pPr>
              <w:spacing w:after="60"/>
              <w:rPr>
                <w:rFonts w:cs="Tahoma"/>
                <w:sz w:val="18"/>
                <w:szCs w:val="18"/>
              </w:rPr>
            </w:pPr>
            <w:r w:rsidRPr="001E05F5">
              <w:rPr>
                <w:rFonts w:cs="Tahoma"/>
                <w:sz w:val="18"/>
                <w:szCs w:val="18"/>
              </w:rPr>
              <w:t>Paragraph: 028 Reference ID: 28-028-20141016</w:t>
            </w:r>
          </w:p>
          <w:p w14:paraId="06D0E0A5" w14:textId="77777777" w:rsidR="009627B6" w:rsidRPr="001E05F5" w:rsidRDefault="009627B6" w:rsidP="009627B6">
            <w:pPr>
              <w:spacing w:before="120" w:after="0"/>
              <w:rPr>
                <w:rFonts w:cs="Tahoma"/>
                <w:b/>
              </w:rPr>
            </w:pPr>
            <w:r w:rsidRPr="001E05F5">
              <w:rPr>
                <w:rFonts w:cs="Tahoma"/>
                <w:b/>
              </w:rPr>
              <w:t>How should waste planning authorities forecast future municipal waste arisings?</w:t>
            </w:r>
          </w:p>
          <w:p w14:paraId="1646DEE1" w14:textId="77777777" w:rsidR="009627B6" w:rsidRPr="001E05F5" w:rsidRDefault="009627B6" w:rsidP="009627B6">
            <w:pPr>
              <w:spacing w:after="60"/>
              <w:rPr>
                <w:rFonts w:cs="Tahoma"/>
                <w:sz w:val="18"/>
                <w:szCs w:val="18"/>
              </w:rPr>
            </w:pPr>
            <w:r w:rsidRPr="001E05F5">
              <w:rPr>
                <w:rFonts w:cs="Tahoma"/>
                <w:sz w:val="18"/>
                <w:szCs w:val="18"/>
              </w:rPr>
              <w:t>Forecasts of future municipal waste arisings are normally central to the development of Municipal Waste Management Strategies.</w:t>
            </w:r>
          </w:p>
          <w:p w14:paraId="37E11569" w14:textId="77777777" w:rsidR="009627B6" w:rsidRPr="001E05F5" w:rsidRDefault="009627B6" w:rsidP="009627B6">
            <w:pPr>
              <w:spacing w:after="60"/>
              <w:rPr>
                <w:rFonts w:cs="Tahoma"/>
                <w:sz w:val="18"/>
                <w:szCs w:val="18"/>
              </w:rPr>
            </w:pPr>
            <w:r w:rsidRPr="001E05F5">
              <w:rPr>
                <w:rFonts w:cs="Tahoma"/>
                <w:sz w:val="18"/>
                <w:szCs w:val="18"/>
              </w:rPr>
              <w:t>It will be helpful to examine municipal waste arisings according to source (</w:t>
            </w:r>
            <w:proofErr w:type="spellStart"/>
            <w:r w:rsidRPr="001E05F5">
              <w:rPr>
                <w:rFonts w:cs="Tahoma"/>
                <w:sz w:val="18"/>
                <w:szCs w:val="18"/>
              </w:rPr>
              <w:t>ie</w:t>
            </w:r>
            <w:proofErr w:type="spellEnd"/>
            <w:r w:rsidRPr="001E05F5">
              <w:rPr>
                <w:rFonts w:cs="Tahoma"/>
                <w:sz w:val="18"/>
                <w:szCs w:val="18"/>
              </w:rPr>
              <w:t xml:space="preserve"> household collections, civic amenity site wastes, trade waste etc.). This may allow growth to be attributed to particular factors and to inform future forecasts.</w:t>
            </w:r>
          </w:p>
          <w:p w14:paraId="50FF3569" w14:textId="77777777" w:rsidR="009627B6" w:rsidRPr="001E05F5" w:rsidRDefault="009627B6" w:rsidP="009627B6">
            <w:pPr>
              <w:spacing w:after="60"/>
              <w:rPr>
                <w:rFonts w:cs="Tahoma"/>
                <w:sz w:val="18"/>
                <w:szCs w:val="18"/>
              </w:rPr>
            </w:pPr>
            <w:r w:rsidRPr="001E05F5">
              <w:rPr>
                <w:rFonts w:cs="Tahoma"/>
                <w:sz w:val="18"/>
                <w:szCs w:val="18"/>
              </w:rPr>
              <w:t>A ‘growth profile’, setting out the assumed rate of change in waste arisings may be a useful starting point for forecasting municipal waste arisings. The growth profile should be based on 2 factors:</w:t>
            </w:r>
          </w:p>
          <w:p w14:paraId="69B0D5EF" w14:textId="77777777" w:rsidR="009627B6" w:rsidRPr="001E05F5" w:rsidRDefault="009627B6" w:rsidP="009627B6">
            <w:pPr>
              <w:pStyle w:val="ListParagraph"/>
              <w:spacing w:after="60"/>
              <w:ind w:left="357" w:hanging="357"/>
              <w:rPr>
                <w:sz w:val="18"/>
                <w:szCs w:val="18"/>
              </w:rPr>
            </w:pPr>
            <w:r w:rsidRPr="001E05F5">
              <w:rPr>
                <w:sz w:val="18"/>
                <w:szCs w:val="18"/>
              </w:rPr>
              <w:t>household or population growth; and</w:t>
            </w:r>
          </w:p>
          <w:p w14:paraId="400C1508" w14:textId="77777777" w:rsidR="009627B6" w:rsidRPr="001E05F5" w:rsidRDefault="009627B6" w:rsidP="009627B6">
            <w:pPr>
              <w:pStyle w:val="ListParagraph"/>
              <w:spacing w:after="60"/>
              <w:ind w:left="357" w:hanging="357"/>
              <w:rPr>
                <w:sz w:val="18"/>
                <w:szCs w:val="18"/>
              </w:rPr>
            </w:pPr>
            <w:r w:rsidRPr="001E05F5">
              <w:rPr>
                <w:sz w:val="18"/>
                <w:szCs w:val="18"/>
              </w:rPr>
              <w:t>waste arisings per household or per capita.</w:t>
            </w:r>
          </w:p>
          <w:p w14:paraId="2A8F9A44" w14:textId="77777777" w:rsidR="009627B6" w:rsidRPr="001E05F5" w:rsidRDefault="009627B6" w:rsidP="009627B6">
            <w:pPr>
              <w:spacing w:after="60"/>
              <w:rPr>
                <w:rFonts w:cs="Tahoma"/>
                <w:sz w:val="18"/>
                <w:szCs w:val="18"/>
              </w:rPr>
            </w:pPr>
            <w:r w:rsidRPr="001E05F5">
              <w:rPr>
                <w:rFonts w:cs="Tahoma"/>
                <w:sz w:val="18"/>
                <w:szCs w:val="18"/>
              </w:rPr>
              <w:t>Paragraph: 029 Reference ID: 28-029-20141016</w:t>
            </w:r>
          </w:p>
          <w:p w14:paraId="621DEBAE" w14:textId="77777777" w:rsidR="009627B6" w:rsidRPr="001E05F5" w:rsidRDefault="009627B6" w:rsidP="009627B6">
            <w:pPr>
              <w:spacing w:before="120" w:after="0"/>
              <w:rPr>
                <w:rFonts w:cs="Tahoma"/>
                <w:b/>
              </w:rPr>
            </w:pPr>
            <w:r w:rsidRPr="001E05F5">
              <w:rPr>
                <w:rFonts w:cs="Tahoma"/>
                <w:b/>
              </w:rPr>
              <w:t>How is a growth profile prepared?</w:t>
            </w:r>
          </w:p>
          <w:p w14:paraId="30E76F44" w14:textId="77777777" w:rsidR="009627B6" w:rsidRPr="001E05F5" w:rsidRDefault="009627B6" w:rsidP="009627B6">
            <w:pPr>
              <w:spacing w:after="60"/>
              <w:rPr>
                <w:rFonts w:cs="Tahoma"/>
                <w:sz w:val="18"/>
                <w:szCs w:val="18"/>
              </w:rPr>
            </w:pPr>
            <w:r w:rsidRPr="001E05F5">
              <w:rPr>
                <w:rFonts w:cs="Tahoma"/>
                <w:sz w:val="18"/>
                <w:szCs w:val="18"/>
              </w:rPr>
              <w:t>A growth profile is prepared through a staged process:</w:t>
            </w:r>
          </w:p>
          <w:p w14:paraId="39A4639D" w14:textId="77777777" w:rsidR="009627B6" w:rsidRPr="001E05F5" w:rsidRDefault="009627B6" w:rsidP="009627B6">
            <w:pPr>
              <w:pStyle w:val="ListParagraph"/>
              <w:spacing w:after="60"/>
              <w:ind w:left="357" w:hanging="357"/>
              <w:rPr>
                <w:sz w:val="18"/>
                <w:szCs w:val="18"/>
              </w:rPr>
            </w:pPr>
            <w:r w:rsidRPr="001E05F5">
              <w:rPr>
                <w:sz w:val="18"/>
                <w:szCs w:val="18"/>
              </w:rPr>
              <w:t>calculate arisings per head by dividing annual arisings by population or household data to establish short- and long-term average annual growth rates per household and</w:t>
            </w:r>
          </w:p>
          <w:p w14:paraId="728E44B1" w14:textId="77777777" w:rsidR="009627B6" w:rsidRPr="001E05F5" w:rsidRDefault="009627B6" w:rsidP="009627B6">
            <w:pPr>
              <w:pStyle w:val="ListParagraph"/>
              <w:spacing w:after="60"/>
              <w:ind w:left="357" w:hanging="357"/>
              <w:rPr>
                <w:sz w:val="18"/>
                <w:szCs w:val="18"/>
              </w:rPr>
            </w:pPr>
            <w:r w:rsidRPr="001E05F5">
              <w:rPr>
                <w:sz w:val="18"/>
                <w:szCs w:val="18"/>
              </w:rPr>
              <w:t>factor in a range of different scenarios, e.g. constant rate of growth, progressively lowering growth rates due to waste minimisation initiatives.</w:t>
            </w:r>
          </w:p>
          <w:p w14:paraId="56EE1F27" w14:textId="77777777" w:rsidR="009627B6" w:rsidRPr="001E05F5" w:rsidRDefault="009627B6" w:rsidP="009627B6">
            <w:pPr>
              <w:spacing w:after="60"/>
              <w:rPr>
                <w:rFonts w:cs="Tahoma"/>
                <w:sz w:val="18"/>
                <w:szCs w:val="18"/>
              </w:rPr>
            </w:pPr>
            <w:r w:rsidRPr="001E05F5">
              <w:rPr>
                <w:rFonts w:cs="Tahoma"/>
                <w:sz w:val="18"/>
                <w:szCs w:val="18"/>
              </w:rPr>
              <w:t>The final forecast can then be modelled with scenarios based on the long- and short-term rate of growth per household, together with household forecasts.</w:t>
            </w:r>
          </w:p>
          <w:p w14:paraId="082E07E5" w14:textId="77777777" w:rsidR="009627B6" w:rsidRPr="001E05F5" w:rsidRDefault="009627B6" w:rsidP="009627B6">
            <w:pPr>
              <w:spacing w:after="60"/>
            </w:pPr>
            <w:r w:rsidRPr="001E05F5">
              <w:rPr>
                <w:rFonts w:cs="Tahoma"/>
                <w:sz w:val="18"/>
                <w:szCs w:val="18"/>
              </w:rPr>
              <w:t>Paragraph: 030 Reference ID: 28-030-20141016</w:t>
            </w:r>
          </w:p>
        </w:tc>
      </w:tr>
    </w:tbl>
    <w:p w14:paraId="139AA1E5" w14:textId="77777777" w:rsidR="004A40DD" w:rsidRPr="001E05F5" w:rsidRDefault="004A40DD" w:rsidP="009D2E0B">
      <w:pPr>
        <w:pStyle w:val="Heading2"/>
        <w:numPr>
          <w:ilvl w:val="0"/>
          <w:numId w:val="0"/>
        </w:numPr>
        <w:ind w:left="567" w:hanging="567"/>
      </w:pPr>
      <w:bookmarkStart w:id="25" w:name="_Toc519062094"/>
      <w:bookmarkStart w:id="26" w:name="_Toc521426509"/>
      <w:r w:rsidRPr="001E05F5">
        <w:t>Housing data and forecasts</w:t>
      </w:r>
      <w:bookmarkEnd w:id="25"/>
      <w:bookmarkEnd w:id="26"/>
      <w:r w:rsidRPr="001E05F5">
        <w:t xml:space="preserve"> </w:t>
      </w:r>
    </w:p>
    <w:p w14:paraId="2E4187BD" w14:textId="77777777" w:rsidR="004A40DD" w:rsidRPr="001E05F5" w:rsidRDefault="004A40DD" w:rsidP="00A3784A">
      <w:r w:rsidRPr="001E05F5">
        <w:t>To analyse the trends in waste generation per household, historic household numbers 2016/17 are required, along with household forecasts up to 2031 to consider future trends.</w:t>
      </w:r>
    </w:p>
    <w:p w14:paraId="23012452" w14:textId="77777777" w:rsidR="004A40DD" w:rsidRPr="001E05F5" w:rsidRDefault="004A40DD" w:rsidP="00A3784A">
      <w:r w:rsidRPr="001E05F5">
        <w:t xml:space="preserve">Ministry of Housing, Communities and Local </w:t>
      </w:r>
      <w:r w:rsidRPr="001E05F5">
        <w:rPr>
          <w:szCs w:val="20"/>
        </w:rPr>
        <w:t>Government</w:t>
      </w:r>
      <w:r w:rsidR="00A3784A" w:rsidRPr="001E05F5">
        <w:rPr>
          <w:szCs w:val="20"/>
        </w:rPr>
        <w:t xml:space="preserve"> </w:t>
      </w:r>
      <w:r w:rsidRPr="001E05F5">
        <w:rPr>
          <w:szCs w:val="20"/>
        </w:rPr>
        <w:t>(</w:t>
      </w:r>
      <w:r w:rsidR="00A3784A" w:rsidRPr="001E05F5">
        <w:rPr>
          <w:rFonts w:cs="Arial"/>
          <w:color w:val="000000"/>
          <w:szCs w:val="20"/>
        </w:rPr>
        <w:t>MHCLG</w:t>
      </w:r>
      <w:r w:rsidR="00A3784A" w:rsidRPr="001E05F5">
        <w:rPr>
          <w:szCs w:val="20"/>
        </w:rPr>
        <w:t xml:space="preserve"> </w:t>
      </w:r>
      <w:r w:rsidRPr="001E05F5">
        <w:rPr>
          <w:szCs w:val="20"/>
        </w:rPr>
        <w:t>formerly</w:t>
      </w:r>
      <w:r w:rsidRPr="001E05F5">
        <w:t xml:space="preserve"> DCLG) housing data</w:t>
      </w:r>
      <w:r w:rsidRPr="001E05F5">
        <w:rPr>
          <w:rStyle w:val="FootnoteReference"/>
        </w:rPr>
        <w:footnoteReference w:id="5"/>
      </w:r>
      <w:r w:rsidRPr="001E05F5">
        <w:t xml:space="preserve"> cover the period from 2010 to 2039</w:t>
      </w:r>
      <w:r w:rsidR="001D6817" w:rsidRPr="001E05F5">
        <w:t>.  This data allows current trends in waste per household to be analysed using the same dataset that will be used for estimating future arisings, ensuring the dataset is internally consistent.</w:t>
      </w:r>
    </w:p>
    <w:p w14:paraId="7DDB1C47" w14:textId="77777777" w:rsidR="009D2E0B" w:rsidRPr="001E05F5" w:rsidRDefault="009D2E0B" w:rsidP="00A3784A"/>
    <w:p w14:paraId="59D8BC5D" w14:textId="77777777" w:rsidR="006A2D31" w:rsidRPr="001E05F5" w:rsidRDefault="00D331D1" w:rsidP="009D2E0B">
      <w:pPr>
        <w:pStyle w:val="Heading2"/>
        <w:numPr>
          <w:ilvl w:val="0"/>
          <w:numId w:val="0"/>
        </w:numPr>
        <w:ind w:left="567" w:hanging="567"/>
      </w:pPr>
      <w:bookmarkStart w:id="27" w:name="_Toc519062095"/>
      <w:bookmarkStart w:id="28" w:name="_Toc521426510"/>
      <w:r w:rsidRPr="001E05F5">
        <w:t>3 to 5</w:t>
      </w:r>
      <w:r w:rsidR="0028187F" w:rsidRPr="001E05F5">
        <w:t xml:space="preserve"> Y</w:t>
      </w:r>
      <w:r w:rsidRPr="001E05F5">
        <w:t xml:space="preserve">ear </w:t>
      </w:r>
      <w:r w:rsidR="006A2D31" w:rsidRPr="001E05F5">
        <w:t>Trends</w:t>
      </w:r>
      <w:bookmarkEnd w:id="27"/>
      <w:bookmarkEnd w:id="28"/>
    </w:p>
    <w:p w14:paraId="6ABF1D44" w14:textId="77777777" w:rsidR="00832A70" w:rsidRPr="001E05F5" w:rsidRDefault="00FA2A0E" w:rsidP="00A3784A">
      <w:r w:rsidRPr="001E05F5">
        <w:t>T</w:t>
      </w:r>
      <w:r w:rsidR="00832A70" w:rsidRPr="001E05F5">
        <w:t>he trends are consider</w:t>
      </w:r>
      <w:r w:rsidR="004F09B3" w:rsidRPr="001E05F5">
        <w:t>ed</w:t>
      </w:r>
      <w:r w:rsidR="00832A70" w:rsidRPr="001E05F5">
        <w:t xml:space="preserve"> over the last three to five years </w:t>
      </w:r>
      <w:r w:rsidRPr="001E05F5">
        <w:t>as this coincides with the low point in LACW arisings both in Tees Valley and nationally following the impact of the recession on waste generation levels</w:t>
      </w:r>
      <w:r w:rsidR="00427A85" w:rsidRPr="001E05F5">
        <w:t xml:space="preserve">, see Table </w:t>
      </w:r>
      <w:r w:rsidR="00E7613F" w:rsidRPr="001E05F5">
        <w:t>A</w:t>
      </w:r>
      <w:r w:rsidR="00427A85" w:rsidRPr="001E05F5">
        <w:t>1</w:t>
      </w:r>
      <w:r w:rsidRPr="001E05F5">
        <w:t xml:space="preserve">.  </w:t>
      </w:r>
      <w:r w:rsidR="00832A70" w:rsidRPr="001E05F5">
        <w:t xml:space="preserve"> </w:t>
      </w:r>
    </w:p>
    <w:p w14:paraId="40D29F9B" w14:textId="74B6E94A" w:rsidR="00E46111" w:rsidRPr="001E05F5" w:rsidRDefault="00E46111" w:rsidP="00A3784A">
      <w:r w:rsidRPr="001E05F5">
        <w:t xml:space="preserve">Household waste growth is broadly consistent with growth in </w:t>
      </w:r>
      <w:r w:rsidR="005D4CC2" w:rsidRPr="001E05F5">
        <w:t xml:space="preserve">the </w:t>
      </w:r>
      <w:r w:rsidRPr="001E05F5">
        <w:t>number of household</w:t>
      </w:r>
      <w:r w:rsidR="005D4CC2" w:rsidRPr="001E05F5">
        <w:t>s</w:t>
      </w:r>
      <w:r w:rsidRPr="001E05F5">
        <w:t>, with the growth in LACW being driven more by the growth in non-household waste.</w:t>
      </w:r>
      <w:r w:rsidR="00257714" w:rsidRPr="001E05F5">
        <w:t xml:space="preserve">  The change in the non-household waste</w:t>
      </w:r>
      <w:r w:rsidR="00427A85" w:rsidRPr="001E05F5">
        <w:t xml:space="preserve"> over the last five years </w:t>
      </w:r>
      <w:r w:rsidR="00257714" w:rsidRPr="001E05F5">
        <w:t xml:space="preserve">is effectively as a result </w:t>
      </w:r>
      <w:r w:rsidR="004F09B3" w:rsidRPr="001E05F5">
        <w:t xml:space="preserve">of the increase of </w:t>
      </w:r>
      <w:r w:rsidR="00257714" w:rsidRPr="001E05F5">
        <w:t>9,000 in Darlington</w:t>
      </w:r>
      <w:r w:rsidR="00832A70" w:rsidRPr="001E05F5">
        <w:t xml:space="preserve"> over the last </w:t>
      </w:r>
      <w:r w:rsidR="00427A85" w:rsidRPr="001E05F5">
        <w:t>five</w:t>
      </w:r>
      <w:r w:rsidR="00832A70" w:rsidRPr="001E05F5">
        <w:t xml:space="preserve"> years</w:t>
      </w:r>
      <w:r w:rsidR="00257714" w:rsidRPr="001E05F5">
        <w:t xml:space="preserve">, with </w:t>
      </w:r>
      <w:r w:rsidR="004D3772" w:rsidRPr="001E05F5">
        <w:t xml:space="preserve">total for the other four authorities sitting between 50,000 and 55,000 tpa over the last </w:t>
      </w:r>
      <w:r w:rsidR="00427A85" w:rsidRPr="001E05F5">
        <w:t xml:space="preserve">five </w:t>
      </w:r>
      <w:r w:rsidR="004D3772" w:rsidRPr="001E05F5">
        <w:t>years</w:t>
      </w:r>
      <w:r w:rsidR="009627B6" w:rsidRPr="001E05F5">
        <w:t xml:space="preserve">, see Figure </w:t>
      </w:r>
      <w:r w:rsidR="00E7613F" w:rsidRPr="001E05F5">
        <w:t>A</w:t>
      </w:r>
      <w:r w:rsidR="009627B6" w:rsidRPr="001E05F5">
        <w:t>1</w:t>
      </w:r>
      <w:r w:rsidR="004D3772" w:rsidRPr="001E05F5">
        <w:t>.</w:t>
      </w:r>
      <w:r w:rsidR="00427A85" w:rsidRPr="001E05F5">
        <w:t xml:space="preserve">  Figure </w:t>
      </w:r>
      <w:r w:rsidR="00E7613F" w:rsidRPr="001E05F5">
        <w:t>A</w:t>
      </w:r>
      <w:r w:rsidR="00427A85" w:rsidRPr="001E05F5">
        <w:t xml:space="preserve">1 also highlights that the non-household waste in Darlington has recover to the </w:t>
      </w:r>
      <w:proofErr w:type="gramStart"/>
      <w:r w:rsidR="00427A85" w:rsidRPr="001E05F5">
        <w:t>pre 2012-13</w:t>
      </w:r>
      <w:proofErr w:type="gramEnd"/>
      <w:r w:rsidR="00427A85" w:rsidRPr="001E05F5">
        <w:t xml:space="preserve"> levels.</w:t>
      </w:r>
    </w:p>
    <w:p w14:paraId="6B41D858" w14:textId="77777777" w:rsidR="00427A85" w:rsidRPr="001E05F5" w:rsidRDefault="00427A85" w:rsidP="00A3784A">
      <w:pPr>
        <w:rPr>
          <w:b/>
        </w:rPr>
      </w:pPr>
      <w:r w:rsidRPr="001E05F5">
        <w:rPr>
          <w:b/>
        </w:rPr>
        <w:t xml:space="preserve">Table </w:t>
      </w:r>
      <w:r w:rsidR="00E7613F" w:rsidRPr="001E05F5">
        <w:rPr>
          <w:b/>
        </w:rPr>
        <w:t>A</w:t>
      </w:r>
      <w:r w:rsidRPr="001E05F5">
        <w:rPr>
          <w:b/>
        </w:rPr>
        <w:t>1</w:t>
      </w:r>
      <w:r w:rsidR="006F1DD2" w:rsidRPr="001E05F5">
        <w:rPr>
          <w:b/>
        </w:rPr>
        <w:t xml:space="preserve">: Tees Valley LACW tonnage Trends </w:t>
      </w:r>
    </w:p>
    <w:tbl>
      <w:tblPr>
        <w:tblW w:w="8915" w:type="dxa"/>
        <w:tblInd w:w="94" w:type="dxa"/>
        <w:tblLayout w:type="fixed"/>
        <w:tblLook w:val="04A0" w:firstRow="1" w:lastRow="0" w:firstColumn="1" w:lastColumn="0" w:noHBand="0" w:noVBand="1"/>
      </w:tblPr>
      <w:tblGrid>
        <w:gridCol w:w="2566"/>
        <w:gridCol w:w="907"/>
        <w:gridCol w:w="907"/>
        <w:gridCol w:w="907"/>
        <w:gridCol w:w="907"/>
        <w:gridCol w:w="907"/>
        <w:gridCol w:w="907"/>
        <w:gridCol w:w="907"/>
      </w:tblGrid>
      <w:tr w:rsidR="006A2D31" w:rsidRPr="001E05F5" w14:paraId="784A5D71" w14:textId="77777777" w:rsidTr="004B2F23">
        <w:trPr>
          <w:trHeight w:val="300"/>
        </w:trPr>
        <w:tc>
          <w:tcPr>
            <w:tcW w:w="2566"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14:paraId="58159C68" w14:textId="77777777" w:rsidR="006A2D31" w:rsidRPr="001E05F5" w:rsidRDefault="006A2D31" w:rsidP="00DE70D0">
            <w:pPr>
              <w:spacing w:before="40" w:after="40" w:line="240" w:lineRule="auto"/>
              <w:rPr>
                <w:rFonts w:cs="Arial"/>
                <w:b/>
                <w:sz w:val="18"/>
                <w:szCs w:val="20"/>
              </w:rPr>
            </w:pPr>
            <w:r w:rsidRPr="001E05F5">
              <w:rPr>
                <w:rFonts w:cs="Arial"/>
                <w:b/>
                <w:sz w:val="18"/>
                <w:szCs w:val="20"/>
              </w:rPr>
              <w:t> </w:t>
            </w:r>
          </w:p>
        </w:tc>
        <w:tc>
          <w:tcPr>
            <w:tcW w:w="907" w:type="dxa"/>
            <w:tcBorders>
              <w:top w:val="single" w:sz="4" w:space="0" w:color="auto"/>
              <w:left w:val="single" w:sz="4" w:space="0" w:color="auto"/>
              <w:bottom w:val="single" w:sz="4" w:space="0" w:color="auto"/>
            </w:tcBorders>
            <w:shd w:val="clear" w:color="DBE5F1" w:fill="DBE5F1"/>
            <w:noWrap/>
            <w:vAlign w:val="center"/>
            <w:hideMark/>
          </w:tcPr>
          <w:p w14:paraId="501E261C" w14:textId="77777777" w:rsidR="006A2D31" w:rsidRPr="001E05F5" w:rsidRDefault="006A2D31" w:rsidP="00DE70D0">
            <w:pPr>
              <w:spacing w:before="40" w:after="40" w:line="240" w:lineRule="auto"/>
              <w:rPr>
                <w:rFonts w:cs="Arial"/>
                <w:b/>
                <w:sz w:val="18"/>
                <w:szCs w:val="20"/>
              </w:rPr>
            </w:pPr>
            <w:r w:rsidRPr="001E05F5">
              <w:rPr>
                <w:rFonts w:cs="Arial"/>
                <w:b/>
                <w:sz w:val="18"/>
                <w:szCs w:val="20"/>
              </w:rPr>
              <w:t>2010-11</w:t>
            </w:r>
          </w:p>
        </w:tc>
        <w:tc>
          <w:tcPr>
            <w:tcW w:w="907" w:type="dxa"/>
            <w:tcBorders>
              <w:top w:val="single" w:sz="4" w:space="0" w:color="auto"/>
              <w:bottom w:val="single" w:sz="4" w:space="0" w:color="auto"/>
            </w:tcBorders>
            <w:shd w:val="clear" w:color="DBE5F1" w:fill="DBE5F1"/>
            <w:noWrap/>
            <w:vAlign w:val="center"/>
            <w:hideMark/>
          </w:tcPr>
          <w:p w14:paraId="2FA8E254" w14:textId="77777777" w:rsidR="006A2D31" w:rsidRPr="001E05F5" w:rsidRDefault="006A2D31" w:rsidP="00DE70D0">
            <w:pPr>
              <w:spacing w:before="40" w:after="40" w:line="240" w:lineRule="auto"/>
              <w:rPr>
                <w:rFonts w:cs="Arial"/>
                <w:b/>
                <w:sz w:val="18"/>
                <w:szCs w:val="20"/>
              </w:rPr>
            </w:pPr>
            <w:r w:rsidRPr="001E05F5">
              <w:rPr>
                <w:rFonts w:cs="Arial"/>
                <w:b/>
                <w:sz w:val="18"/>
                <w:szCs w:val="20"/>
              </w:rPr>
              <w:t>2011-12</w:t>
            </w:r>
          </w:p>
        </w:tc>
        <w:tc>
          <w:tcPr>
            <w:tcW w:w="907" w:type="dxa"/>
            <w:tcBorders>
              <w:top w:val="single" w:sz="4" w:space="0" w:color="auto"/>
              <w:bottom w:val="single" w:sz="4" w:space="0" w:color="auto"/>
            </w:tcBorders>
            <w:shd w:val="clear" w:color="DBE5F1" w:fill="DBE5F1"/>
            <w:noWrap/>
            <w:vAlign w:val="center"/>
            <w:hideMark/>
          </w:tcPr>
          <w:p w14:paraId="7CFF8867" w14:textId="77777777" w:rsidR="006A2D31" w:rsidRPr="001E05F5" w:rsidRDefault="006A2D31" w:rsidP="00DE70D0">
            <w:pPr>
              <w:spacing w:before="40" w:after="40" w:line="240" w:lineRule="auto"/>
              <w:rPr>
                <w:rFonts w:cs="Arial"/>
                <w:b/>
                <w:sz w:val="18"/>
                <w:szCs w:val="20"/>
              </w:rPr>
            </w:pPr>
            <w:r w:rsidRPr="001E05F5">
              <w:rPr>
                <w:rFonts w:cs="Arial"/>
                <w:b/>
                <w:sz w:val="18"/>
                <w:szCs w:val="20"/>
              </w:rPr>
              <w:t>2012-13</w:t>
            </w:r>
          </w:p>
        </w:tc>
        <w:tc>
          <w:tcPr>
            <w:tcW w:w="907" w:type="dxa"/>
            <w:tcBorders>
              <w:top w:val="single" w:sz="4" w:space="0" w:color="auto"/>
              <w:bottom w:val="single" w:sz="4" w:space="0" w:color="auto"/>
            </w:tcBorders>
            <w:shd w:val="clear" w:color="DBE5F1" w:fill="DBE5F1"/>
            <w:noWrap/>
            <w:vAlign w:val="center"/>
            <w:hideMark/>
          </w:tcPr>
          <w:p w14:paraId="7220DA17" w14:textId="77777777" w:rsidR="006A2D31" w:rsidRPr="001E05F5" w:rsidRDefault="006A2D31" w:rsidP="00DE70D0">
            <w:pPr>
              <w:spacing w:before="40" w:after="40" w:line="240" w:lineRule="auto"/>
              <w:rPr>
                <w:rFonts w:cs="Arial"/>
                <w:b/>
                <w:sz w:val="18"/>
                <w:szCs w:val="20"/>
              </w:rPr>
            </w:pPr>
            <w:r w:rsidRPr="001E05F5">
              <w:rPr>
                <w:rFonts w:cs="Arial"/>
                <w:b/>
                <w:sz w:val="18"/>
                <w:szCs w:val="20"/>
              </w:rPr>
              <w:t>2013-14</w:t>
            </w:r>
          </w:p>
        </w:tc>
        <w:tc>
          <w:tcPr>
            <w:tcW w:w="907" w:type="dxa"/>
            <w:tcBorders>
              <w:top w:val="single" w:sz="4" w:space="0" w:color="auto"/>
              <w:bottom w:val="single" w:sz="4" w:space="0" w:color="auto"/>
            </w:tcBorders>
            <w:shd w:val="clear" w:color="DBE5F1" w:fill="DBE5F1"/>
            <w:noWrap/>
            <w:vAlign w:val="center"/>
            <w:hideMark/>
          </w:tcPr>
          <w:p w14:paraId="715B9C2A" w14:textId="77777777" w:rsidR="006A2D31" w:rsidRPr="001E05F5" w:rsidRDefault="006A2D31" w:rsidP="00DE70D0">
            <w:pPr>
              <w:spacing w:before="40" w:after="40" w:line="240" w:lineRule="auto"/>
              <w:rPr>
                <w:rFonts w:cs="Arial"/>
                <w:b/>
                <w:sz w:val="18"/>
                <w:szCs w:val="20"/>
              </w:rPr>
            </w:pPr>
            <w:r w:rsidRPr="001E05F5">
              <w:rPr>
                <w:rFonts w:cs="Arial"/>
                <w:b/>
                <w:sz w:val="18"/>
                <w:szCs w:val="20"/>
              </w:rPr>
              <w:t>2014-15</w:t>
            </w:r>
          </w:p>
        </w:tc>
        <w:tc>
          <w:tcPr>
            <w:tcW w:w="907" w:type="dxa"/>
            <w:tcBorders>
              <w:top w:val="single" w:sz="4" w:space="0" w:color="auto"/>
              <w:bottom w:val="single" w:sz="4" w:space="0" w:color="auto"/>
            </w:tcBorders>
            <w:shd w:val="clear" w:color="DBE5F1" w:fill="DBE5F1"/>
            <w:noWrap/>
            <w:vAlign w:val="center"/>
            <w:hideMark/>
          </w:tcPr>
          <w:p w14:paraId="6282E22E" w14:textId="77777777" w:rsidR="006A2D31" w:rsidRPr="001E05F5" w:rsidRDefault="006A2D31" w:rsidP="00DE70D0">
            <w:pPr>
              <w:spacing w:before="40" w:after="40" w:line="240" w:lineRule="auto"/>
              <w:rPr>
                <w:rFonts w:cs="Arial"/>
                <w:b/>
                <w:sz w:val="18"/>
                <w:szCs w:val="20"/>
              </w:rPr>
            </w:pPr>
            <w:r w:rsidRPr="001E05F5">
              <w:rPr>
                <w:rFonts w:cs="Arial"/>
                <w:b/>
                <w:sz w:val="18"/>
                <w:szCs w:val="20"/>
              </w:rPr>
              <w:t>2015-16</w:t>
            </w:r>
          </w:p>
        </w:tc>
        <w:tc>
          <w:tcPr>
            <w:tcW w:w="907" w:type="dxa"/>
            <w:tcBorders>
              <w:top w:val="single" w:sz="4" w:space="0" w:color="auto"/>
              <w:bottom w:val="single" w:sz="4" w:space="0" w:color="auto"/>
              <w:right w:val="single" w:sz="4" w:space="0" w:color="auto"/>
            </w:tcBorders>
            <w:shd w:val="clear" w:color="DBE5F1" w:fill="DBE5F1"/>
            <w:noWrap/>
            <w:vAlign w:val="center"/>
            <w:hideMark/>
          </w:tcPr>
          <w:p w14:paraId="522BE057" w14:textId="77777777" w:rsidR="006A2D31" w:rsidRPr="001E05F5" w:rsidRDefault="006A2D31" w:rsidP="00DE70D0">
            <w:pPr>
              <w:spacing w:before="40" w:after="40" w:line="240" w:lineRule="auto"/>
              <w:rPr>
                <w:rFonts w:cs="Arial"/>
                <w:b/>
                <w:sz w:val="18"/>
                <w:szCs w:val="20"/>
              </w:rPr>
            </w:pPr>
            <w:r w:rsidRPr="001E05F5">
              <w:rPr>
                <w:rFonts w:cs="Arial"/>
                <w:b/>
                <w:sz w:val="18"/>
                <w:szCs w:val="20"/>
              </w:rPr>
              <w:t>2016-17</w:t>
            </w:r>
          </w:p>
        </w:tc>
      </w:tr>
      <w:tr w:rsidR="006A2D31" w:rsidRPr="001E05F5" w14:paraId="4C6F2960" w14:textId="77777777" w:rsidTr="004B2F23">
        <w:trPr>
          <w:trHeight w:val="300"/>
        </w:trPr>
        <w:tc>
          <w:tcPr>
            <w:tcW w:w="2566" w:type="dxa"/>
            <w:tcBorders>
              <w:top w:val="single" w:sz="4" w:space="0" w:color="auto"/>
              <w:left w:val="single" w:sz="4" w:space="0" w:color="auto"/>
              <w:bottom w:val="nil"/>
              <w:right w:val="single" w:sz="4" w:space="0" w:color="auto"/>
            </w:tcBorders>
            <w:shd w:val="clear" w:color="auto" w:fill="auto"/>
            <w:noWrap/>
            <w:vAlign w:val="center"/>
            <w:hideMark/>
          </w:tcPr>
          <w:p w14:paraId="57EFB135" w14:textId="77777777" w:rsidR="006A2D31" w:rsidRPr="001E05F5" w:rsidRDefault="006A2D31" w:rsidP="00DE70D0">
            <w:pPr>
              <w:spacing w:before="40" w:after="40" w:line="240" w:lineRule="auto"/>
              <w:rPr>
                <w:rFonts w:cs="Arial"/>
                <w:sz w:val="18"/>
                <w:szCs w:val="20"/>
              </w:rPr>
            </w:pPr>
            <w:r w:rsidRPr="001E05F5">
              <w:rPr>
                <w:rFonts w:cs="Arial"/>
                <w:sz w:val="18"/>
                <w:szCs w:val="20"/>
              </w:rPr>
              <w:t xml:space="preserve">Number of Households ('0000) Source: </w:t>
            </w:r>
            <w:r w:rsidR="004B2F23" w:rsidRPr="001E05F5">
              <w:rPr>
                <w:rFonts w:cs="Arial"/>
                <w:sz w:val="18"/>
                <w:szCs w:val="20"/>
              </w:rPr>
              <w:t>MHCLG</w:t>
            </w:r>
            <w:r w:rsidR="00E46111" w:rsidRPr="001E05F5">
              <w:rPr>
                <w:rFonts w:cs="Arial"/>
                <w:sz w:val="18"/>
                <w:szCs w:val="20"/>
                <w:vertAlign w:val="superscript"/>
              </w:rPr>
              <w:t>1</w:t>
            </w:r>
          </w:p>
        </w:tc>
        <w:tc>
          <w:tcPr>
            <w:tcW w:w="907" w:type="dxa"/>
            <w:tcBorders>
              <w:top w:val="single" w:sz="4" w:space="0" w:color="auto"/>
              <w:left w:val="single" w:sz="4" w:space="0" w:color="auto"/>
              <w:bottom w:val="nil"/>
              <w:right w:val="nil"/>
            </w:tcBorders>
            <w:shd w:val="clear" w:color="auto" w:fill="auto"/>
            <w:noWrap/>
            <w:vAlign w:val="center"/>
            <w:hideMark/>
          </w:tcPr>
          <w:p w14:paraId="216E3385" w14:textId="77777777" w:rsidR="006A2D31" w:rsidRPr="001E05F5" w:rsidRDefault="006A2D31" w:rsidP="00DE70D0">
            <w:pPr>
              <w:spacing w:before="40" w:after="40" w:line="240" w:lineRule="auto"/>
              <w:rPr>
                <w:rFonts w:cs="Arial"/>
                <w:sz w:val="18"/>
                <w:szCs w:val="20"/>
              </w:rPr>
            </w:pPr>
            <w:r w:rsidRPr="001E05F5">
              <w:rPr>
                <w:rFonts w:cs="Arial"/>
                <w:sz w:val="18"/>
                <w:szCs w:val="20"/>
              </w:rPr>
              <w:t>281.40</w:t>
            </w:r>
          </w:p>
        </w:tc>
        <w:tc>
          <w:tcPr>
            <w:tcW w:w="907" w:type="dxa"/>
            <w:tcBorders>
              <w:top w:val="single" w:sz="4" w:space="0" w:color="auto"/>
              <w:left w:val="nil"/>
              <w:bottom w:val="nil"/>
              <w:right w:val="nil"/>
            </w:tcBorders>
            <w:shd w:val="clear" w:color="auto" w:fill="auto"/>
            <w:noWrap/>
            <w:vAlign w:val="center"/>
            <w:hideMark/>
          </w:tcPr>
          <w:p w14:paraId="1BBB330F" w14:textId="77777777" w:rsidR="006A2D31" w:rsidRPr="001E05F5" w:rsidRDefault="006A2D31" w:rsidP="00DE70D0">
            <w:pPr>
              <w:spacing w:before="40" w:after="40" w:line="240" w:lineRule="auto"/>
              <w:rPr>
                <w:rFonts w:cs="Arial"/>
                <w:sz w:val="18"/>
                <w:szCs w:val="20"/>
              </w:rPr>
            </w:pPr>
            <w:r w:rsidRPr="001E05F5">
              <w:rPr>
                <w:rFonts w:cs="Arial"/>
                <w:sz w:val="18"/>
                <w:szCs w:val="20"/>
              </w:rPr>
              <w:t>283.05</w:t>
            </w:r>
          </w:p>
        </w:tc>
        <w:tc>
          <w:tcPr>
            <w:tcW w:w="907" w:type="dxa"/>
            <w:tcBorders>
              <w:top w:val="single" w:sz="4" w:space="0" w:color="auto"/>
              <w:left w:val="nil"/>
              <w:bottom w:val="nil"/>
              <w:right w:val="nil"/>
            </w:tcBorders>
            <w:shd w:val="clear" w:color="auto" w:fill="auto"/>
            <w:noWrap/>
            <w:vAlign w:val="center"/>
            <w:hideMark/>
          </w:tcPr>
          <w:p w14:paraId="77A293B2" w14:textId="77777777" w:rsidR="006A2D31" w:rsidRPr="001E05F5" w:rsidRDefault="006A2D31" w:rsidP="00DE70D0">
            <w:pPr>
              <w:spacing w:before="40" w:after="40" w:line="240" w:lineRule="auto"/>
              <w:rPr>
                <w:rFonts w:cs="Arial"/>
                <w:sz w:val="18"/>
                <w:szCs w:val="20"/>
              </w:rPr>
            </w:pPr>
            <w:r w:rsidRPr="001E05F5">
              <w:rPr>
                <w:rFonts w:cs="Arial"/>
                <w:sz w:val="18"/>
                <w:szCs w:val="20"/>
              </w:rPr>
              <w:t>284.31</w:t>
            </w:r>
          </w:p>
        </w:tc>
        <w:tc>
          <w:tcPr>
            <w:tcW w:w="907" w:type="dxa"/>
            <w:tcBorders>
              <w:top w:val="single" w:sz="4" w:space="0" w:color="auto"/>
              <w:left w:val="nil"/>
              <w:bottom w:val="nil"/>
              <w:right w:val="nil"/>
            </w:tcBorders>
            <w:shd w:val="clear" w:color="auto" w:fill="auto"/>
            <w:noWrap/>
            <w:vAlign w:val="center"/>
            <w:hideMark/>
          </w:tcPr>
          <w:p w14:paraId="33091E48" w14:textId="77777777" w:rsidR="006A2D31" w:rsidRPr="001E05F5" w:rsidRDefault="006A2D31" w:rsidP="00DE70D0">
            <w:pPr>
              <w:spacing w:before="40" w:after="40" w:line="240" w:lineRule="auto"/>
              <w:rPr>
                <w:rFonts w:cs="Arial"/>
                <w:sz w:val="18"/>
                <w:szCs w:val="20"/>
              </w:rPr>
            </w:pPr>
            <w:r w:rsidRPr="001E05F5">
              <w:rPr>
                <w:rFonts w:cs="Arial"/>
                <w:sz w:val="18"/>
                <w:szCs w:val="20"/>
              </w:rPr>
              <w:t>285.50</w:t>
            </w:r>
          </w:p>
        </w:tc>
        <w:tc>
          <w:tcPr>
            <w:tcW w:w="907" w:type="dxa"/>
            <w:tcBorders>
              <w:top w:val="single" w:sz="4" w:space="0" w:color="auto"/>
              <w:left w:val="nil"/>
              <w:bottom w:val="nil"/>
              <w:right w:val="nil"/>
            </w:tcBorders>
            <w:shd w:val="clear" w:color="auto" w:fill="auto"/>
            <w:noWrap/>
            <w:vAlign w:val="center"/>
            <w:hideMark/>
          </w:tcPr>
          <w:p w14:paraId="7FDB8B7E" w14:textId="77777777" w:rsidR="006A2D31" w:rsidRPr="001E05F5" w:rsidRDefault="006A2D31" w:rsidP="00DE70D0">
            <w:pPr>
              <w:spacing w:before="40" w:after="40" w:line="240" w:lineRule="auto"/>
              <w:rPr>
                <w:rFonts w:cs="Arial"/>
                <w:sz w:val="18"/>
                <w:szCs w:val="20"/>
              </w:rPr>
            </w:pPr>
            <w:r w:rsidRPr="001E05F5">
              <w:rPr>
                <w:rFonts w:cs="Arial"/>
                <w:sz w:val="18"/>
                <w:szCs w:val="20"/>
              </w:rPr>
              <w:t>286.79</w:t>
            </w:r>
          </w:p>
        </w:tc>
        <w:tc>
          <w:tcPr>
            <w:tcW w:w="907" w:type="dxa"/>
            <w:tcBorders>
              <w:top w:val="single" w:sz="4" w:space="0" w:color="auto"/>
              <w:left w:val="nil"/>
              <w:bottom w:val="nil"/>
              <w:right w:val="nil"/>
            </w:tcBorders>
            <w:shd w:val="clear" w:color="auto" w:fill="auto"/>
            <w:noWrap/>
            <w:vAlign w:val="center"/>
            <w:hideMark/>
          </w:tcPr>
          <w:p w14:paraId="24834AB9" w14:textId="77777777" w:rsidR="006A2D31" w:rsidRPr="001E05F5" w:rsidRDefault="006A2D31" w:rsidP="00DE70D0">
            <w:pPr>
              <w:spacing w:before="40" w:after="40" w:line="240" w:lineRule="auto"/>
              <w:rPr>
                <w:rFonts w:cs="Arial"/>
                <w:sz w:val="18"/>
                <w:szCs w:val="20"/>
              </w:rPr>
            </w:pPr>
            <w:r w:rsidRPr="001E05F5">
              <w:rPr>
                <w:rFonts w:cs="Arial"/>
                <w:sz w:val="18"/>
                <w:szCs w:val="20"/>
              </w:rPr>
              <w:t>288.14</w:t>
            </w:r>
          </w:p>
        </w:tc>
        <w:tc>
          <w:tcPr>
            <w:tcW w:w="907" w:type="dxa"/>
            <w:tcBorders>
              <w:top w:val="single" w:sz="4" w:space="0" w:color="auto"/>
              <w:left w:val="nil"/>
              <w:bottom w:val="nil"/>
              <w:right w:val="single" w:sz="4" w:space="0" w:color="auto"/>
            </w:tcBorders>
            <w:shd w:val="clear" w:color="auto" w:fill="auto"/>
            <w:noWrap/>
            <w:vAlign w:val="center"/>
            <w:hideMark/>
          </w:tcPr>
          <w:p w14:paraId="5BD66F0D" w14:textId="77777777" w:rsidR="006A2D31" w:rsidRPr="001E05F5" w:rsidRDefault="006A2D31" w:rsidP="00DE70D0">
            <w:pPr>
              <w:spacing w:before="40" w:after="40" w:line="240" w:lineRule="auto"/>
              <w:rPr>
                <w:rFonts w:cs="Arial"/>
                <w:sz w:val="18"/>
                <w:szCs w:val="20"/>
              </w:rPr>
            </w:pPr>
            <w:r w:rsidRPr="001E05F5">
              <w:rPr>
                <w:rFonts w:cs="Arial"/>
                <w:color w:val="000000"/>
                <w:sz w:val="18"/>
                <w:szCs w:val="20"/>
              </w:rPr>
              <w:t>289.70</w:t>
            </w:r>
          </w:p>
        </w:tc>
      </w:tr>
      <w:tr w:rsidR="006A2D31" w:rsidRPr="001E05F5" w14:paraId="2AD0B126" w14:textId="77777777" w:rsidTr="004B2F23">
        <w:trPr>
          <w:trHeight w:val="300"/>
        </w:trPr>
        <w:tc>
          <w:tcPr>
            <w:tcW w:w="2566" w:type="dxa"/>
            <w:tcBorders>
              <w:top w:val="nil"/>
              <w:left w:val="single" w:sz="4" w:space="0" w:color="auto"/>
              <w:bottom w:val="nil"/>
              <w:right w:val="single" w:sz="4" w:space="0" w:color="auto"/>
            </w:tcBorders>
            <w:shd w:val="clear" w:color="auto" w:fill="auto"/>
            <w:vAlign w:val="center"/>
            <w:hideMark/>
          </w:tcPr>
          <w:p w14:paraId="5F93380B" w14:textId="77777777" w:rsidR="006A2D31" w:rsidRPr="001E05F5" w:rsidRDefault="006A2D31" w:rsidP="00DE70D0">
            <w:pPr>
              <w:spacing w:before="40" w:after="40" w:line="240" w:lineRule="auto"/>
              <w:jc w:val="right"/>
              <w:rPr>
                <w:rFonts w:cs="Arial"/>
                <w:sz w:val="18"/>
                <w:szCs w:val="20"/>
              </w:rPr>
            </w:pPr>
            <w:r w:rsidRPr="001E05F5">
              <w:rPr>
                <w:rFonts w:cs="Arial"/>
                <w:sz w:val="18"/>
                <w:szCs w:val="20"/>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2DD9D49D" w14:textId="77777777" w:rsidR="006A2D31" w:rsidRPr="001E05F5" w:rsidRDefault="006A2D31" w:rsidP="00DE70D0">
            <w:pPr>
              <w:spacing w:before="40" w:after="40" w:line="240" w:lineRule="auto"/>
              <w:rPr>
                <w:rFonts w:cs="Arial"/>
                <w:sz w:val="18"/>
                <w:szCs w:val="20"/>
              </w:rPr>
            </w:pPr>
          </w:p>
        </w:tc>
        <w:tc>
          <w:tcPr>
            <w:tcW w:w="907" w:type="dxa"/>
            <w:tcBorders>
              <w:top w:val="nil"/>
              <w:left w:val="nil"/>
              <w:bottom w:val="nil"/>
              <w:right w:val="nil"/>
            </w:tcBorders>
            <w:shd w:val="clear" w:color="auto" w:fill="auto"/>
            <w:noWrap/>
            <w:vAlign w:val="center"/>
            <w:hideMark/>
          </w:tcPr>
          <w:p w14:paraId="18BE63FA" w14:textId="77777777" w:rsidR="006A2D31" w:rsidRPr="001E05F5" w:rsidRDefault="006A2D31" w:rsidP="00DE70D0">
            <w:pPr>
              <w:spacing w:before="40" w:after="40" w:line="240" w:lineRule="auto"/>
              <w:rPr>
                <w:rFonts w:cs="Arial"/>
                <w:sz w:val="18"/>
                <w:szCs w:val="20"/>
              </w:rPr>
            </w:pPr>
          </w:p>
        </w:tc>
        <w:tc>
          <w:tcPr>
            <w:tcW w:w="907" w:type="dxa"/>
            <w:tcBorders>
              <w:top w:val="nil"/>
              <w:left w:val="nil"/>
              <w:bottom w:val="nil"/>
              <w:right w:val="nil"/>
            </w:tcBorders>
            <w:shd w:val="clear" w:color="auto" w:fill="auto"/>
            <w:noWrap/>
            <w:vAlign w:val="center"/>
            <w:hideMark/>
          </w:tcPr>
          <w:p w14:paraId="5B0E3899" w14:textId="77777777" w:rsidR="006A2D31" w:rsidRPr="001E05F5" w:rsidRDefault="006A2D31" w:rsidP="00DE70D0">
            <w:pPr>
              <w:spacing w:before="40" w:after="40" w:line="240" w:lineRule="auto"/>
              <w:rPr>
                <w:rFonts w:cs="Arial"/>
                <w:sz w:val="18"/>
                <w:szCs w:val="20"/>
              </w:rPr>
            </w:pPr>
          </w:p>
        </w:tc>
        <w:tc>
          <w:tcPr>
            <w:tcW w:w="907" w:type="dxa"/>
            <w:tcBorders>
              <w:top w:val="nil"/>
              <w:left w:val="nil"/>
              <w:bottom w:val="nil"/>
              <w:right w:val="nil"/>
            </w:tcBorders>
            <w:shd w:val="clear" w:color="auto" w:fill="auto"/>
            <w:noWrap/>
            <w:vAlign w:val="center"/>
            <w:hideMark/>
          </w:tcPr>
          <w:p w14:paraId="4B9E2A0F" w14:textId="77777777" w:rsidR="006A2D31" w:rsidRPr="001E05F5" w:rsidRDefault="006A2D31" w:rsidP="00DE70D0">
            <w:pPr>
              <w:spacing w:before="40" w:after="40" w:line="240" w:lineRule="auto"/>
              <w:rPr>
                <w:rFonts w:cs="Arial"/>
                <w:sz w:val="18"/>
                <w:szCs w:val="20"/>
              </w:rPr>
            </w:pPr>
          </w:p>
        </w:tc>
        <w:tc>
          <w:tcPr>
            <w:tcW w:w="2721" w:type="dxa"/>
            <w:gridSpan w:val="3"/>
            <w:tcBorders>
              <w:top w:val="nil"/>
              <w:left w:val="nil"/>
              <w:bottom w:val="nil"/>
              <w:right w:val="single" w:sz="4" w:space="0" w:color="auto"/>
            </w:tcBorders>
            <w:shd w:val="clear" w:color="000000" w:fill="B6DDE8"/>
            <w:noWrap/>
            <w:vAlign w:val="center"/>
            <w:hideMark/>
          </w:tcPr>
          <w:p w14:paraId="0DC0718C" w14:textId="77777777" w:rsidR="006A2D31" w:rsidRPr="001E05F5" w:rsidRDefault="006A2D31" w:rsidP="00DE70D0">
            <w:pPr>
              <w:spacing w:before="40" w:after="40" w:line="240" w:lineRule="auto"/>
              <w:jc w:val="center"/>
              <w:rPr>
                <w:rFonts w:cs="Arial"/>
                <w:sz w:val="18"/>
                <w:szCs w:val="20"/>
              </w:rPr>
            </w:pPr>
            <w:r w:rsidRPr="001E05F5">
              <w:rPr>
                <w:rFonts w:cs="Arial"/>
                <w:sz w:val="18"/>
                <w:szCs w:val="20"/>
              </w:rPr>
              <w:t>0.51%</w:t>
            </w:r>
          </w:p>
        </w:tc>
      </w:tr>
      <w:tr w:rsidR="006A2D31" w:rsidRPr="001E05F5" w14:paraId="7E4D006B" w14:textId="77777777" w:rsidTr="004B2F23">
        <w:trPr>
          <w:trHeight w:val="30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2328B581" w14:textId="77777777" w:rsidR="006A2D31" w:rsidRPr="001E05F5" w:rsidRDefault="006A2D31" w:rsidP="00DE70D0">
            <w:pPr>
              <w:spacing w:before="40" w:after="40" w:line="240" w:lineRule="auto"/>
              <w:jc w:val="right"/>
              <w:rPr>
                <w:rFonts w:cs="Arial"/>
                <w:sz w:val="18"/>
                <w:szCs w:val="20"/>
              </w:rPr>
            </w:pPr>
            <w:r w:rsidRPr="001E05F5">
              <w:rPr>
                <w:rFonts w:cs="Arial"/>
                <w:sz w:val="18"/>
                <w:szCs w:val="20"/>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6BC7E044" w14:textId="77777777" w:rsidR="006A2D31" w:rsidRPr="001E05F5" w:rsidRDefault="006A2D31" w:rsidP="00DE70D0">
            <w:pPr>
              <w:spacing w:before="40" w:after="40" w:line="240" w:lineRule="auto"/>
              <w:rPr>
                <w:rFonts w:cs="Arial"/>
                <w:sz w:val="18"/>
                <w:szCs w:val="20"/>
              </w:rPr>
            </w:pPr>
          </w:p>
        </w:tc>
        <w:tc>
          <w:tcPr>
            <w:tcW w:w="907" w:type="dxa"/>
            <w:tcBorders>
              <w:top w:val="nil"/>
              <w:left w:val="nil"/>
              <w:bottom w:val="single" w:sz="4" w:space="0" w:color="auto"/>
              <w:right w:val="nil"/>
            </w:tcBorders>
            <w:shd w:val="clear" w:color="auto" w:fill="auto"/>
            <w:noWrap/>
            <w:vAlign w:val="center"/>
            <w:hideMark/>
          </w:tcPr>
          <w:p w14:paraId="6DF378B3" w14:textId="77777777" w:rsidR="006A2D31" w:rsidRPr="001E05F5" w:rsidRDefault="006A2D31" w:rsidP="00DE70D0">
            <w:pPr>
              <w:spacing w:before="40" w:after="40" w:line="240" w:lineRule="auto"/>
              <w:rPr>
                <w:rFonts w:cs="Arial"/>
                <w:sz w:val="18"/>
                <w:szCs w:val="20"/>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306A6FBA" w14:textId="77777777" w:rsidR="006A2D31" w:rsidRPr="001E05F5" w:rsidRDefault="006A2D31" w:rsidP="00DE70D0">
            <w:pPr>
              <w:spacing w:before="40" w:after="40" w:line="240" w:lineRule="auto"/>
              <w:jc w:val="center"/>
              <w:rPr>
                <w:rFonts w:cs="Arial"/>
                <w:sz w:val="18"/>
                <w:szCs w:val="20"/>
              </w:rPr>
            </w:pPr>
            <w:r w:rsidRPr="001E05F5">
              <w:rPr>
                <w:rFonts w:cs="Arial"/>
                <w:sz w:val="18"/>
                <w:szCs w:val="20"/>
              </w:rPr>
              <w:t>0.47%</w:t>
            </w:r>
          </w:p>
        </w:tc>
      </w:tr>
      <w:tr w:rsidR="004B2F23" w:rsidRPr="001E05F5" w14:paraId="793309E1" w14:textId="77777777" w:rsidTr="004B2F23">
        <w:trPr>
          <w:trHeight w:val="300"/>
        </w:trPr>
        <w:tc>
          <w:tcPr>
            <w:tcW w:w="2566" w:type="dxa"/>
            <w:tcBorders>
              <w:top w:val="single" w:sz="4" w:space="0" w:color="auto"/>
              <w:left w:val="single" w:sz="4" w:space="0" w:color="auto"/>
              <w:bottom w:val="nil"/>
              <w:right w:val="single" w:sz="4" w:space="0" w:color="auto"/>
            </w:tcBorders>
            <w:shd w:val="clear" w:color="auto" w:fill="auto"/>
            <w:noWrap/>
            <w:vAlign w:val="center"/>
            <w:hideMark/>
          </w:tcPr>
          <w:p w14:paraId="6B15FE82" w14:textId="77777777" w:rsidR="006A2D31" w:rsidRPr="001E05F5" w:rsidRDefault="006A2D31" w:rsidP="00DE70D0">
            <w:pPr>
              <w:spacing w:before="40" w:after="40" w:line="240" w:lineRule="auto"/>
              <w:rPr>
                <w:rFonts w:cs="Arial"/>
                <w:sz w:val="18"/>
                <w:szCs w:val="18"/>
              </w:rPr>
            </w:pPr>
            <w:r w:rsidRPr="001E05F5">
              <w:rPr>
                <w:rFonts w:cs="Arial"/>
                <w:sz w:val="18"/>
                <w:szCs w:val="18"/>
              </w:rPr>
              <w:t>Total LACW</w:t>
            </w:r>
          </w:p>
        </w:tc>
        <w:tc>
          <w:tcPr>
            <w:tcW w:w="907" w:type="dxa"/>
            <w:tcBorders>
              <w:top w:val="single" w:sz="4" w:space="0" w:color="auto"/>
              <w:left w:val="single" w:sz="4" w:space="0" w:color="auto"/>
              <w:bottom w:val="nil"/>
              <w:right w:val="nil"/>
            </w:tcBorders>
            <w:shd w:val="clear" w:color="auto" w:fill="auto"/>
            <w:noWrap/>
            <w:vAlign w:val="center"/>
            <w:hideMark/>
          </w:tcPr>
          <w:p w14:paraId="45D1A1F5" w14:textId="77777777" w:rsidR="006A2D31" w:rsidRPr="001E05F5" w:rsidRDefault="006A2D31" w:rsidP="00DE70D0">
            <w:pPr>
              <w:spacing w:before="40" w:after="40" w:line="240" w:lineRule="auto"/>
              <w:rPr>
                <w:rFonts w:cs="Arial"/>
                <w:sz w:val="18"/>
                <w:szCs w:val="18"/>
              </w:rPr>
            </w:pPr>
            <w:r w:rsidRPr="001E05F5">
              <w:rPr>
                <w:rFonts w:cs="Arial"/>
                <w:sz w:val="18"/>
                <w:szCs w:val="18"/>
              </w:rPr>
              <w:t>368,444</w:t>
            </w:r>
          </w:p>
        </w:tc>
        <w:tc>
          <w:tcPr>
            <w:tcW w:w="907" w:type="dxa"/>
            <w:tcBorders>
              <w:top w:val="single" w:sz="4" w:space="0" w:color="auto"/>
              <w:left w:val="nil"/>
              <w:bottom w:val="nil"/>
              <w:right w:val="nil"/>
            </w:tcBorders>
            <w:shd w:val="clear" w:color="auto" w:fill="auto"/>
            <w:noWrap/>
            <w:vAlign w:val="center"/>
            <w:hideMark/>
          </w:tcPr>
          <w:p w14:paraId="163F2107" w14:textId="77777777" w:rsidR="006A2D31" w:rsidRPr="001E05F5" w:rsidRDefault="006A2D31" w:rsidP="00DE70D0">
            <w:pPr>
              <w:spacing w:before="40" w:after="40" w:line="240" w:lineRule="auto"/>
              <w:rPr>
                <w:rFonts w:cs="Arial"/>
                <w:sz w:val="18"/>
                <w:szCs w:val="18"/>
              </w:rPr>
            </w:pPr>
            <w:r w:rsidRPr="001E05F5">
              <w:rPr>
                <w:rFonts w:cs="Arial"/>
                <w:sz w:val="18"/>
                <w:szCs w:val="18"/>
              </w:rPr>
              <w:t>356,897</w:t>
            </w:r>
          </w:p>
        </w:tc>
        <w:tc>
          <w:tcPr>
            <w:tcW w:w="907" w:type="dxa"/>
            <w:tcBorders>
              <w:top w:val="single" w:sz="4" w:space="0" w:color="auto"/>
              <w:left w:val="nil"/>
              <w:bottom w:val="nil"/>
              <w:right w:val="nil"/>
            </w:tcBorders>
            <w:shd w:val="clear" w:color="auto" w:fill="auto"/>
            <w:noWrap/>
            <w:vAlign w:val="center"/>
            <w:hideMark/>
          </w:tcPr>
          <w:p w14:paraId="0EE2C809" w14:textId="77777777" w:rsidR="006A2D31" w:rsidRPr="001E05F5" w:rsidRDefault="006A2D31" w:rsidP="00DE70D0">
            <w:pPr>
              <w:spacing w:before="40" w:after="40" w:line="240" w:lineRule="auto"/>
              <w:rPr>
                <w:rFonts w:cs="Arial"/>
                <w:sz w:val="18"/>
                <w:szCs w:val="18"/>
              </w:rPr>
            </w:pPr>
            <w:r w:rsidRPr="001E05F5">
              <w:rPr>
                <w:rFonts w:cs="Arial"/>
                <w:sz w:val="18"/>
                <w:szCs w:val="18"/>
              </w:rPr>
              <w:t>337,664</w:t>
            </w:r>
          </w:p>
        </w:tc>
        <w:tc>
          <w:tcPr>
            <w:tcW w:w="907" w:type="dxa"/>
            <w:tcBorders>
              <w:top w:val="single" w:sz="4" w:space="0" w:color="auto"/>
              <w:left w:val="nil"/>
              <w:bottom w:val="nil"/>
              <w:right w:val="nil"/>
            </w:tcBorders>
            <w:shd w:val="clear" w:color="auto" w:fill="auto"/>
            <w:noWrap/>
            <w:vAlign w:val="center"/>
            <w:hideMark/>
          </w:tcPr>
          <w:p w14:paraId="2D20C77B" w14:textId="77777777" w:rsidR="006A2D31" w:rsidRPr="001E05F5" w:rsidRDefault="006A2D31" w:rsidP="00DE70D0">
            <w:pPr>
              <w:spacing w:before="40" w:after="40" w:line="240" w:lineRule="auto"/>
              <w:rPr>
                <w:rFonts w:cs="Arial"/>
                <w:sz w:val="18"/>
                <w:szCs w:val="18"/>
              </w:rPr>
            </w:pPr>
            <w:r w:rsidRPr="001E05F5">
              <w:rPr>
                <w:rFonts w:cs="Arial"/>
                <w:sz w:val="18"/>
                <w:szCs w:val="18"/>
              </w:rPr>
              <w:t>343,809</w:t>
            </w:r>
          </w:p>
        </w:tc>
        <w:tc>
          <w:tcPr>
            <w:tcW w:w="907" w:type="dxa"/>
            <w:tcBorders>
              <w:top w:val="single" w:sz="4" w:space="0" w:color="auto"/>
              <w:left w:val="nil"/>
              <w:bottom w:val="nil"/>
              <w:right w:val="nil"/>
            </w:tcBorders>
            <w:shd w:val="clear" w:color="auto" w:fill="auto"/>
            <w:noWrap/>
            <w:vAlign w:val="center"/>
            <w:hideMark/>
          </w:tcPr>
          <w:p w14:paraId="5D9174BA" w14:textId="77777777" w:rsidR="006A2D31" w:rsidRPr="001E05F5" w:rsidRDefault="006A2D31" w:rsidP="00DE70D0">
            <w:pPr>
              <w:spacing w:before="40" w:after="40" w:line="240" w:lineRule="auto"/>
              <w:rPr>
                <w:rFonts w:cs="Arial"/>
                <w:sz w:val="18"/>
                <w:szCs w:val="18"/>
              </w:rPr>
            </w:pPr>
            <w:r w:rsidRPr="001E05F5">
              <w:rPr>
                <w:rFonts w:cs="Arial"/>
                <w:sz w:val="18"/>
                <w:szCs w:val="18"/>
              </w:rPr>
              <w:t>345,150</w:t>
            </w:r>
          </w:p>
        </w:tc>
        <w:tc>
          <w:tcPr>
            <w:tcW w:w="907" w:type="dxa"/>
            <w:tcBorders>
              <w:top w:val="single" w:sz="4" w:space="0" w:color="auto"/>
              <w:left w:val="nil"/>
              <w:bottom w:val="nil"/>
              <w:right w:val="nil"/>
            </w:tcBorders>
            <w:shd w:val="clear" w:color="auto" w:fill="auto"/>
            <w:noWrap/>
            <w:vAlign w:val="center"/>
            <w:hideMark/>
          </w:tcPr>
          <w:p w14:paraId="3037E281" w14:textId="77777777" w:rsidR="006A2D31" w:rsidRPr="001E05F5" w:rsidRDefault="006A2D31" w:rsidP="00DE70D0">
            <w:pPr>
              <w:spacing w:before="40" w:after="40" w:line="240" w:lineRule="auto"/>
              <w:rPr>
                <w:rFonts w:cs="Arial"/>
                <w:sz w:val="18"/>
                <w:szCs w:val="18"/>
              </w:rPr>
            </w:pPr>
            <w:r w:rsidRPr="001E05F5">
              <w:rPr>
                <w:rFonts w:cs="Arial"/>
                <w:sz w:val="18"/>
                <w:szCs w:val="18"/>
              </w:rPr>
              <w:t>352,107</w:t>
            </w:r>
          </w:p>
        </w:tc>
        <w:tc>
          <w:tcPr>
            <w:tcW w:w="907" w:type="dxa"/>
            <w:tcBorders>
              <w:top w:val="single" w:sz="4" w:space="0" w:color="auto"/>
              <w:left w:val="nil"/>
              <w:bottom w:val="nil"/>
              <w:right w:val="single" w:sz="4" w:space="0" w:color="auto"/>
            </w:tcBorders>
            <w:shd w:val="clear" w:color="auto" w:fill="auto"/>
            <w:noWrap/>
            <w:vAlign w:val="center"/>
            <w:hideMark/>
          </w:tcPr>
          <w:p w14:paraId="6AF94E05" w14:textId="77777777" w:rsidR="006A2D31" w:rsidRPr="001E05F5" w:rsidRDefault="006A2D31" w:rsidP="00DE70D0">
            <w:pPr>
              <w:spacing w:before="40" w:after="40" w:line="240" w:lineRule="auto"/>
              <w:rPr>
                <w:rFonts w:cs="Arial"/>
                <w:sz w:val="18"/>
                <w:szCs w:val="18"/>
              </w:rPr>
            </w:pPr>
            <w:r w:rsidRPr="001E05F5">
              <w:rPr>
                <w:rFonts w:cs="Arial"/>
                <w:sz w:val="18"/>
                <w:szCs w:val="18"/>
              </w:rPr>
              <w:t>352,116</w:t>
            </w:r>
          </w:p>
        </w:tc>
      </w:tr>
      <w:tr w:rsidR="006A2D31" w:rsidRPr="001E05F5" w14:paraId="21FC1C56" w14:textId="77777777" w:rsidTr="004B2F23">
        <w:trPr>
          <w:trHeight w:val="300"/>
        </w:trPr>
        <w:tc>
          <w:tcPr>
            <w:tcW w:w="2566" w:type="dxa"/>
            <w:tcBorders>
              <w:top w:val="nil"/>
              <w:left w:val="single" w:sz="4" w:space="0" w:color="auto"/>
              <w:bottom w:val="nil"/>
              <w:right w:val="single" w:sz="4" w:space="0" w:color="auto"/>
            </w:tcBorders>
            <w:shd w:val="clear" w:color="auto" w:fill="auto"/>
            <w:vAlign w:val="bottom"/>
            <w:hideMark/>
          </w:tcPr>
          <w:p w14:paraId="360EE484" w14:textId="77777777" w:rsidR="006A2D31" w:rsidRPr="001E05F5" w:rsidRDefault="006A2D31" w:rsidP="00DE70D0">
            <w:pPr>
              <w:spacing w:before="40" w:after="40" w:line="240" w:lineRule="auto"/>
              <w:jc w:val="right"/>
              <w:rPr>
                <w:rFonts w:cs="Arial"/>
                <w:sz w:val="18"/>
                <w:szCs w:val="18"/>
              </w:rPr>
            </w:pPr>
            <w:r w:rsidRPr="001E05F5">
              <w:rPr>
                <w:rFonts w:cs="Arial"/>
                <w:sz w:val="18"/>
                <w:szCs w:val="18"/>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74616574" w14:textId="77777777" w:rsidR="006A2D31" w:rsidRPr="001E05F5" w:rsidRDefault="006A2D31" w:rsidP="00DE70D0">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577E1A9C" w14:textId="77777777" w:rsidR="006A2D31" w:rsidRPr="001E05F5" w:rsidRDefault="006A2D31" w:rsidP="00DE70D0">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1BCFBC19" w14:textId="77777777" w:rsidR="006A2D31" w:rsidRPr="001E05F5" w:rsidRDefault="006A2D31" w:rsidP="00DE70D0">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0B6FD45E" w14:textId="77777777" w:rsidR="006A2D31" w:rsidRPr="001E05F5" w:rsidRDefault="006A2D31" w:rsidP="00DE70D0">
            <w:pPr>
              <w:spacing w:before="40" w:after="40" w:line="240" w:lineRule="auto"/>
              <w:rPr>
                <w:rFonts w:cs="Arial"/>
                <w:sz w:val="18"/>
                <w:szCs w:val="18"/>
              </w:rPr>
            </w:pPr>
          </w:p>
        </w:tc>
        <w:tc>
          <w:tcPr>
            <w:tcW w:w="2721" w:type="dxa"/>
            <w:gridSpan w:val="3"/>
            <w:tcBorders>
              <w:top w:val="nil"/>
              <w:left w:val="nil"/>
              <w:bottom w:val="nil"/>
              <w:right w:val="single" w:sz="4" w:space="0" w:color="auto"/>
            </w:tcBorders>
            <w:shd w:val="clear" w:color="000000" w:fill="B6DDE8"/>
            <w:noWrap/>
            <w:vAlign w:val="center"/>
            <w:hideMark/>
          </w:tcPr>
          <w:p w14:paraId="5C32BFFC" w14:textId="77777777" w:rsidR="006A2D31" w:rsidRPr="001E05F5" w:rsidRDefault="006A2D31" w:rsidP="00DE70D0">
            <w:pPr>
              <w:spacing w:before="40" w:after="40" w:line="240" w:lineRule="auto"/>
              <w:jc w:val="center"/>
              <w:rPr>
                <w:rFonts w:cs="Arial"/>
                <w:sz w:val="18"/>
                <w:szCs w:val="18"/>
              </w:rPr>
            </w:pPr>
            <w:r w:rsidRPr="001E05F5">
              <w:rPr>
                <w:rFonts w:cs="Arial"/>
                <w:sz w:val="18"/>
                <w:szCs w:val="18"/>
              </w:rPr>
              <w:t>1.00%</w:t>
            </w:r>
          </w:p>
        </w:tc>
      </w:tr>
      <w:tr w:rsidR="006A2D31" w:rsidRPr="001E05F5" w14:paraId="473D60A1" w14:textId="77777777" w:rsidTr="004B2F23">
        <w:trPr>
          <w:trHeight w:val="300"/>
        </w:trPr>
        <w:tc>
          <w:tcPr>
            <w:tcW w:w="2566" w:type="dxa"/>
            <w:tcBorders>
              <w:top w:val="nil"/>
              <w:left w:val="single" w:sz="4" w:space="0" w:color="auto"/>
              <w:bottom w:val="single" w:sz="4" w:space="0" w:color="auto"/>
              <w:right w:val="single" w:sz="4" w:space="0" w:color="auto"/>
            </w:tcBorders>
            <w:shd w:val="clear" w:color="auto" w:fill="auto"/>
            <w:vAlign w:val="bottom"/>
            <w:hideMark/>
          </w:tcPr>
          <w:p w14:paraId="5FD7D766" w14:textId="77777777" w:rsidR="006A2D31" w:rsidRPr="001E05F5" w:rsidRDefault="006A2D31" w:rsidP="00427A85">
            <w:pPr>
              <w:spacing w:before="40" w:after="40" w:line="240" w:lineRule="auto"/>
              <w:jc w:val="right"/>
              <w:rPr>
                <w:rFonts w:cs="Arial"/>
                <w:sz w:val="18"/>
                <w:szCs w:val="18"/>
              </w:rPr>
            </w:pPr>
            <w:r w:rsidRPr="001E05F5">
              <w:rPr>
                <w:rFonts w:cs="Arial"/>
                <w:sz w:val="18"/>
                <w:szCs w:val="18"/>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766F3AD2" w14:textId="77777777" w:rsidR="006A2D31" w:rsidRPr="001E05F5" w:rsidRDefault="006A2D31" w:rsidP="00DE70D0">
            <w:pPr>
              <w:spacing w:before="40" w:after="40" w:line="240" w:lineRule="auto"/>
              <w:rPr>
                <w:rFonts w:cs="Arial"/>
                <w:sz w:val="18"/>
                <w:szCs w:val="18"/>
              </w:rPr>
            </w:pPr>
          </w:p>
        </w:tc>
        <w:tc>
          <w:tcPr>
            <w:tcW w:w="907" w:type="dxa"/>
            <w:tcBorders>
              <w:top w:val="nil"/>
              <w:left w:val="nil"/>
              <w:bottom w:val="single" w:sz="4" w:space="0" w:color="auto"/>
              <w:right w:val="nil"/>
            </w:tcBorders>
            <w:shd w:val="clear" w:color="auto" w:fill="auto"/>
            <w:noWrap/>
            <w:vAlign w:val="center"/>
            <w:hideMark/>
          </w:tcPr>
          <w:p w14:paraId="2430712B" w14:textId="77777777" w:rsidR="006A2D31" w:rsidRPr="001E05F5" w:rsidRDefault="006A2D31" w:rsidP="00DE70D0">
            <w:pPr>
              <w:spacing w:before="40" w:after="40" w:line="240" w:lineRule="auto"/>
              <w:rPr>
                <w:rFonts w:cs="Arial"/>
                <w:sz w:val="18"/>
                <w:szCs w:val="18"/>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7172413B" w14:textId="77777777" w:rsidR="006A2D31" w:rsidRPr="001E05F5" w:rsidRDefault="006A2D31" w:rsidP="00DE70D0">
            <w:pPr>
              <w:spacing w:before="40" w:after="40" w:line="240" w:lineRule="auto"/>
              <w:jc w:val="center"/>
              <w:rPr>
                <w:rFonts w:cs="Arial"/>
                <w:sz w:val="18"/>
                <w:szCs w:val="18"/>
              </w:rPr>
            </w:pPr>
            <w:r w:rsidRPr="001E05F5">
              <w:rPr>
                <w:rFonts w:cs="Arial"/>
                <w:sz w:val="18"/>
                <w:szCs w:val="18"/>
              </w:rPr>
              <w:t>1.05%</w:t>
            </w:r>
          </w:p>
        </w:tc>
      </w:tr>
      <w:tr w:rsidR="004B2F23" w:rsidRPr="001E05F5" w14:paraId="5663CD54" w14:textId="77777777" w:rsidTr="004B2F23">
        <w:trPr>
          <w:trHeight w:val="300"/>
        </w:trPr>
        <w:tc>
          <w:tcPr>
            <w:tcW w:w="2566" w:type="dxa"/>
            <w:tcBorders>
              <w:top w:val="single" w:sz="4" w:space="0" w:color="auto"/>
              <w:left w:val="single" w:sz="4" w:space="0" w:color="auto"/>
              <w:bottom w:val="nil"/>
              <w:right w:val="single" w:sz="4" w:space="0" w:color="auto"/>
            </w:tcBorders>
            <w:shd w:val="clear" w:color="auto" w:fill="auto"/>
            <w:noWrap/>
            <w:vAlign w:val="center"/>
            <w:hideMark/>
          </w:tcPr>
          <w:p w14:paraId="18B0E56B" w14:textId="77777777" w:rsidR="006A2D31" w:rsidRPr="001E05F5" w:rsidRDefault="006A2D31" w:rsidP="00DE70D0">
            <w:pPr>
              <w:spacing w:before="40" w:after="40" w:line="240" w:lineRule="auto"/>
              <w:rPr>
                <w:rFonts w:cs="Arial"/>
                <w:sz w:val="18"/>
                <w:szCs w:val="18"/>
              </w:rPr>
            </w:pPr>
            <w:r w:rsidRPr="001E05F5">
              <w:rPr>
                <w:rFonts w:cs="Arial"/>
                <w:sz w:val="18"/>
                <w:szCs w:val="18"/>
              </w:rPr>
              <w:t>Total household waste</w:t>
            </w:r>
          </w:p>
        </w:tc>
        <w:tc>
          <w:tcPr>
            <w:tcW w:w="907" w:type="dxa"/>
            <w:tcBorders>
              <w:top w:val="single" w:sz="4" w:space="0" w:color="auto"/>
              <w:left w:val="single" w:sz="4" w:space="0" w:color="auto"/>
              <w:bottom w:val="nil"/>
              <w:right w:val="nil"/>
            </w:tcBorders>
            <w:shd w:val="clear" w:color="auto" w:fill="auto"/>
            <w:noWrap/>
            <w:vAlign w:val="center"/>
            <w:hideMark/>
          </w:tcPr>
          <w:p w14:paraId="555E070C" w14:textId="77777777" w:rsidR="006A2D31" w:rsidRPr="001E05F5" w:rsidRDefault="006A2D31" w:rsidP="00DE70D0">
            <w:pPr>
              <w:spacing w:before="40" w:after="40" w:line="240" w:lineRule="auto"/>
              <w:rPr>
                <w:rFonts w:cs="Arial"/>
                <w:sz w:val="18"/>
                <w:szCs w:val="18"/>
              </w:rPr>
            </w:pPr>
            <w:r w:rsidRPr="001E05F5">
              <w:rPr>
                <w:rFonts w:cs="Arial"/>
                <w:sz w:val="18"/>
                <w:szCs w:val="18"/>
              </w:rPr>
              <w:t>296,970</w:t>
            </w:r>
          </w:p>
        </w:tc>
        <w:tc>
          <w:tcPr>
            <w:tcW w:w="907" w:type="dxa"/>
            <w:tcBorders>
              <w:top w:val="single" w:sz="4" w:space="0" w:color="auto"/>
              <w:left w:val="nil"/>
              <w:bottom w:val="nil"/>
              <w:right w:val="nil"/>
            </w:tcBorders>
            <w:shd w:val="clear" w:color="auto" w:fill="auto"/>
            <w:noWrap/>
            <w:vAlign w:val="center"/>
            <w:hideMark/>
          </w:tcPr>
          <w:p w14:paraId="134134A6" w14:textId="77777777" w:rsidR="006A2D31" w:rsidRPr="001E05F5" w:rsidRDefault="006A2D31" w:rsidP="00DE70D0">
            <w:pPr>
              <w:spacing w:before="40" w:after="40" w:line="240" w:lineRule="auto"/>
              <w:rPr>
                <w:rFonts w:cs="Arial"/>
                <w:sz w:val="18"/>
                <w:szCs w:val="18"/>
              </w:rPr>
            </w:pPr>
            <w:r w:rsidRPr="001E05F5">
              <w:rPr>
                <w:rFonts w:cs="Arial"/>
                <w:sz w:val="18"/>
                <w:szCs w:val="18"/>
              </w:rPr>
              <w:t>287,654</w:t>
            </w:r>
          </w:p>
        </w:tc>
        <w:tc>
          <w:tcPr>
            <w:tcW w:w="907" w:type="dxa"/>
            <w:tcBorders>
              <w:top w:val="single" w:sz="4" w:space="0" w:color="auto"/>
              <w:left w:val="nil"/>
              <w:bottom w:val="nil"/>
              <w:right w:val="nil"/>
            </w:tcBorders>
            <w:shd w:val="clear" w:color="auto" w:fill="auto"/>
            <w:noWrap/>
            <w:vAlign w:val="center"/>
            <w:hideMark/>
          </w:tcPr>
          <w:p w14:paraId="478D7D40" w14:textId="77777777" w:rsidR="006A2D31" w:rsidRPr="001E05F5" w:rsidRDefault="006A2D31" w:rsidP="00DE70D0">
            <w:pPr>
              <w:spacing w:before="40" w:after="40" w:line="240" w:lineRule="auto"/>
              <w:rPr>
                <w:rFonts w:cs="Arial"/>
                <w:sz w:val="18"/>
                <w:szCs w:val="18"/>
              </w:rPr>
            </w:pPr>
            <w:r w:rsidRPr="001E05F5">
              <w:rPr>
                <w:rFonts w:cs="Arial"/>
                <w:sz w:val="18"/>
                <w:szCs w:val="18"/>
              </w:rPr>
              <w:t>280,321</w:t>
            </w:r>
          </w:p>
        </w:tc>
        <w:tc>
          <w:tcPr>
            <w:tcW w:w="907" w:type="dxa"/>
            <w:tcBorders>
              <w:top w:val="single" w:sz="4" w:space="0" w:color="auto"/>
              <w:left w:val="nil"/>
              <w:bottom w:val="nil"/>
              <w:right w:val="nil"/>
            </w:tcBorders>
            <w:shd w:val="clear" w:color="auto" w:fill="auto"/>
            <w:noWrap/>
            <w:vAlign w:val="center"/>
            <w:hideMark/>
          </w:tcPr>
          <w:p w14:paraId="1A0ADBE4" w14:textId="77777777" w:rsidR="006A2D31" w:rsidRPr="001E05F5" w:rsidRDefault="006A2D31" w:rsidP="00DE70D0">
            <w:pPr>
              <w:spacing w:before="40" w:after="40" w:line="240" w:lineRule="auto"/>
              <w:rPr>
                <w:rFonts w:cs="Arial"/>
                <w:sz w:val="18"/>
                <w:szCs w:val="18"/>
              </w:rPr>
            </w:pPr>
            <w:r w:rsidRPr="001E05F5">
              <w:rPr>
                <w:rFonts w:cs="Arial"/>
                <w:sz w:val="18"/>
                <w:szCs w:val="18"/>
              </w:rPr>
              <w:t>281,885</w:t>
            </w:r>
          </w:p>
        </w:tc>
        <w:tc>
          <w:tcPr>
            <w:tcW w:w="907" w:type="dxa"/>
            <w:tcBorders>
              <w:top w:val="single" w:sz="4" w:space="0" w:color="auto"/>
              <w:left w:val="nil"/>
              <w:bottom w:val="nil"/>
              <w:right w:val="nil"/>
            </w:tcBorders>
            <w:shd w:val="clear" w:color="auto" w:fill="auto"/>
            <w:noWrap/>
            <w:vAlign w:val="center"/>
            <w:hideMark/>
          </w:tcPr>
          <w:p w14:paraId="2DA272ED" w14:textId="77777777" w:rsidR="006A2D31" w:rsidRPr="001E05F5" w:rsidRDefault="006A2D31" w:rsidP="00DE70D0">
            <w:pPr>
              <w:spacing w:before="40" w:after="40" w:line="240" w:lineRule="auto"/>
              <w:rPr>
                <w:rFonts w:cs="Arial"/>
                <w:sz w:val="18"/>
                <w:szCs w:val="18"/>
              </w:rPr>
            </w:pPr>
            <w:r w:rsidRPr="001E05F5">
              <w:rPr>
                <w:rFonts w:cs="Arial"/>
                <w:sz w:val="18"/>
                <w:szCs w:val="18"/>
              </w:rPr>
              <w:t>281,138</w:t>
            </w:r>
          </w:p>
        </w:tc>
        <w:tc>
          <w:tcPr>
            <w:tcW w:w="907" w:type="dxa"/>
            <w:tcBorders>
              <w:top w:val="single" w:sz="4" w:space="0" w:color="auto"/>
              <w:left w:val="nil"/>
              <w:bottom w:val="nil"/>
              <w:right w:val="nil"/>
            </w:tcBorders>
            <w:shd w:val="clear" w:color="auto" w:fill="auto"/>
            <w:noWrap/>
            <w:vAlign w:val="center"/>
            <w:hideMark/>
          </w:tcPr>
          <w:p w14:paraId="4C1FB14F" w14:textId="77777777" w:rsidR="006A2D31" w:rsidRPr="001E05F5" w:rsidRDefault="006A2D31" w:rsidP="00DE70D0">
            <w:pPr>
              <w:spacing w:before="40" w:after="40" w:line="240" w:lineRule="auto"/>
              <w:rPr>
                <w:rFonts w:cs="Arial"/>
                <w:sz w:val="18"/>
                <w:szCs w:val="18"/>
              </w:rPr>
            </w:pPr>
            <w:r w:rsidRPr="001E05F5">
              <w:rPr>
                <w:rFonts w:cs="Arial"/>
                <w:sz w:val="18"/>
                <w:szCs w:val="18"/>
              </w:rPr>
              <w:t>280,538</w:t>
            </w:r>
          </w:p>
        </w:tc>
        <w:tc>
          <w:tcPr>
            <w:tcW w:w="907" w:type="dxa"/>
            <w:tcBorders>
              <w:top w:val="single" w:sz="4" w:space="0" w:color="auto"/>
              <w:left w:val="nil"/>
              <w:bottom w:val="nil"/>
              <w:right w:val="single" w:sz="4" w:space="0" w:color="auto"/>
            </w:tcBorders>
            <w:shd w:val="clear" w:color="auto" w:fill="auto"/>
            <w:noWrap/>
            <w:vAlign w:val="center"/>
            <w:hideMark/>
          </w:tcPr>
          <w:p w14:paraId="76E1FAEA" w14:textId="77777777" w:rsidR="006A2D31" w:rsidRPr="001E05F5" w:rsidRDefault="006A2D31" w:rsidP="00DE70D0">
            <w:pPr>
              <w:spacing w:before="40" w:after="40" w:line="240" w:lineRule="auto"/>
              <w:rPr>
                <w:rFonts w:cs="Arial"/>
                <w:sz w:val="18"/>
                <w:szCs w:val="18"/>
              </w:rPr>
            </w:pPr>
            <w:r w:rsidRPr="001E05F5">
              <w:rPr>
                <w:rFonts w:cs="Arial"/>
                <w:sz w:val="18"/>
                <w:szCs w:val="18"/>
              </w:rPr>
              <w:t>285,160</w:t>
            </w:r>
          </w:p>
        </w:tc>
      </w:tr>
      <w:tr w:rsidR="004B2F23" w:rsidRPr="001E05F5" w14:paraId="6172FD71" w14:textId="77777777" w:rsidTr="004B2F23">
        <w:trPr>
          <w:trHeight w:val="300"/>
        </w:trPr>
        <w:tc>
          <w:tcPr>
            <w:tcW w:w="2566" w:type="dxa"/>
            <w:tcBorders>
              <w:top w:val="nil"/>
              <w:left w:val="single" w:sz="4" w:space="0" w:color="auto"/>
              <w:bottom w:val="nil"/>
              <w:right w:val="single" w:sz="4" w:space="0" w:color="auto"/>
            </w:tcBorders>
            <w:shd w:val="clear" w:color="auto" w:fill="auto"/>
            <w:vAlign w:val="center"/>
            <w:hideMark/>
          </w:tcPr>
          <w:p w14:paraId="4DC90620" w14:textId="77777777" w:rsidR="004B2F23" w:rsidRPr="001E05F5" w:rsidRDefault="004B2F23" w:rsidP="00DE70D0">
            <w:pPr>
              <w:spacing w:before="40" w:after="40" w:line="240" w:lineRule="auto"/>
              <w:jc w:val="right"/>
              <w:rPr>
                <w:rFonts w:cs="Arial"/>
                <w:sz w:val="18"/>
                <w:szCs w:val="18"/>
              </w:rPr>
            </w:pPr>
            <w:r w:rsidRPr="001E05F5">
              <w:rPr>
                <w:rFonts w:cs="Arial"/>
                <w:sz w:val="18"/>
                <w:szCs w:val="18"/>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33FCE812" w14:textId="77777777" w:rsidR="004B2F23" w:rsidRPr="001E05F5" w:rsidRDefault="004B2F23" w:rsidP="00DE70D0">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085FCA57" w14:textId="77777777" w:rsidR="004B2F23" w:rsidRPr="001E05F5" w:rsidRDefault="004B2F23" w:rsidP="00DE70D0">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5DE2303D" w14:textId="77777777" w:rsidR="004B2F23" w:rsidRPr="001E05F5" w:rsidRDefault="004B2F23" w:rsidP="00DE70D0">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49617CAF" w14:textId="77777777" w:rsidR="004B2F23" w:rsidRPr="001E05F5" w:rsidRDefault="004B2F23" w:rsidP="00DE70D0">
            <w:pPr>
              <w:spacing w:before="40" w:after="40" w:line="240" w:lineRule="auto"/>
              <w:rPr>
                <w:rFonts w:cs="Arial"/>
                <w:sz w:val="18"/>
                <w:szCs w:val="18"/>
              </w:rPr>
            </w:pPr>
          </w:p>
        </w:tc>
        <w:tc>
          <w:tcPr>
            <w:tcW w:w="2721" w:type="dxa"/>
            <w:gridSpan w:val="3"/>
            <w:tcBorders>
              <w:top w:val="nil"/>
              <w:left w:val="nil"/>
              <w:bottom w:val="nil"/>
              <w:right w:val="single" w:sz="4" w:space="0" w:color="auto"/>
            </w:tcBorders>
            <w:shd w:val="clear" w:color="000000" w:fill="B6DDE8"/>
            <w:noWrap/>
            <w:vAlign w:val="center"/>
            <w:hideMark/>
          </w:tcPr>
          <w:p w14:paraId="3BF92E53" w14:textId="77777777" w:rsidR="004B2F23" w:rsidRPr="001E05F5" w:rsidRDefault="004B2F23" w:rsidP="00DE70D0">
            <w:pPr>
              <w:spacing w:before="40" w:after="40" w:line="240" w:lineRule="auto"/>
              <w:jc w:val="center"/>
              <w:rPr>
                <w:rFonts w:cs="Arial"/>
                <w:sz w:val="18"/>
                <w:szCs w:val="18"/>
              </w:rPr>
            </w:pPr>
            <w:r w:rsidRPr="001E05F5">
              <w:rPr>
                <w:rFonts w:cs="Arial"/>
                <w:sz w:val="18"/>
                <w:szCs w:val="18"/>
              </w:rPr>
              <w:t>0.71%</w:t>
            </w:r>
          </w:p>
        </w:tc>
      </w:tr>
      <w:tr w:rsidR="004B2F23" w:rsidRPr="001E05F5" w14:paraId="67E09855" w14:textId="77777777" w:rsidTr="004B2F23">
        <w:trPr>
          <w:trHeight w:val="30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1371C958" w14:textId="77777777" w:rsidR="004B2F23" w:rsidRPr="001E05F5" w:rsidRDefault="004B2F23" w:rsidP="00DE70D0">
            <w:pPr>
              <w:spacing w:before="40" w:after="40" w:line="240" w:lineRule="auto"/>
              <w:jc w:val="right"/>
              <w:rPr>
                <w:rFonts w:cs="Arial"/>
                <w:sz w:val="18"/>
                <w:szCs w:val="18"/>
              </w:rPr>
            </w:pPr>
            <w:r w:rsidRPr="001E05F5">
              <w:rPr>
                <w:rFonts w:cs="Arial"/>
                <w:sz w:val="18"/>
                <w:szCs w:val="18"/>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0F460106" w14:textId="77777777" w:rsidR="004B2F23" w:rsidRPr="001E05F5" w:rsidRDefault="004B2F23" w:rsidP="00DE70D0">
            <w:pPr>
              <w:spacing w:before="40" w:after="40" w:line="240" w:lineRule="auto"/>
              <w:rPr>
                <w:rFonts w:cs="Arial"/>
                <w:sz w:val="18"/>
                <w:szCs w:val="18"/>
              </w:rPr>
            </w:pPr>
          </w:p>
        </w:tc>
        <w:tc>
          <w:tcPr>
            <w:tcW w:w="907" w:type="dxa"/>
            <w:tcBorders>
              <w:top w:val="nil"/>
              <w:left w:val="nil"/>
              <w:bottom w:val="single" w:sz="4" w:space="0" w:color="auto"/>
              <w:right w:val="nil"/>
            </w:tcBorders>
            <w:shd w:val="clear" w:color="auto" w:fill="auto"/>
            <w:noWrap/>
            <w:vAlign w:val="center"/>
            <w:hideMark/>
          </w:tcPr>
          <w:p w14:paraId="0BA204AC" w14:textId="77777777" w:rsidR="004B2F23" w:rsidRPr="001E05F5" w:rsidRDefault="004B2F23" w:rsidP="00DE70D0">
            <w:pPr>
              <w:spacing w:before="40" w:after="40" w:line="240" w:lineRule="auto"/>
              <w:rPr>
                <w:rFonts w:cs="Arial"/>
                <w:sz w:val="18"/>
                <w:szCs w:val="18"/>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6199E484" w14:textId="77777777" w:rsidR="004B2F23" w:rsidRPr="001E05F5" w:rsidRDefault="004B2F23" w:rsidP="00DE70D0">
            <w:pPr>
              <w:spacing w:before="40" w:after="40" w:line="240" w:lineRule="auto"/>
              <w:jc w:val="center"/>
              <w:rPr>
                <w:rFonts w:cs="Arial"/>
                <w:sz w:val="18"/>
                <w:szCs w:val="18"/>
              </w:rPr>
            </w:pPr>
            <w:r w:rsidRPr="001E05F5">
              <w:rPr>
                <w:rFonts w:cs="Arial"/>
                <w:sz w:val="18"/>
                <w:szCs w:val="18"/>
              </w:rPr>
              <w:t>0.43%</w:t>
            </w:r>
          </w:p>
        </w:tc>
      </w:tr>
      <w:tr w:rsidR="004B2F23" w:rsidRPr="001E05F5" w14:paraId="5A7097F6" w14:textId="77777777" w:rsidTr="004B2F23">
        <w:trPr>
          <w:trHeight w:val="300"/>
        </w:trPr>
        <w:tc>
          <w:tcPr>
            <w:tcW w:w="2566" w:type="dxa"/>
            <w:tcBorders>
              <w:top w:val="single" w:sz="4" w:space="0" w:color="auto"/>
              <w:left w:val="single" w:sz="4" w:space="0" w:color="auto"/>
              <w:bottom w:val="nil"/>
              <w:right w:val="single" w:sz="4" w:space="0" w:color="auto"/>
            </w:tcBorders>
            <w:shd w:val="clear" w:color="auto" w:fill="auto"/>
            <w:noWrap/>
            <w:vAlign w:val="center"/>
            <w:hideMark/>
          </w:tcPr>
          <w:p w14:paraId="2E40E2CD" w14:textId="77777777" w:rsidR="006A2D31" w:rsidRPr="001E05F5" w:rsidRDefault="006A2D31" w:rsidP="00DE70D0">
            <w:pPr>
              <w:spacing w:before="40" w:after="40" w:line="240" w:lineRule="auto"/>
              <w:rPr>
                <w:rFonts w:cs="Arial"/>
                <w:sz w:val="18"/>
                <w:szCs w:val="18"/>
              </w:rPr>
            </w:pPr>
            <w:r w:rsidRPr="001E05F5">
              <w:rPr>
                <w:rFonts w:cs="Arial"/>
                <w:sz w:val="18"/>
                <w:szCs w:val="18"/>
              </w:rPr>
              <w:t>Total non-household waste</w:t>
            </w:r>
          </w:p>
        </w:tc>
        <w:tc>
          <w:tcPr>
            <w:tcW w:w="907" w:type="dxa"/>
            <w:tcBorders>
              <w:top w:val="single" w:sz="4" w:space="0" w:color="auto"/>
              <w:left w:val="single" w:sz="4" w:space="0" w:color="auto"/>
              <w:bottom w:val="nil"/>
              <w:right w:val="nil"/>
            </w:tcBorders>
            <w:shd w:val="clear" w:color="auto" w:fill="auto"/>
            <w:noWrap/>
            <w:vAlign w:val="center"/>
            <w:hideMark/>
          </w:tcPr>
          <w:p w14:paraId="0A4997DC" w14:textId="77777777" w:rsidR="006A2D31" w:rsidRPr="001E05F5" w:rsidRDefault="006A2D31" w:rsidP="00DE70D0">
            <w:pPr>
              <w:spacing w:before="40" w:after="40" w:line="240" w:lineRule="auto"/>
              <w:rPr>
                <w:rFonts w:cs="Arial"/>
                <w:sz w:val="18"/>
                <w:szCs w:val="18"/>
              </w:rPr>
            </w:pPr>
            <w:r w:rsidRPr="001E05F5">
              <w:rPr>
                <w:rFonts w:cs="Arial"/>
                <w:sz w:val="18"/>
                <w:szCs w:val="18"/>
              </w:rPr>
              <w:t>71,474</w:t>
            </w:r>
          </w:p>
        </w:tc>
        <w:tc>
          <w:tcPr>
            <w:tcW w:w="907" w:type="dxa"/>
            <w:tcBorders>
              <w:top w:val="single" w:sz="4" w:space="0" w:color="auto"/>
              <w:left w:val="nil"/>
              <w:bottom w:val="nil"/>
              <w:right w:val="nil"/>
            </w:tcBorders>
            <w:shd w:val="clear" w:color="auto" w:fill="auto"/>
            <w:noWrap/>
            <w:vAlign w:val="center"/>
            <w:hideMark/>
          </w:tcPr>
          <w:p w14:paraId="44538E0A" w14:textId="77777777" w:rsidR="006A2D31" w:rsidRPr="001E05F5" w:rsidRDefault="006A2D31" w:rsidP="00DE70D0">
            <w:pPr>
              <w:spacing w:before="40" w:after="40" w:line="240" w:lineRule="auto"/>
              <w:rPr>
                <w:rFonts w:cs="Arial"/>
                <w:sz w:val="18"/>
                <w:szCs w:val="18"/>
              </w:rPr>
            </w:pPr>
            <w:r w:rsidRPr="001E05F5">
              <w:rPr>
                <w:rFonts w:cs="Arial"/>
                <w:sz w:val="18"/>
                <w:szCs w:val="18"/>
              </w:rPr>
              <w:t>69,243</w:t>
            </w:r>
          </w:p>
        </w:tc>
        <w:tc>
          <w:tcPr>
            <w:tcW w:w="907" w:type="dxa"/>
            <w:tcBorders>
              <w:top w:val="single" w:sz="4" w:space="0" w:color="auto"/>
              <w:left w:val="nil"/>
              <w:bottom w:val="nil"/>
              <w:right w:val="nil"/>
            </w:tcBorders>
            <w:shd w:val="clear" w:color="auto" w:fill="auto"/>
            <w:noWrap/>
            <w:vAlign w:val="center"/>
            <w:hideMark/>
          </w:tcPr>
          <w:p w14:paraId="547CFB89" w14:textId="77777777" w:rsidR="006A2D31" w:rsidRPr="001E05F5" w:rsidRDefault="006A2D31" w:rsidP="00DE70D0">
            <w:pPr>
              <w:spacing w:before="40" w:after="40" w:line="240" w:lineRule="auto"/>
              <w:rPr>
                <w:rFonts w:cs="Arial"/>
                <w:sz w:val="18"/>
                <w:szCs w:val="18"/>
              </w:rPr>
            </w:pPr>
            <w:r w:rsidRPr="001E05F5">
              <w:rPr>
                <w:rFonts w:cs="Arial"/>
                <w:sz w:val="18"/>
                <w:szCs w:val="18"/>
              </w:rPr>
              <w:t>57,343</w:t>
            </w:r>
          </w:p>
        </w:tc>
        <w:tc>
          <w:tcPr>
            <w:tcW w:w="907" w:type="dxa"/>
            <w:tcBorders>
              <w:top w:val="single" w:sz="4" w:space="0" w:color="auto"/>
              <w:left w:val="nil"/>
              <w:bottom w:val="nil"/>
              <w:right w:val="nil"/>
            </w:tcBorders>
            <w:shd w:val="clear" w:color="auto" w:fill="auto"/>
            <w:noWrap/>
            <w:vAlign w:val="center"/>
            <w:hideMark/>
          </w:tcPr>
          <w:p w14:paraId="59CA91CE" w14:textId="77777777" w:rsidR="006A2D31" w:rsidRPr="001E05F5" w:rsidRDefault="006A2D31" w:rsidP="00DE70D0">
            <w:pPr>
              <w:spacing w:before="40" w:after="40" w:line="240" w:lineRule="auto"/>
              <w:rPr>
                <w:rFonts w:cs="Arial"/>
                <w:sz w:val="18"/>
                <w:szCs w:val="18"/>
              </w:rPr>
            </w:pPr>
            <w:r w:rsidRPr="001E05F5">
              <w:rPr>
                <w:rFonts w:cs="Arial"/>
                <w:sz w:val="18"/>
                <w:szCs w:val="18"/>
              </w:rPr>
              <w:t>61,924</w:t>
            </w:r>
          </w:p>
        </w:tc>
        <w:tc>
          <w:tcPr>
            <w:tcW w:w="907" w:type="dxa"/>
            <w:tcBorders>
              <w:top w:val="single" w:sz="4" w:space="0" w:color="auto"/>
              <w:left w:val="nil"/>
              <w:bottom w:val="nil"/>
              <w:right w:val="nil"/>
            </w:tcBorders>
            <w:shd w:val="clear" w:color="auto" w:fill="auto"/>
            <w:noWrap/>
            <w:vAlign w:val="center"/>
            <w:hideMark/>
          </w:tcPr>
          <w:p w14:paraId="4B488046" w14:textId="77777777" w:rsidR="006A2D31" w:rsidRPr="001E05F5" w:rsidRDefault="006A2D31" w:rsidP="00DE70D0">
            <w:pPr>
              <w:spacing w:before="40" w:after="40" w:line="240" w:lineRule="auto"/>
              <w:rPr>
                <w:rFonts w:cs="Arial"/>
                <w:sz w:val="18"/>
                <w:szCs w:val="18"/>
              </w:rPr>
            </w:pPr>
            <w:r w:rsidRPr="001E05F5">
              <w:rPr>
                <w:rFonts w:cs="Arial"/>
                <w:sz w:val="18"/>
                <w:szCs w:val="18"/>
              </w:rPr>
              <w:t>64,014</w:t>
            </w:r>
          </w:p>
        </w:tc>
        <w:tc>
          <w:tcPr>
            <w:tcW w:w="907" w:type="dxa"/>
            <w:tcBorders>
              <w:top w:val="single" w:sz="4" w:space="0" w:color="auto"/>
              <w:left w:val="nil"/>
              <w:bottom w:val="nil"/>
              <w:right w:val="nil"/>
            </w:tcBorders>
            <w:shd w:val="clear" w:color="auto" w:fill="auto"/>
            <w:noWrap/>
            <w:vAlign w:val="center"/>
            <w:hideMark/>
          </w:tcPr>
          <w:p w14:paraId="376DE19C" w14:textId="77777777" w:rsidR="006A2D31" w:rsidRPr="001E05F5" w:rsidRDefault="006A2D31" w:rsidP="00DE70D0">
            <w:pPr>
              <w:spacing w:before="40" w:after="40" w:line="240" w:lineRule="auto"/>
              <w:rPr>
                <w:rFonts w:cs="Arial"/>
                <w:sz w:val="18"/>
                <w:szCs w:val="18"/>
              </w:rPr>
            </w:pPr>
            <w:r w:rsidRPr="001E05F5">
              <w:rPr>
                <w:rFonts w:cs="Arial"/>
                <w:sz w:val="18"/>
                <w:szCs w:val="18"/>
              </w:rPr>
              <w:t>71,570</w:t>
            </w:r>
          </w:p>
        </w:tc>
        <w:tc>
          <w:tcPr>
            <w:tcW w:w="907" w:type="dxa"/>
            <w:tcBorders>
              <w:top w:val="single" w:sz="4" w:space="0" w:color="auto"/>
              <w:left w:val="nil"/>
              <w:bottom w:val="nil"/>
              <w:right w:val="single" w:sz="4" w:space="0" w:color="auto"/>
            </w:tcBorders>
            <w:shd w:val="clear" w:color="auto" w:fill="auto"/>
            <w:noWrap/>
            <w:vAlign w:val="center"/>
            <w:hideMark/>
          </w:tcPr>
          <w:p w14:paraId="0D74F1E5" w14:textId="77777777" w:rsidR="006A2D31" w:rsidRPr="001E05F5" w:rsidRDefault="006A2D31" w:rsidP="00DE70D0">
            <w:pPr>
              <w:spacing w:before="40" w:after="40" w:line="240" w:lineRule="auto"/>
              <w:rPr>
                <w:rFonts w:cs="Arial"/>
                <w:sz w:val="18"/>
                <w:szCs w:val="18"/>
              </w:rPr>
            </w:pPr>
            <w:r w:rsidRPr="001E05F5">
              <w:rPr>
                <w:rFonts w:cs="Arial"/>
                <w:sz w:val="18"/>
                <w:szCs w:val="18"/>
              </w:rPr>
              <w:t>66,956</w:t>
            </w:r>
          </w:p>
        </w:tc>
      </w:tr>
      <w:tr w:rsidR="004B2F23" w:rsidRPr="001E05F5" w14:paraId="5BC4AE96" w14:textId="77777777" w:rsidTr="004B2F23">
        <w:trPr>
          <w:trHeight w:val="300"/>
        </w:trPr>
        <w:tc>
          <w:tcPr>
            <w:tcW w:w="2566" w:type="dxa"/>
            <w:tcBorders>
              <w:top w:val="nil"/>
              <w:left w:val="single" w:sz="4" w:space="0" w:color="auto"/>
              <w:bottom w:val="nil"/>
              <w:right w:val="single" w:sz="4" w:space="0" w:color="auto"/>
            </w:tcBorders>
            <w:shd w:val="clear" w:color="auto" w:fill="auto"/>
            <w:vAlign w:val="center"/>
            <w:hideMark/>
          </w:tcPr>
          <w:p w14:paraId="2C8293EE" w14:textId="77777777" w:rsidR="004B2F23" w:rsidRPr="001E05F5" w:rsidRDefault="004B2F23" w:rsidP="00DE70D0">
            <w:pPr>
              <w:spacing w:before="40" w:after="40" w:line="240" w:lineRule="auto"/>
              <w:jc w:val="right"/>
              <w:rPr>
                <w:rFonts w:cs="Arial"/>
                <w:sz w:val="18"/>
                <w:szCs w:val="18"/>
              </w:rPr>
            </w:pPr>
            <w:r w:rsidRPr="001E05F5">
              <w:rPr>
                <w:rFonts w:cs="Arial"/>
                <w:sz w:val="18"/>
                <w:szCs w:val="18"/>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2871E9F4" w14:textId="77777777" w:rsidR="004B2F23" w:rsidRPr="001E05F5" w:rsidRDefault="004B2F23" w:rsidP="00DE70D0">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3528FCF9" w14:textId="77777777" w:rsidR="004B2F23" w:rsidRPr="001E05F5" w:rsidRDefault="004B2F23" w:rsidP="00DE70D0">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007DB34E" w14:textId="77777777" w:rsidR="004B2F23" w:rsidRPr="001E05F5" w:rsidRDefault="004B2F23" w:rsidP="00DE70D0">
            <w:pPr>
              <w:spacing w:before="40" w:after="40" w:line="240" w:lineRule="auto"/>
              <w:jc w:val="center"/>
              <w:rPr>
                <w:rFonts w:cs="Arial"/>
                <w:sz w:val="18"/>
                <w:szCs w:val="18"/>
              </w:rPr>
            </w:pPr>
          </w:p>
        </w:tc>
        <w:tc>
          <w:tcPr>
            <w:tcW w:w="907" w:type="dxa"/>
            <w:tcBorders>
              <w:top w:val="nil"/>
              <w:left w:val="nil"/>
              <w:bottom w:val="nil"/>
              <w:right w:val="nil"/>
            </w:tcBorders>
            <w:shd w:val="clear" w:color="auto" w:fill="auto"/>
            <w:noWrap/>
            <w:vAlign w:val="center"/>
            <w:hideMark/>
          </w:tcPr>
          <w:p w14:paraId="71545874" w14:textId="77777777" w:rsidR="004B2F23" w:rsidRPr="001E05F5" w:rsidRDefault="004B2F23" w:rsidP="00DE70D0">
            <w:pPr>
              <w:spacing w:before="40" w:after="40" w:line="240" w:lineRule="auto"/>
              <w:jc w:val="center"/>
              <w:rPr>
                <w:rFonts w:cs="Arial"/>
                <w:sz w:val="18"/>
                <w:szCs w:val="18"/>
              </w:rPr>
            </w:pPr>
          </w:p>
        </w:tc>
        <w:tc>
          <w:tcPr>
            <w:tcW w:w="2721" w:type="dxa"/>
            <w:gridSpan w:val="3"/>
            <w:tcBorders>
              <w:top w:val="nil"/>
              <w:left w:val="nil"/>
              <w:bottom w:val="nil"/>
              <w:right w:val="single" w:sz="4" w:space="0" w:color="auto"/>
            </w:tcBorders>
            <w:shd w:val="clear" w:color="000000" w:fill="B6DDE8"/>
            <w:noWrap/>
            <w:vAlign w:val="center"/>
            <w:hideMark/>
          </w:tcPr>
          <w:p w14:paraId="4BD23EEC" w14:textId="77777777" w:rsidR="004B2F23" w:rsidRPr="001E05F5" w:rsidRDefault="004B2F23" w:rsidP="00DE70D0">
            <w:pPr>
              <w:spacing w:before="40" w:after="40" w:line="240" w:lineRule="auto"/>
              <w:jc w:val="center"/>
              <w:rPr>
                <w:rFonts w:cs="Arial"/>
                <w:sz w:val="18"/>
                <w:szCs w:val="18"/>
              </w:rPr>
            </w:pPr>
            <w:r w:rsidRPr="001E05F5">
              <w:rPr>
                <w:rFonts w:cs="Arial"/>
                <w:sz w:val="18"/>
                <w:szCs w:val="18"/>
              </w:rPr>
              <w:t>2.27%</w:t>
            </w:r>
          </w:p>
        </w:tc>
      </w:tr>
      <w:tr w:rsidR="004B2F23" w:rsidRPr="001E05F5" w14:paraId="6ABD24CE" w14:textId="77777777" w:rsidTr="00516771">
        <w:trPr>
          <w:trHeight w:val="300"/>
        </w:trPr>
        <w:tc>
          <w:tcPr>
            <w:tcW w:w="2566" w:type="dxa"/>
            <w:tcBorders>
              <w:top w:val="nil"/>
              <w:left w:val="single" w:sz="4" w:space="0" w:color="auto"/>
              <w:bottom w:val="single" w:sz="4" w:space="0" w:color="auto"/>
              <w:right w:val="single" w:sz="4" w:space="0" w:color="auto"/>
            </w:tcBorders>
            <w:shd w:val="clear" w:color="auto" w:fill="auto"/>
            <w:vAlign w:val="center"/>
            <w:hideMark/>
          </w:tcPr>
          <w:p w14:paraId="236A9BF1" w14:textId="77777777" w:rsidR="004B2F23" w:rsidRPr="001E05F5" w:rsidRDefault="004B2F23" w:rsidP="00DE70D0">
            <w:pPr>
              <w:spacing w:before="40" w:after="40" w:line="240" w:lineRule="auto"/>
              <w:jc w:val="right"/>
              <w:rPr>
                <w:rFonts w:cs="Arial"/>
                <w:sz w:val="18"/>
                <w:szCs w:val="18"/>
              </w:rPr>
            </w:pPr>
            <w:r w:rsidRPr="001E05F5">
              <w:rPr>
                <w:rFonts w:cs="Arial"/>
                <w:sz w:val="18"/>
                <w:szCs w:val="18"/>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4BED3229" w14:textId="77777777" w:rsidR="004B2F23" w:rsidRPr="001E05F5" w:rsidRDefault="004B2F23" w:rsidP="00DE70D0">
            <w:pPr>
              <w:spacing w:before="40" w:after="40" w:line="240" w:lineRule="auto"/>
              <w:rPr>
                <w:rFonts w:cs="Arial"/>
                <w:sz w:val="18"/>
                <w:szCs w:val="18"/>
              </w:rPr>
            </w:pPr>
          </w:p>
        </w:tc>
        <w:tc>
          <w:tcPr>
            <w:tcW w:w="907" w:type="dxa"/>
            <w:tcBorders>
              <w:top w:val="nil"/>
              <w:left w:val="nil"/>
              <w:bottom w:val="single" w:sz="4" w:space="0" w:color="auto"/>
              <w:right w:val="nil"/>
            </w:tcBorders>
            <w:shd w:val="clear" w:color="auto" w:fill="auto"/>
            <w:noWrap/>
            <w:vAlign w:val="center"/>
            <w:hideMark/>
          </w:tcPr>
          <w:p w14:paraId="65AA1EEA" w14:textId="77777777" w:rsidR="004B2F23" w:rsidRPr="001E05F5" w:rsidRDefault="004B2F23" w:rsidP="00DE70D0">
            <w:pPr>
              <w:spacing w:before="40" w:after="40" w:line="240" w:lineRule="auto"/>
              <w:rPr>
                <w:rFonts w:cs="Arial"/>
                <w:sz w:val="18"/>
                <w:szCs w:val="18"/>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4A70F6E9" w14:textId="77777777" w:rsidR="004B2F23" w:rsidRPr="001E05F5" w:rsidRDefault="004B2F23" w:rsidP="00DE70D0">
            <w:pPr>
              <w:spacing w:before="40" w:after="40" w:line="240" w:lineRule="auto"/>
              <w:jc w:val="center"/>
              <w:rPr>
                <w:rFonts w:cs="Arial"/>
                <w:sz w:val="18"/>
                <w:szCs w:val="18"/>
              </w:rPr>
            </w:pPr>
            <w:r w:rsidRPr="001E05F5">
              <w:rPr>
                <w:rFonts w:cs="Arial"/>
                <w:sz w:val="18"/>
                <w:szCs w:val="18"/>
              </w:rPr>
              <w:t>3.95%</w:t>
            </w:r>
          </w:p>
        </w:tc>
      </w:tr>
      <w:tr w:rsidR="00516771" w:rsidRPr="001E05F5" w14:paraId="47D4FED8" w14:textId="77777777" w:rsidTr="00516771">
        <w:trPr>
          <w:trHeight w:val="300"/>
        </w:trPr>
        <w:tc>
          <w:tcPr>
            <w:tcW w:w="89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539DCB5" w14:textId="77777777" w:rsidR="00516771" w:rsidRPr="001E05F5" w:rsidRDefault="00516771" w:rsidP="00D17D3B">
            <w:pPr>
              <w:pStyle w:val="ListParagraph"/>
              <w:numPr>
                <w:ilvl w:val="0"/>
                <w:numId w:val="3"/>
              </w:numPr>
              <w:spacing w:before="40" w:after="40" w:line="240" w:lineRule="auto"/>
              <w:ind w:left="332" w:hanging="342"/>
              <w:rPr>
                <w:color w:val="000000"/>
                <w:sz w:val="18"/>
                <w:szCs w:val="18"/>
              </w:rPr>
            </w:pPr>
            <w:r w:rsidRPr="001E05F5">
              <w:rPr>
                <w:sz w:val="18"/>
                <w:szCs w:val="18"/>
              </w:rPr>
              <w:t>Ministry of Housing, Communities and Local Government (formerly DCLG)</w:t>
            </w:r>
          </w:p>
        </w:tc>
      </w:tr>
    </w:tbl>
    <w:p w14:paraId="51417E4F" w14:textId="77777777" w:rsidR="004B2F23" w:rsidRPr="001E05F5" w:rsidRDefault="004B2F23" w:rsidP="00A3784A"/>
    <w:p w14:paraId="58976E5F" w14:textId="77777777" w:rsidR="009627B6" w:rsidRPr="001E05F5" w:rsidRDefault="00427A85" w:rsidP="00427A85">
      <w:pPr>
        <w:keepNext/>
        <w:rPr>
          <w:rFonts w:cs="Arial"/>
          <w:b/>
          <w:szCs w:val="20"/>
        </w:rPr>
      </w:pPr>
      <w:r w:rsidRPr="001E05F5">
        <w:rPr>
          <w:b/>
          <w:szCs w:val="20"/>
        </w:rPr>
        <w:lastRenderedPageBreak/>
        <w:t xml:space="preserve">Figure </w:t>
      </w:r>
      <w:r w:rsidR="00E7613F" w:rsidRPr="001E05F5">
        <w:rPr>
          <w:b/>
          <w:szCs w:val="20"/>
        </w:rPr>
        <w:t>A</w:t>
      </w:r>
      <w:r w:rsidRPr="001E05F5">
        <w:rPr>
          <w:b/>
          <w:szCs w:val="20"/>
        </w:rPr>
        <w:t xml:space="preserve">1 </w:t>
      </w:r>
      <w:r w:rsidRPr="001E05F5">
        <w:rPr>
          <w:rFonts w:cs="Arial"/>
          <w:b/>
          <w:szCs w:val="20"/>
        </w:rPr>
        <w:t>Total non-household waste, 2010-11 to 2016-17</w:t>
      </w:r>
    </w:p>
    <w:p w14:paraId="44720BE7" w14:textId="77777777" w:rsidR="00427A85" w:rsidRPr="001E05F5" w:rsidRDefault="00427A85" w:rsidP="00A3784A">
      <w:pPr>
        <w:rPr>
          <w:szCs w:val="20"/>
        </w:rPr>
      </w:pPr>
      <w:r w:rsidRPr="001E05F5">
        <w:rPr>
          <w:noProof/>
          <w:szCs w:val="20"/>
          <w:lang w:eastAsia="en-GB"/>
        </w:rPr>
        <w:drawing>
          <wp:inline distT="0" distB="0" distL="0" distR="0" wp14:anchorId="031350A2" wp14:editId="1708FE0B">
            <wp:extent cx="5044656" cy="2514544"/>
            <wp:effectExtent l="19050" t="0" r="359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044982" cy="2514706"/>
                    </a:xfrm>
                    <a:prstGeom prst="rect">
                      <a:avLst/>
                    </a:prstGeom>
                    <a:noFill/>
                    <a:ln w="9525">
                      <a:noFill/>
                      <a:miter lim="800000"/>
                      <a:headEnd/>
                      <a:tailEnd/>
                    </a:ln>
                  </pic:spPr>
                </pic:pic>
              </a:graphicData>
            </a:graphic>
          </wp:inline>
        </w:drawing>
      </w:r>
    </w:p>
    <w:p w14:paraId="663F6B24" w14:textId="77777777" w:rsidR="004B2F23" w:rsidRPr="001E05F5" w:rsidRDefault="00257714" w:rsidP="00A3784A">
      <w:r w:rsidRPr="001E05F5">
        <w:t xml:space="preserve">The overall household waste per household for Tees Valley has been effectively static over the last </w:t>
      </w:r>
      <w:r w:rsidR="00832A70" w:rsidRPr="001E05F5">
        <w:t>three</w:t>
      </w:r>
      <w:r w:rsidRPr="001E05F5">
        <w:t xml:space="preserve"> to five years</w:t>
      </w:r>
      <w:r w:rsidR="00427A85" w:rsidRPr="001E05F5">
        <w:t xml:space="preserve">, </w:t>
      </w:r>
      <w:r w:rsidR="005D4CC2" w:rsidRPr="001E05F5">
        <w:t xml:space="preserve">as shown in </w:t>
      </w:r>
      <w:r w:rsidR="00427A85" w:rsidRPr="001E05F5">
        <w:t xml:space="preserve">Table </w:t>
      </w:r>
      <w:r w:rsidR="00E7613F" w:rsidRPr="001E05F5">
        <w:t>A</w:t>
      </w:r>
      <w:r w:rsidR="00427A85" w:rsidRPr="001E05F5">
        <w:t>2</w:t>
      </w:r>
      <w:r w:rsidR="005D4CC2" w:rsidRPr="001E05F5">
        <w:t xml:space="preserve"> below</w:t>
      </w:r>
      <w:r w:rsidRPr="001E05F5">
        <w:t xml:space="preserve">. </w:t>
      </w:r>
      <w:r w:rsidR="006F1DD2" w:rsidRPr="001E05F5">
        <w:t xml:space="preserve"> </w:t>
      </w:r>
      <w:r w:rsidRPr="001E05F5">
        <w:t xml:space="preserve">Although, </w:t>
      </w:r>
      <w:r w:rsidR="004D3772" w:rsidRPr="001E05F5">
        <w:t>there are difference</w:t>
      </w:r>
      <w:r w:rsidR="00022CEF" w:rsidRPr="001E05F5">
        <w:t>s</w:t>
      </w:r>
      <w:r w:rsidR="004D3772" w:rsidRPr="001E05F5">
        <w:t xml:space="preserve"> in the trends between the authorities </w:t>
      </w:r>
      <w:r w:rsidR="00832A70" w:rsidRPr="001E05F5">
        <w:t>but there is no consistent trend.</w:t>
      </w:r>
    </w:p>
    <w:p w14:paraId="29FE3632" w14:textId="77777777" w:rsidR="006F1DD2" w:rsidRPr="001E05F5" w:rsidRDefault="006F1DD2" w:rsidP="00A3784A">
      <w:pPr>
        <w:rPr>
          <w:b/>
        </w:rPr>
      </w:pPr>
      <w:r w:rsidRPr="001E05F5">
        <w:rPr>
          <w:b/>
        </w:rPr>
        <w:t xml:space="preserve">Table </w:t>
      </w:r>
      <w:r w:rsidR="00E7613F" w:rsidRPr="001E05F5">
        <w:rPr>
          <w:b/>
        </w:rPr>
        <w:t>A</w:t>
      </w:r>
      <w:r w:rsidRPr="001E05F5">
        <w:rPr>
          <w:b/>
        </w:rPr>
        <w:t>2: Trends in household waste per household</w:t>
      </w:r>
    </w:p>
    <w:tbl>
      <w:tblPr>
        <w:tblW w:w="8773" w:type="dxa"/>
        <w:tblInd w:w="94" w:type="dxa"/>
        <w:tblLayout w:type="fixed"/>
        <w:tblLook w:val="04A0" w:firstRow="1" w:lastRow="0" w:firstColumn="1" w:lastColumn="0" w:noHBand="0" w:noVBand="1"/>
      </w:tblPr>
      <w:tblGrid>
        <w:gridCol w:w="2424"/>
        <w:gridCol w:w="907"/>
        <w:gridCol w:w="907"/>
        <w:gridCol w:w="907"/>
        <w:gridCol w:w="907"/>
        <w:gridCol w:w="907"/>
        <w:gridCol w:w="907"/>
        <w:gridCol w:w="907"/>
      </w:tblGrid>
      <w:tr w:rsidR="006A2D31" w:rsidRPr="001E05F5" w14:paraId="6DC4AC58" w14:textId="77777777" w:rsidTr="0028187F">
        <w:trPr>
          <w:trHeight w:val="300"/>
        </w:trPr>
        <w:tc>
          <w:tcPr>
            <w:tcW w:w="2424"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14:paraId="1871E825" w14:textId="77777777" w:rsidR="006A2D31" w:rsidRPr="001E05F5" w:rsidRDefault="004B2F23" w:rsidP="00427A85">
            <w:pPr>
              <w:spacing w:before="40" w:after="40" w:line="240" w:lineRule="auto"/>
              <w:rPr>
                <w:rFonts w:cs="Arial"/>
                <w:sz w:val="18"/>
                <w:szCs w:val="18"/>
              </w:rPr>
            </w:pPr>
            <w:r w:rsidRPr="001E05F5">
              <w:rPr>
                <w:rFonts w:cs="Arial"/>
                <w:sz w:val="18"/>
                <w:szCs w:val="18"/>
              </w:rPr>
              <w:t>Household waste per household</w:t>
            </w:r>
          </w:p>
        </w:tc>
        <w:tc>
          <w:tcPr>
            <w:tcW w:w="907" w:type="dxa"/>
            <w:tcBorders>
              <w:top w:val="single" w:sz="4" w:space="0" w:color="auto"/>
              <w:left w:val="single" w:sz="4" w:space="0" w:color="auto"/>
              <w:bottom w:val="single" w:sz="4" w:space="0" w:color="auto"/>
              <w:right w:val="nil"/>
            </w:tcBorders>
            <w:shd w:val="clear" w:color="DBE5F1" w:fill="DBE5F1"/>
            <w:noWrap/>
            <w:vAlign w:val="center"/>
            <w:hideMark/>
          </w:tcPr>
          <w:p w14:paraId="64E38DF5" w14:textId="77777777" w:rsidR="006A2D31" w:rsidRPr="001E05F5" w:rsidRDefault="006A2D31" w:rsidP="00427A85">
            <w:pPr>
              <w:spacing w:before="40" w:after="40" w:line="240" w:lineRule="auto"/>
              <w:rPr>
                <w:rFonts w:cs="Arial"/>
                <w:sz w:val="18"/>
                <w:szCs w:val="18"/>
              </w:rPr>
            </w:pPr>
            <w:r w:rsidRPr="001E05F5">
              <w:rPr>
                <w:rFonts w:cs="Arial"/>
                <w:sz w:val="18"/>
                <w:szCs w:val="18"/>
              </w:rPr>
              <w:t>2010-11</w:t>
            </w:r>
          </w:p>
        </w:tc>
        <w:tc>
          <w:tcPr>
            <w:tcW w:w="907" w:type="dxa"/>
            <w:tcBorders>
              <w:top w:val="single" w:sz="4" w:space="0" w:color="auto"/>
              <w:left w:val="nil"/>
              <w:bottom w:val="single" w:sz="4" w:space="0" w:color="auto"/>
              <w:right w:val="nil"/>
            </w:tcBorders>
            <w:shd w:val="clear" w:color="DBE5F1" w:fill="DBE5F1"/>
            <w:noWrap/>
            <w:vAlign w:val="center"/>
            <w:hideMark/>
          </w:tcPr>
          <w:p w14:paraId="08C9EAE4" w14:textId="77777777" w:rsidR="006A2D31" w:rsidRPr="001E05F5" w:rsidRDefault="006A2D31" w:rsidP="00427A85">
            <w:pPr>
              <w:spacing w:before="40" w:after="40" w:line="240" w:lineRule="auto"/>
              <w:rPr>
                <w:rFonts w:cs="Arial"/>
                <w:sz w:val="18"/>
                <w:szCs w:val="18"/>
              </w:rPr>
            </w:pPr>
            <w:r w:rsidRPr="001E05F5">
              <w:rPr>
                <w:rFonts w:cs="Arial"/>
                <w:sz w:val="18"/>
                <w:szCs w:val="18"/>
              </w:rPr>
              <w:t>2011-12</w:t>
            </w:r>
          </w:p>
        </w:tc>
        <w:tc>
          <w:tcPr>
            <w:tcW w:w="907" w:type="dxa"/>
            <w:tcBorders>
              <w:top w:val="single" w:sz="4" w:space="0" w:color="auto"/>
              <w:left w:val="nil"/>
              <w:bottom w:val="single" w:sz="4" w:space="0" w:color="auto"/>
              <w:right w:val="nil"/>
            </w:tcBorders>
            <w:shd w:val="clear" w:color="DBE5F1" w:fill="DBE5F1"/>
            <w:noWrap/>
            <w:vAlign w:val="center"/>
            <w:hideMark/>
          </w:tcPr>
          <w:p w14:paraId="4544DC1C" w14:textId="77777777" w:rsidR="006A2D31" w:rsidRPr="001E05F5" w:rsidRDefault="006A2D31" w:rsidP="00427A85">
            <w:pPr>
              <w:spacing w:before="40" w:after="40" w:line="240" w:lineRule="auto"/>
              <w:rPr>
                <w:rFonts w:cs="Arial"/>
                <w:sz w:val="18"/>
                <w:szCs w:val="18"/>
              </w:rPr>
            </w:pPr>
            <w:r w:rsidRPr="001E05F5">
              <w:rPr>
                <w:rFonts w:cs="Arial"/>
                <w:sz w:val="18"/>
                <w:szCs w:val="18"/>
              </w:rPr>
              <w:t>2012-13</w:t>
            </w:r>
          </w:p>
        </w:tc>
        <w:tc>
          <w:tcPr>
            <w:tcW w:w="907" w:type="dxa"/>
            <w:tcBorders>
              <w:top w:val="single" w:sz="4" w:space="0" w:color="auto"/>
              <w:left w:val="nil"/>
              <w:bottom w:val="single" w:sz="4" w:space="0" w:color="auto"/>
              <w:right w:val="nil"/>
            </w:tcBorders>
            <w:shd w:val="clear" w:color="DBE5F1" w:fill="DBE5F1"/>
            <w:noWrap/>
            <w:vAlign w:val="center"/>
            <w:hideMark/>
          </w:tcPr>
          <w:p w14:paraId="7DBCE93F" w14:textId="77777777" w:rsidR="006A2D31" w:rsidRPr="001E05F5" w:rsidRDefault="006A2D31" w:rsidP="00427A85">
            <w:pPr>
              <w:spacing w:before="40" w:after="40" w:line="240" w:lineRule="auto"/>
              <w:rPr>
                <w:rFonts w:cs="Arial"/>
                <w:sz w:val="18"/>
                <w:szCs w:val="18"/>
              </w:rPr>
            </w:pPr>
            <w:r w:rsidRPr="001E05F5">
              <w:rPr>
                <w:rFonts w:cs="Arial"/>
                <w:sz w:val="18"/>
                <w:szCs w:val="18"/>
              </w:rPr>
              <w:t>2013-14</w:t>
            </w:r>
          </w:p>
        </w:tc>
        <w:tc>
          <w:tcPr>
            <w:tcW w:w="907" w:type="dxa"/>
            <w:tcBorders>
              <w:top w:val="single" w:sz="4" w:space="0" w:color="auto"/>
              <w:left w:val="nil"/>
              <w:bottom w:val="single" w:sz="4" w:space="0" w:color="auto"/>
              <w:right w:val="nil"/>
            </w:tcBorders>
            <w:shd w:val="clear" w:color="DBE5F1" w:fill="DBE5F1"/>
            <w:noWrap/>
            <w:vAlign w:val="center"/>
            <w:hideMark/>
          </w:tcPr>
          <w:p w14:paraId="534D163D" w14:textId="77777777" w:rsidR="006A2D31" w:rsidRPr="001E05F5" w:rsidRDefault="006A2D31" w:rsidP="00427A85">
            <w:pPr>
              <w:spacing w:before="40" w:after="40" w:line="240" w:lineRule="auto"/>
              <w:rPr>
                <w:rFonts w:cs="Arial"/>
                <w:sz w:val="18"/>
                <w:szCs w:val="18"/>
              </w:rPr>
            </w:pPr>
            <w:r w:rsidRPr="001E05F5">
              <w:rPr>
                <w:rFonts w:cs="Arial"/>
                <w:sz w:val="18"/>
                <w:szCs w:val="18"/>
              </w:rPr>
              <w:t>2014-15</w:t>
            </w:r>
          </w:p>
        </w:tc>
        <w:tc>
          <w:tcPr>
            <w:tcW w:w="907" w:type="dxa"/>
            <w:tcBorders>
              <w:top w:val="single" w:sz="4" w:space="0" w:color="auto"/>
              <w:left w:val="nil"/>
              <w:bottom w:val="single" w:sz="4" w:space="0" w:color="auto"/>
              <w:right w:val="nil"/>
            </w:tcBorders>
            <w:shd w:val="clear" w:color="DBE5F1" w:fill="DBE5F1"/>
            <w:noWrap/>
            <w:vAlign w:val="center"/>
            <w:hideMark/>
          </w:tcPr>
          <w:p w14:paraId="4F5B01D8" w14:textId="77777777" w:rsidR="006A2D31" w:rsidRPr="001E05F5" w:rsidRDefault="006A2D31" w:rsidP="00427A85">
            <w:pPr>
              <w:spacing w:before="40" w:after="40" w:line="240" w:lineRule="auto"/>
              <w:rPr>
                <w:rFonts w:cs="Arial"/>
                <w:sz w:val="18"/>
                <w:szCs w:val="18"/>
              </w:rPr>
            </w:pPr>
            <w:r w:rsidRPr="001E05F5">
              <w:rPr>
                <w:rFonts w:cs="Arial"/>
                <w:sz w:val="18"/>
                <w:szCs w:val="18"/>
              </w:rPr>
              <w:t>2015-16</w:t>
            </w:r>
          </w:p>
        </w:tc>
        <w:tc>
          <w:tcPr>
            <w:tcW w:w="907" w:type="dxa"/>
            <w:tcBorders>
              <w:top w:val="single" w:sz="4" w:space="0" w:color="auto"/>
              <w:left w:val="nil"/>
              <w:bottom w:val="single" w:sz="4" w:space="0" w:color="auto"/>
              <w:right w:val="single" w:sz="4" w:space="0" w:color="auto"/>
            </w:tcBorders>
            <w:shd w:val="clear" w:color="DBE5F1" w:fill="DBE5F1"/>
            <w:noWrap/>
            <w:vAlign w:val="center"/>
            <w:hideMark/>
          </w:tcPr>
          <w:p w14:paraId="71629395" w14:textId="77777777" w:rsidR="006A2D31" w:rsidRPr="001E05F5" w:rsidRDefault="006A2D31" w:rsidP="00427A85">
            <w:pPr>
              <w:spacing w:before="40" w:after="40" w:line="240" w:lineRule="auto"/>
              <w:rPr>
                <w:rFonts w:cs="Arial"/>
                <w:sz w:val="18"/>
                <w:szCs w:val="18"/>
              </w:rPr>
            </w:pPr>
            <w:r w:rsidRPr="001E05F5">
              <w:rPr>
                <w:rFonts w:cs="Arial"/>
                <w:sz w:val="18"/>
                <w:szCs w:val="18"/>
              </w:rPr>
              <w:t>2016-17</w:t>
            </w:r>
          </w:p>
        </w:tc>
      </w:tr>
      <w:tr w:rsidR="0028187F" w:rsidRPr="001E05F5" w14:paraId="7627D00E" w14:textId="77777777" w:rsidTr="006F1DD2">
        <w:tc>
          <w:tcPr>
            <w:tcW w:w="2424" w:type="dxa"/>
            <w:tcBorders>
              <w:top w:val="single" w:sz="4" w:space="0" w:color="auto"/>
              <w:left w:val="single" w:sz="4" w:space="0" w:color="auto"/>
              <w:bottom w:val="nil"/>
              <w:right w:val="single" w:sz="4" w:space="0" w:color="auto"/>
            </w:tcBorders>
            <w:shd w:val="clear" w:color="auto" w:fill="auto"/>
            <w:noWrap/>
            <w:vAlign w:val="center"/>
            <w:hideMark/>
          </w:tcPr>
          <w:p w14:paraId="2D14977E" w14:textId="77777777" w:rsidR="006A2D31" w:rsidRPr="001E05F5" w:rsidRDefault="006A2D31" w:rsidP="00427A85">
            <w:pPr>
              <w:spacing w:before="40" w:after="40" w:line="240" w:lineRule="auto"/>
              <w:rPr>
                <w:rFonts w:cs="Arial"/>
                <w:sz w:val="18"/>
                <w:szCs w:val="18"/>
              </w:rPr>
            </w:pPr>
            <w:r w:rsidRPr="001E05F5">
              <w:rPr>
                <w:rFonts w:cs="Arial"/>
                <w:sz w:val="18"/>
                <w:szCs w:val="18"/>
              </w:rPr>
              <w:t xml:space="preserve">Darlington </w:t>
            </w:r>
          </w:p>
        </w:tc>
        <w:tc>
          <w:tcPr>
            <w:tcW w:w="907" w:type="dxa"/>
            <w:tcBorders>
              <w:top w:val="single" w:sz="4" w:space="0" w:color="auto"/>
              <w:left w:val="single" w:sz="4" w:space="0" w:color="auto"/>
              <w:bottom w:val="nil"/>
              <w:right w:val="nil"/>
            </w:tcBorders>
            <w:shd w:val="clear" w:color="auto" w:fill="auto"/>
            <w:noWrap/>
            <w:vAlign w:val="center"/>
            <w:hideMark/>
          </w:tcPr>
          <w:p w14:paraId="0A04896E" w14:textId="77777777" w:rsidR="006A2D31" w:rsidRPr="001E05F5" w:rsidRDefault="006A2D31" w:rsidP="00427A85">
            <w:pPr>
              <w:spacing w:before="40" w:after="40" w:line="240" w:lineRule="auto"/>
              <w:rPr>
                <w:rFonts w:cs="Arial"/>
                <w:sz w:val="18"/>
                <w:szCs w:val="18"/>
              </w:rPr>
            </w:pPr>
            <w:r w:rsidRPr="001E05F5">
              <w:rPr>
                <w:rFonts w:cs="Arial"/>
                <w:sz w:val="18"/>
                <w:szCs w:val="18"/>
              </w:rPr>
              <w:t>1.06</w:t>
            </w:r>
          </w:p>
        </w:tc>
        <w:tc>
          <w:tcPr>
            <w:tcW w:w="907" w:type="dxa"/>
            <w:tcBorders>
              <w:top w:val="single" w:sz="4" w:space="0" w:color="auto"/>
              <w:left w:val="nil"/>
              <w:bottom w:val="nil"/>
              <w:right w:val="nil"/>
            </w:tcBorders>
            <w:shd w:val="clear" w:color="auto" w:fill="auto"/>
            <w:noWrap/>
            <w:vAlign w:val="center"/>
            <w:hideMark/>
          </w:tcPr>
          <w:p w14:paraId="6B18ED77" w14:textId="77777777" w:rsidR="006A2D31" w:rsidRPr="001E05F5" w:rsidRDefault="006A2D31" w:rsidP="00427A85">
            <w:pPr>
              <w:spacing w:before="40" w:after="40" w:line="240" w:lineRule="auto"/>
              <w:rPr>
                <w:rFonts w:cs="Arial"/>
                <w:sz w:val="18"/>
                <w:szCs w:val="18"/>
              </w:rPr>
            </w:pPr>
            <w:r w:rsidRPr="001E05F5">
              <w:rPr>
                <w:rFonts w:cs="Arial"/>
                <w:sz w:val="18"/>
                <w:szCs w:val="18"/>
              </w:rPr>
              <w:t>1.02</w:t>
            </w:r>
          </w:p>
        </w:tc>
        <w:tc>
          <w:tcPr>
            <w:tcW w:w="907" w:type="dxa"/>
            <w:tcBorders>
              <w:top w:val="single" w:sz="4" w:space="0" w:color="auto"/>
              <w:left w:val="nil"/>
              <w:bottom w:val="nil"/>
              <w:right w:val="nil"/>
            </w:tcBorders>
            <w:shd w:val="clear" w:color="auto" w:fill="auto"/>
            <w:noWrap/>
            <w:vAlign w:val="center"/>
            <w:hideMark/>
          </w:tcPr>
          <w:p w14:paraId="365AEA63" w14:textId="77777777" w:rsidR="006A2D31" w:rsidRPr="001E05F5" w:rsidRDefault="006A2D31" w:rsidP="00427A85">
            <w:pPr>
              <w:spacing w:before="40" w:after="40" w:line="240" w:lineRule="auto"/>
              <w:rPr>
                <w:rFonts w:cs="Arial"/>
                <w:sz w:val="18"/>
                <w:szCs w:val="18"/>
              </w:rPr>
            </w:pPr>
            <w:r w:rsidRPr="001E05F5">
              <w:rPr>
                <w:rFonts w:cs="Arial"/>
                <w:sz w:val="18"/>
                <w:szCs w:val="18"/>
              </w:rPr>
              <w:t>0.98</w:t>
            </w:r>
          </w:p>
        </w:tc>
        <w:tc>
          <w:tcPr>
            <w:tcW w:w="907" w:type="dxa"/>
            <w:tcBorders>
              <w:top w:val="single" w:sz="4" w:space="0" w:color="auto"/>
              <w:left w:val="nil"/>
              <w:bottom w:val="nil"/>
              <w:right w:val="nil"/>
            </w:tcBorders>
            <w:shd w:val="clear" w:color="auto" w:fill="auto"/>
            <w:noWrap/>
            <w:vAlign w:val="center"/>
            <w:hideMark/>
          </w:tcPr>
          <w:p w14:paraId="58DEB10E" w14:textId="77777777" w:rsidR="006A2D31" w:rsidRPr="001E05F5" w:rsidRDefault="006A2D31" w:rsidP="00427A85">
            <w:pPr>
              <w:spacing w:before="40" w:after="40" w:line="240" w:lineRule="auto"/>
              <w:rPr>
                <w:rFonts w:cs="Arial"/>
                <w:sz w:val="18"/>
                <w:szCs w:val="18"/>
              </w:rPr>
            </w:pPr>
            <w:r w:rsidRPr="001E05F5">
              <w:rPr>
                <w:rFonts w:cs="Arial"/>
                <w:sz w:val="18"/>
                <w:szCs w:val="18"/>
              </w:rPr>
              <w:t>0.98</w:t>
            </w:r>
          </w:p>
        </w:tc>
        <w:tc>
          <w:tcPr>
            <w:tcW w:w="907" w:type="dxa"/>
            <w:tcBorders>
              <w:top w:val="single" w:sz="4" w:space="0" w:color="auto"/>
              <w:left w:val="nil"/>
              <w:bottom w:val="nil"/>
              <w:right w:val="nil"/>
            </w:tcBorders>
            <w:shd w:val="clear" w:color="auto" w:fill="auto"/>
            <w:noWrap/>
            <w:vAlign w:val="center"/>
            <w:hideMark/>
          </w:tcPr>
          <w:p w14:paraId="723B3ECC" w14:textId="77777777" w:rsidR="006A2D31" w:rsidRPr="001E05F5" w:rsidRDefault="006A2D31" w:rsidP="00427A85">
            <w:pPr>
              <w:spacing w:before="40" w:after="40" w:line="240" w:lineRule="auto"/>
              <w:rPr>
                <w:rFonts w:cs="Arial"/>
                <w:sz w:val="18"/>
                <w:szCs w:val="18"/>
              </w:rPr>
            </w:pPr>
            <w:r w:rsidRPr="001E05F5">
              <w:rPr>
                <w:rFonts w:cs="Arial"/>
                <w:sz w:val="18"/>
                <w:szCs w:val="18"/>
              </w:rPr>
              <w:t>0.93</w:t>
            </w:r>
          </w:p>
        </w:tc>
        <w:tc>
          <w:tcPr>
            <w:tcW w:w="907" w:type="dxa"/>
            <w:tcBorders>
              <w:top w:val="single" w:sz="4" w:space="0" w:color="auto"/>
              <w:left w:val="nil"/>
              <w:bottom w:val="nil"/>
              <w:right w:val="nil"/>
            </w:tcBorders>
            <w:shd w:val="clear" w:color="auto" w:fill="auto"/>
            <w:noWrap/>
            <w:vAlign w:val="center"/>
            <w:hideMark/>
          </w:tcPr>
          <w:p w14:paraId="65E51AB5" w14:textId="77777777" w:rsidR="006A2D31" w:rsidRPr="001E05F5" w:rsidRDefault="006A2D31" w:rsidP="00427A85">
            <w:pPr>
              <w:spacing w:before="40" w:after="40" w:line="240" w:lineRule="auto"/>
              <w:rPr>
                <w:rFonts w:cs="Arial"/>
                <w:sz w:val="18"/>
                <w:szCs w:val="18"/>
              </w:rPr>
            </w:pPr>
            <w:r w:rsidRPr="001E05F5">
              <w:rPr>
                <w:rFonts w:cs="Arial"/>
                <w:sz w:val="18"/>
                <w:szCs w:val="18"/>
              </w:rPr>
              <w:t>0.94</w:t>
            </w:r>
          </w:p>
        </w:tc>
        <w:tc>
          <w:tcPr>
            <w:tcW w:w="907" w:type="dxa"/>
            <w:tcBorders>
              <w:top w:val="single" w:sz="4" w:space="0" w:color="auto"/>
              <w:left w:val="nil"/>
              <w:bottom w:val="nil"/>
              <w:right w:val="single" w:sz="4" w:space="0" w:color="auto"/>
            </w:tcBorders>
            <w:shd w:val="clear" w:color="auto" w:fill="auto"/>
            <w:noWrap/>
            <w:vAlign w:val="center"/>
            <w:hideMark/>
          </w:tcPr>
          <w:p w14:paraId="213E82AC" w14:textId="77777777" w:rsidR="006A2D31" w:rsidRPr="001E05F5" w:rsidRDefault="006A2D31" w:rsidP="00427A85">
            <w:pPr>
              <w:spacing w:before="40" w:after="40" w:line="240" w:lineRule="auto"/>
              <w:rPr>
                <w:rFonts w:cs="Arial"/>
                <w:sz w:val="18"/>
                <w:szCs w:val="18"/>
              </w:rPr>
            </w:pPr>
            <w:r w:rsidRPr="001E05F5">
              <w:rPr>
                <w:rFonts w:cs="Arial"/>
                <w:sz w:val="18"/>
                <w:szCs w:val="18"/>
              </w:rPr>
              <w:t>0.93</w:t>
            </w:r>
          </w:p>
        </w:tc>
      </w:tr>
      <w:tr w:rsidR="004B2F23" w:rsidRPr="001E05F5" w14:paraId="6FB84306" w14:textId="77777777" w:rsidTr="006F1DD2">
        <w:tc>
          <w:tcPr>
            <w:tcW w:w="2424" w:type="dxa"/>
            <w:tcBorders>
              <w:top w:val="nil"/>
              <w:left w:val="single" w:sz="4" w:space="0" w:color="auto"/>
              <w:bottom w:val="nil"/>
              <w:right w:val="single" w:sz="4" w:space="0" w:color="auto"/>
            </w:tcBorders>
            <w:shd w:val="clear" w:color="auto" w:fill="auto"/>
            <w:vAlign w:val="center"/>
            <w:hideMark/>
          </w:tcPr>
          <w:p w14:paraId="7065A58A" w14:textId="77777777" w:rsidR="004B2F23" w:rsidRPr="001E05F5" w:rsidRDefault="004B2F23" w:rsidP="006F1DD2">
            <w:pPr>
              <w:spacing w:before="20" w:after="20" w:line="240" w:lineRule="auto"/>
              <w:jc w:val="right"/>
              <w:rPr>
                <w:rFonts w:cs="Arial"/>
                <w:sz w:val="18"/>
                <w:szCs w:val="18"/>
              </w:rPr>
            </w:pPr>
            <w:r w:rsidRPr="001E05F5">
              <w:rPr>
                <w:rFonts w:cs="Arial"/>
                <w:sz w:val="18"/>
                <w:szCs w:val="18"/>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068C941A" w14:textId="77777777" w:rsidR="004B2F23" w:rsidRPr="001E05F5" w:rsidRDefault="004B2F23"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5A1A4B63" w14:textId="77777777" w:rsidR="004B2F23" w:rsidRPr="001E05F5" w:rsidRDefault="004B2F23"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3DCAF9AB" w14:textId="77777777" w:rsidR="004B2F23" w:rsidRPr="001E05F5" w:rsidRDefault="004B2F23" w:rsidP="006F1DD2">
            <w:pPr>
              <w:spacing w:before="20" w:after="20" w:line="240" w:lineRule="auto"/>
              <w:jc w:val="center"/>
              <w:rPr>
                <w:rFonts w:cs="Arial"/>
                <w:sz w:val="18"/>
                <w:szCs w:val="18"/>
              </w:rPr>
            </w:pPr>
          </w:p>
        </w:tc>
        <w:tc>
          <w:tcPr>
            <w:tcW w:w="907" w:type="dxa"/>
            <w:tcBorders>
              <w:top w:val="nil"/>
              <w:left w:val="nil"/>
              <w:bottom w:val="nil"/>
              <w:right w:val="nil"/>
            </w:tcBorders>
            <w:shd w:val="clear" w:color="auto" w:fill="auto"/>
            <w:noWrap/>
            <w:vAlign w:val="center"/>
            <w:hideMark/>
          </w:tcPr>
          <w:p w14:paraId="2ED8F3C2" w14:textId="77777777" w:rsidR="004B2F23" w:rsidRPr="001E05F5" w:rsidRDefault="004B2F23" w:rsidP="006F1DD2">
            <w:pPr>
              <w:spacing w:before="20" w:after="20" w:line="240" w:lineRule="auto"/>
              <w:jc w:val="center"/>
              <w:rPr>
                <w:rFonts w:cs="Arial"/>
                <w:sz w:val="18"/>
                <w:szCs w:val="18"/>
              </w:rPr>
            </w:pPr>
          </w:p>
        </w:tc>
        <w:tc>
          <w:tcPr>
            <w:tcW w:w="2721" w:type="dxa"/>
            <w:gridSpan w:val="3"/>
            <w:tcBorders>
              <w:top w:val="nil"/>
              <w:left w:val="nil"/>
              <w:bottom w:val="nil"/>
              <w:right w:val="single" w:sz="4" w:space="0" w:color="auto"/>
            </w:tcBorders>
            <w:shd w:val="clear" w:color="000000" w:fill="B6DDE8"/>
            <w:noWrap/>
            <w:vAlign w:val="center"/>
            <w:hideMark/>
          </w:tcPr>
          <w:p w14:paraId="540C1CC3" w14:textId="77777777" w:rsidR="004B2F23" w:rsidRPr="001E05F5" w:rsidRDefault="004B2F23" w:rsidP="006F1DD2">
            <w:pPr>
              <w:spacing w:before="20" w:after="20" w:line="240" w:lineRule="auto"/>
              <w:jc w:val="center"/>
              <w:rPr>
                <w:rFonts w:cs="Arial"/>
                <w:sz w:val="18"/>
                <w:szCs w:val="18"/>
              </w:rPr>
            </w:pPr>
            <w:r w:rsidRPr="001E05F5">
              <w:rPr>
                <w:rFonts w:cs="Arial"/>
                <w:sz w:val="18"/>
                <w:szCs w:val="18"/>
              </w:rPr>
              <w:t>-0.15%</w:t>
            </w:r>
          </w:p>
        </w:tc>
      </w:tr>
      <w:tr w:rsidR="004B2F23" w:rsidRPr="001E05F5" w14:paraId="4864ECAA" w14:textId="77777777" w:rsidTr="006F1DD2">
        <w:tc>
          <w:tcPr>
            <w:tcW w:w="2424" w:type="dxa"/>
            <w:tcBorders>
              <w:top w:val="nil"/>
              <w:left w:val="single" w:sz="4" w:space="0" w:color="auto"/>
              <w:bottom w:val="single" w:sz="4" w:space="0" w:color="auto"/>
              <w:right w:val="single" w:sz="4" w:space="0" w:color="auto"/>
            </w:tcBorders>
            <w:shd w:val="clear" w:color="auto" w:fill="auto"/>
            <w:vAlign w:val="center"/>
            <w:hideMark/>
          </w:tcPr>
          <w:p w14:paraId="0AF02363" w14:textId="77777777" w:rsidR="004B2F23" w:rsidRPr="001E05F5" w:rsidRDefault="004B2F23" w:rsidP="00427A85">
            <w:pPr>
              <w:spacing w:before="40" w:after="40" w:line="240" w:lineRule="auto"/>
              <w:jc w:val="right"/>
              <w:rPr>
                <w:rFonts w:cs="Arial"/>
                <w:sz w:val="18"/>
                <w:szCs w:val="18"/>
              </w:rPr>
            </w:pPr>
            <w:r w:rsidRPr="001E05F5">
              <w:rPr>
                <w:rFonts w:cs="Arial"/>
                <w:sz w:val="18"/>
                <w:szCs w:val="18"/>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398A3726" w14:textId="77777777" w:rsidR="004B2F23" w:rsidRPr="001E05F5" w:rsidRDefault="004B2F23" w:rsidP="00427A85">
            <w:pPr>
              <w:spacing w:before="40" w:after="40" w:line="240" w:lineRule="auto"/>
              <w:rPr>
                <w:rFonts w:cs="Arial"/>
                <w:sz w:val="18"/>
                <w:szCs w:val="18"/>
              </w:rPr>
            </w:pPr>
          </w:p>
        </w:tc>
        <w:tc>
          <w:tcPr>
            <w:tcW w:w="907" w:type="dxa"/>
            <w:tcBorders>
              <w:top w:val="nil"/>
              <w:left w:val="nil"/>
              <w:bottom w:val="single" w:sz="4" w:space="0" w:color="auto"/>
              <w:right w:val="nil"/>
            </w:tcBorders>
            <w:shd w:val="clear" w:color="auto" w:fill="auto"/>
            <w:noWrap/>
            <w:vAlign w:val="center"/>
            <w:hideMark/>
          </w:tcPr>
          <w:p w14:paraId="067290C3" w14:textId="77777777" w:rsidR="004B2F23" w:rsidRPr="001E05F5" w:rsidRDefault="004B2F23" w:rsidP="00427A85">
            <w:pPr>
              <w:spacing w:before="40" w:after="40" w:line="240" w:lineRule="auto"/>
              <w:rPr>
                <w:rFonts w:cs="Arial"/>
                <w:sz w:val="18"/>
                <w:szCs w:val="18"/>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74284827" w14:textId="77777777" w:rsidR="004B2F23" w:rsidRPr="001E05F5" w:rsidRDefault="004B2F23" w:rsidP="006F1DD2">
            <w:pPr>
              <w:spacing w:before="40" w:after="40" w:line="240" w:lineRule="auto"/>
              <w:jc w:val="center"/>
              <w:rPr>
                <w:rFonts w:cs="Arial"/>
                <w:sz w:val="18"/>
                <w:szCs w:val="18"/>
              </w:rPr>
            </w:pPr>
            <w:r w:rsidRPr="001E05F5">
              <w:rPr>
                <w:rFonts w:cs="Arial"/>
                <w:sz w:val="18"/>
                <w:szCs w:val="18"/>
              </w:rPr>
              <w:t>-1.17%</w:t>
            </w:r>
          </w:p>
        </w:tc>
      </w:tr>
      <w:tr w:rsidR="0028187F" w:rsidRPr="001E05F5" w14:paraId="1B2DDA08" w14:textId="77777777" w:rsidTr="006F1DD2">
        <w:tc>
          <w:tcPr>
            <w:tcW w:w="2424" w:type="dxa"/>
            <w:tcBorders>
              <w:top w:val="single" w:sz="4" w:space="0" w:color="auto"/>
              <w:left w:val="single" w:sz="4" w:space="0" w:color="auto"/>
              <w:bottom w:val="nil"/>
              <w:right w:val="single" w:sz="4" w:space="0" w:color="auto"/>
            </w:tcBorders>
            <w:shd w:val="clear" w:color="auto" w:fill="auto"/>
            <w:noWrap/>
            <w:vAlign w:val="center"/>
            <w:hideMark/>
          </w:tcPr>
          <w:p w14:paraId="62D81032" w14:textId="77777777" w:rsidR="006A2D31" w:rsidRPr="001E05F5" w:rsidRDefault="006A2D31" w:rsidP="00427A85">
            <w:pPr>
              <w:spacing w:before="40" w:after="40" w:line="240" w:lineRule="auto"/>
              <w:rPr>
                <w:rFonts w:cs="Arial"/>
                <w:sz w:val="18"/>
                <w:szCs w:val="18"/>
              </w:rPr>
            </w:pPr>
            <w:r w:rsidRPr="001E05F5">
              <w:rPr>
                <w:rFonts w:cs="Arial"/>
                <w:sz w:val="18"/>
                <w:szCs w:val="18"/>
              </w:rPr>
              <w:t xml:space="preserve">Hartlepool </w:t>
            </w:r>
          </w:p>
        </w:tc>
        <w:tc>
          <w:tcPr>
            <w:tcW w:w="907" w:type="dxa"/>
            <w:tcBorders>
              <w:top w:val="single" w:sz="4" w:space="0" w:color="auto"/>
              <w:left w:val="single" w:sz="4" w:space="0" w:color="auto"/>
              <w:bottom w:val="nil"/>
              <w:right w:val="nil"/>
            </w:tcBorders>
            <w:shd w:val="clear" w:color="auto" w:fill="auto"/>
            <w:noWrap/>
            <w:vAlign w:val="center"/>
            <w:hideMark/>
          </w:tcPr>
          <w:p w14:paraId="15F23139" w14:textId="77777777" w:rsidR="006A2D31" w:rsidRPr="001E05F5" w:rsidRDefault="006A2D31" w:rsidP="00427A85">
            <w:pPr>
              <w:spacing w:before="40" w:after="40" w:line="240" w:lineRule="auto"/>
              <w:rPr>
                <w:rFonts w:cs="Arial"/>
                <w:sz w:val="18"/>
                <w:szCs w:val="18"/>
              </w:rPr>
            </w:pPr>
            <w:r w:rsidRPr="001E05F5">
              <w:rPr>
                <w:rFonts w:cs="Arial"/>
                <w:sz w:val="18"/>
                <w:szCs w:val="18"/>
              </w:rPr>
              <w:t>1.06</w:t>
            </w:r>
          </w:p>
        </w:tc>
        <w:tc>
          <w:tcPr>
            <w:tcW w:w="907" w:type="dxa"/>
            <w:tcBorders>
              <w:top w:val="single" w:sz="4" w:space="0" w:color="auto"/>
              <w:left w:val="nil"/>
              <w:bottom w:val="nil"/>
              <w:right w:val="nil"/>
            </w:tcBorders>
            <w:shd w:val="clear" w:color="auto" w:fill="auto"/>
            <w:noWrap/>
            <w:vAlign w:val="center"/>
            <w:hideMark/>
          </w:tcPr>
          <w:p w14:paraId="07571022" w14:textId="77777777" w:rsidR="006A2D31" w:rsidRPr="001E05F5" w:rsidRDefault="006A2D31" w:rsidP="00427A85">
            <w:pPr>
              <w:spacing w:before="40" w:after="40" w:line="240" w:lineRule="auto"/>
              <w:rPr>
                <w:rFonts w:cs="Arial"/>
                <w:sz w:val="18"/>
                <w:szCs w:val="18"/>
              </w:rPr>
            </w:pPr>
            <w:r w:rsidRPr="001E05F5">
              <w:rPr>
                <w:rFonts w:cs="Arial"/>
                <w:sz w:val="18"/>
                <w:szCs w:val="18"/>
              </w:rPr>
              <w:t>1.03</w:t>
            </w:r>
          </w:p>
        </w:tc>
        <w:tc>
          <w:tcPr>
            <w:tcW w:w="907" w:type="dxa"/>
            <w:tcBorders>
              <w:top w:val="single" w:sz="4" w:space="0" w:color="auto"/>
              <w:left w:val="nil"/>
              <w:bottom w:val="nil"/>
              <w:right w:val="nil"/>
            </w:tcBorders>
            <w:shd w:val="clear" w:color="auto" w:fill="auto"/>
            <w:noWrap/>
            <w:vAlign w:val="center"/>
            <w:hideMark/>
          </w:tcPr>
          <w:p w14:paraId="32129336" w14:textId="77777777" w:rsidR="006A2D31" w:rsidRPr="001E05F5" w:rsidRDefault="006A2D31" w:rsidP="00427A85">
            <w:pPr>
              <w:spacing w:before="40" w:after="40" w:line="240" w:lineRule="auto"/>
              <w:rPr>
                <w:rFonts w:cs="Arial"/>
                <w:sz w:val="18"/>
                <w:szCs w:val="18"/>
              </w:rPr>
            </w:pPr>
            <w:r w:rsidRPr="001E05F5">
              <w:rPr>
                <w:rFonts w:cs="Arial"/>
                <w:sz w:val="18"/>
                <w:szCs w:val="18"/>
              </w:rPr>
              <w:t>1.01</w:t>
            </w:r>
          </w:p>
        </w:tc>
        <w:tc>
          <w:tcPr>
            <w:tcW w:w="907" w:type="dxa"/>
            <w:tcBorders>
              <w:top w:val="single" w:sz="4" w:space="0" w:color="auto"/>
              <w:left w:val="nil"/>
              <w:bottom w:val="nil"/>
              <w:right w:val="nil"/>
            </w:tcBorders>
            <w:shd w:val="clear" w:color="auto" w:fill="auto"/>
            <w:noWrap/>
            <w:vAlign w:val="center"/>
            <w:hideMark/>
          </w:tcPr>
          <w:p w14:paraId="0DA65490" w14:textId="77777777" w:rsidR="006A2D31" w:rsidRPr="001E05F5" w:rsidRDefault="006A2D31" w:rsidP="00427A85">
            <w:pPr>
              <w:spacing w:before="40" w:after="40" w:line="240" w:lineRule="auto"/>
              <w:rPr>
                <w:rFonts w:cs="Arial"/>
                <w:sz w:val="18"/>
                <w:szCs w:val="18"/>
              </w:rPr>
            </w:pPr>
            <w:r w:rsidRPr="001E05F5">
              <w:rPr>
                <w:rFonts w:cs="Arial"/>
                <w:sz w:val="18"/>
                <w:szCs w:val="18"/>
              </w:rPr>
              <w:t>1.05</w:t>
            </w:r>
          </w:p>
        </w:tc>
        <w:tc>
          <w:tcPr>
            <w:tcW w:w="907" w:type="dxa"/>
            <w:tcBorders>
              <w:top w:val="single" w:sz="4" w:space="0" w:color="auto"/>
              <w:left w:val="nil"/>
              <w:bottom w:val="nil"/>
              <w:right w:val="nil"/>
            </w:tcBorders>
            <w:shd w:val="clear" w:color="auto" w:fill="auto"/>
            <w:noWrap/>
            <w:vAlign w:val="center"/>
            <w:hideMark/>
          </w:tcPr>
          <w:p w14:paraId="4106D8E7" w14:textId="77777777" w:rsidR="006A2D31" w:rsidRPr="001E05F5" w:rsidRDefault="006A2D31" w:rsidP="00427A85">
            <w:pPr>
              <w:spacing w:before="40" w:after="40" w:line="240" w:lineRule="auto"/>
              <w:rPr>
                <w:rFonts w:cs="Arial"/>
                <w:sz w:val="18"/>
                <w:szCs w:val="18"/>
              </w:rPr>
            </w:pPr>
            <w:r w:rsidRPr="001E05F5">
              <w:rPr>
                <w:rFonts w:cs="Arial"/>
                <w:sz w:val="18"/>
                <w:szCs w:val="18"/>
              </w:rPr>
              <w:t>1.01</w:t>
            </w:r>
          </w:p>
        </w:tc>
        <w:tc>
          <w:tcPr>
            <w:tcW w:w="907" w:type="dxa"/>
            <w:tcBorders>
              <w:top w:val="single" w:sz="4" w:space="0" w:color="auto"/>
              <w:left w:val="nil"/>
              <w:bottom w:val="nil"/>
              <w:right w:val="nil"/>
            </w:tcBorders>
            <w:shd w:val="clear" w:color="auto" w:fill="auto"/>
            <w:noWrap/>
            <w:vAlign w:val="center"/>
            <w:hideMark/>
          </w:tcPr>
          <w:p w14:paraId="3EBBDF6C" w14:textId="77777777" w:rsidR="006A2D31" w:rsidRPr="001E05F5" w:rsidRDefault="006A2D31" w:rsidP="00427A85">
            <w:pPr>
              <w:spacing w:before="40" w:after="40" w:line="240" w:lineRule="auto"/>
              <w:rPr>
                <w:rFonts w:cs="Arial"/>
                <w:sz w:val="18"/>
                <w:szCs w:val="18"/>
              </w:rPr>
            </w:pPr>
            <w:r w:rsidRPr="001E05F5">
              <w:rPr>
                <w:rFonts w:cs="Arial"/>
                <w:sz w:val="18"/>
                <w:szCs w:val="18"/>
              </w:rPr>
              <w:t>1.00</w:t>
            </w:r>
          </w:p>
        </w:tc>
        <w:tc>
          <w:tcPr>
            <w:tcW w:w="907" w:type="dxa"/>
            <w:tcBorders>
              <w:top w:val="single" w:sz="4" w:space="0" w:color="auto"/>
              <w:left w:val="nil"/>
              <w:bottom w:val="nil"/>
              <w:right w:val="single" w:sz="4" w:space="0" w:color="auto"/>
            </w:tcBorders>
            <w:shd w:val="clear" w:color="auto" w:fill="auto"/>
            <w:noWrap/>
            <w:vAlign w:val="center"/>
            <w:hideMark/>
          </w:tcPr>
          <w:p w14:paraId="48771357" w14:textId="77777777" w:rsidR="006A2D31" w:rsidRPr="001E05F5" w:rsidRDefault="006A2D31" w:rsidP="00427A85">
            <w:pPr>
              <w:spacing w:before="40" w:after="40" w:line="240" w:lineRule="auto"/>
              <w:rPr>
                <w:rFonts w:cs="Arial"/>
                <w:sz w:val="18"/>
                <w:szCs w:val="18"/>
              </w:rPr>
            </w:pPr>
            <w:r w:rsidRPr="001E05F5">
              <w:rPr>
                <w:rFonts w:cs="Arial"/>
                <w:sz w:val="18"/>
                <w:szCs w:val="18"/>
              </w:rPr>
              <w:t>0.99</w:t>
            </w:r>
          </w:p>
        </w:tc>
      </w:tr>
      <w:tr w:rsidR="00E46111" w:rsidRPr="001E05F5" w14:paraId="2DE776C4" w14:textId="77777777" w:rsidTr="006F1DD2">
        <w:tc>
          <w:tcPr>
            <w:tcW w:w="2424" w:type="dxa"/>
            <w:tcBorders>
              <w:top w:val="nil"/>
              <w:left w:val="single" w:sz="4" w:space="0" w:color="auto"/>
              <w:bottom w:val="nil"/>
              <w:right w:val="single" w:sz="4" w:space="0" w:color="auto"/>
            </w:tcBorders>
            <w:shd w:val="clear" w:color="auto" w:fill="auto"/>
            <w:vAlign w:val="center"/>
            <w:hideMark/>
          </w:tcPr>
          <w:p w14:paraId="49122E30" w14:textId="77777777" w:rsidR="00E46111" w:rsidRPr="001E05F5" w:rsidRDefault="00E46111" w:rsidP="006F1DD2">
            <w:pPr>
              <w:spacing w:before="20" w:after="20" w:line="240" w:lineRule="auto"/>
              <w:jc w:val="right"/>
              <w:rPr>
                <w:rFonts w:cs="Arial"/>
                <w:sz w:val="18"/>
                <w:szCs w:val="18"/>
              </w:rPr>
            </w:pPr>
            <w:r w:rsidRPr="001E05F5">
              <w:rPr>
                <w:rFonts w:cs="Arial"/>
                <w:sz w:val="18"/>
                <w:szCs w:val="18"/>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5982B3A3" w14:textId="77777777" w:rsidR="00E46111" w:rsidRPr="001E05F5" w:rsidRDefault="00E46111"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06326A02" w14:textId="77777777" w:rsidR="00E46111" w:rsidRPr="001E05F5" w:rsidRDefault="00E46111"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57197085" w14:textId="77777777" w:rsidR="00E46111" w:rsidRPr="001E05F5" w:rsidRDefault="00E46111" w:rsidP="006F1DD2">
            <w:pPr>
              <w:spacing w:before="20" w:after="20" w:line="240" w:lineRule="auto"/>
              <w:jc w:val="center"/>
              <w:rPr>
                <w:rFonts w:cs="Arial"/>
                <w:sz w:val="18"/>
                <w:szCs w:val="18"/>
              </w:rPr>
            </w:pPr>
          </w:p>
        </w:tc>
        <w:tc>
          <w:tcPr>
            <w:tcW w:w="907" w:type="dxa"/>
            <w:tcBorders>
              <w:top w:val="nil"/>
              <w:left w:val="nil"/>
              <w:bottom w:val="nil"/>
              <w:right w:val="nil"/>
            </w:tcBorders>
            <w:shd w:val="clear" w:color="auto" w:fill="auto"/>
            <w:noWrap/>
            <w:vAlign w:val="center"/>
            <w:hideMark/>
          </w:tcPr>
          <w:p w14:paraId="05FE7516" w14:textId="77777777" w:rsidR="00E46111" w:rsidRPr="001E05F5" w:rsidRDefault="00E46111" w:rsidP="006F1DD2">
            <w:pPr>
              <w:spacing w:before="20" w:after="20" w:line="240" w:lineRule="auto"/>
              <w:jc w:val="center"/>
              <w:rPr>
                <w:rFonts w:cs="Arial"/>
                <w:sz w:val="18"/>
                <w:szCs w:val="18"/>
              </w:rPr>
            </w:pPr>
          </w:p>
        </w:tc>
        <w:tc>
          <w:tcPr>
            <w:tcW w:w="2721" w:type="dxa"/>
            <w:gridSpan w:val="3"/>
            <w:tcBorders>
              <w:top w:val="nil"/>
              <w:left w:val="nil"/>
              <w:bottom w:val="nil"/>
              <w:right w:val="single" w:sz="4" w:space="0" w:color="auto"/>
            </w:tcBorders>
            <w:shd w:val="clear" w:color="000000" w:fill="B6DDE8"/>
            <w:noWrap/>
            <w:vAlign w:val="center"/>
            <w:hideMark/>
          </w:tcPr>
          <w:p w14:paraId="0DDE8D82" w14:textId="77777777" w:rsidR="00E46111" w:rsidRPr="001E05F5" w:rsidRDefault="00E46111" w:rsidP="006F1DD2">
            <w:pPr>
              <w:spacing w:before="20" w:after="20" w:line="240" w:lineRule="auto"/>
              <w:jc w:val="center"/>
              <w:rPr>
                <w:rFonts w:cs="Arial"/>
                <w:sz w:val="18"/>
                <w:szCs w:val="18"/>
              </w:rPr>
            </w:pPr>
            <w:r w:rsidRPr="001E05F5">
              <w:rPr>
                <w:rFonts w:cs="Arial"/>
                <w:sz w:val="18"/>
                <w:szCs w:val="18"/>
              </w:rPr>
              <w:t>-0.70%</w:t>
            </w:r>
          </w:p>
        </w:tc>
      </w:tr>
      <w:tr w:rsidR="00E46111" w:rsidRPr="001E05F5" w14:paraId="5561AED7" w14:textId="77777777" w:rsidTr="006F1DD2">
        <w:tc>
          <w:tcPr>
            <w:tcW w:w="2424" w:type="dxa"/>
            <w:tcBorders>
              <w:top w:val="nil"/>
              <w:left w:val="single" w:sz="4" w:space="0" w:color="auto"/>
              <w:bottom w:val="single" w:sz="4" w:space="0" w:color="auto"/>
              <w:right w:val="single" w:sz="4" w:space="0" w:color="auto"/>
            </w:tcBorders>
            <w:shd w:val="clear" w:color="auto" w:fill="auto"/>
            <w:vAlign w:val="center"/>
            <w:hideMark/>
          </w:tcPr>
          <w:p w14:paraId="23C3FC12" w14:textId="77777777" w:rsidR="00E46111" w:rsidRPr="001E05F5" w:rsidRDefault="00E46111" w:rsidP="00427A85">
            <w:pPr>
              <w:spacing w:before="40" w:after="40" w:line="240" w:lineRule="auto"/>
              <w:jc w:val="right"/>
              <w:rPr>
                <w:rFonts w:cs="Arial"/>
                <w:sz w:val="18"/>
                <w:szCs w:val="18"/>
              </w:rPr>
            </w:pPr>
            <w:r w:rsidRPr="001E05F5">
              <w:rPr>
                <w:rFonts w:cs="Arial"/>
                <w:sz w:val="18"/>
                <w:szCs w:val="18"/>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30AA013A" w14:textId="77777777" w:rsidR="00E46111" w:rsidRPr="001E05F5" w:rsidRDefault="00E46111" w:rsidP="00427A85">
            <w:pPr>
              <w:spacing w:before="40" w:after="40" w:line="240" w:lineRule="auto"/>
              <w:rPr>
                <w:rFonts w:cs="Arial"/>
                <w:sz w:val="18"/>
                <w:szCs w:val="18"/>
              </w:rPr>
            </w:pPr>
          </w:p>
        </w:tc>
        <w:tc>
          <w:tcPr>
            <w:tcW w:w="907" w:type="dxa"/>
            <w:tcBorders>
              <w:top w:val="nil"/>
              <w:left w:val="nil"/>
              <w:bottom w:val="single" w:sz="4" w:space="0" w:color="auto"/>
              <w:right w:val="nil"/>
            </w:tcBorders>
            <w:shd w:val="clear" w:color="auto" w:fill="auto"/>
            <w:noWrap/>
            <w:vAlign w:val="center"/>
            <w:hideMark/>
          </w:tcPr>
          <w:p w14:paraId="04FDDAE0" w14:textId="77777777" w:rsidR="00E46111" w:rsidRPr="001E05F5" w:rsidRDefault="00E46111" w:rsidP="00427A85">
            <w:pPr>
              <w:spacing w:before="40" w:after="40" w:line="240" w:lineRule="auto"/>
              <w:rPr>
                <w:rFonts w:cs="Arial"/>
                <w:sz w:val="18"/>
                <w:szCs w:val="18"/>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19C27DD2" w14:textId="77777777" w:rsidR="00E46111" w:rsidRPr="001E05F5" w:rsidRDefault="00E46111" w:rsidP="006F1DD2">
            <w:pPr>
              <w:spacing w:before="40" w:after="40" w:line="240" w:lineRule="auto"/>
              <w:jc w:val="center"/>
              <w:rPr>
                <w:rFonts w:cs="Arial"/>
                <w:sz w:val="18"/>
                <w:szCs w:val="18"/>
              </w:rPr>
            </w:pPr>
            <w:r w:rsidRPr="001E05F5">
              <w:rPr>
                <w:rFonts w:cs="Arial"/>
                <w:sz w:val="18"/>
                <w:szCs w:val="18"/>
              </w:rPr>
              <w:t>-0.52%</w:t>
            </w:r>
          </w:p>
        </w:tc>
      </w:tr>
      <w:tr w:rsidR="0028187F" w:rsidRPr="001E05F5" w14:paraId="2FE6EE3B" w14:textId="77777777" w:rsidTr="006F1DD2">
        <w:tc>
          <w:tcPr>
            <w:tcW w:w="2424" w:type="dxa"/>
            <w:tcBorders>
              <w:top w:val="single" w:sz="4" w:space="0" w:color="auto"/>
              <w:left w:val="single" w:sz="4" w:space="0" w:color="auto"/>
              <w:bottom w:val="nil"/>
              <w:right w:val="single" w:sz="4" w:space="0" w:color="auto"/>
            </w:tcBorders>
            <w:shd w:val="clear" w:color="auto" w:fill="auto"/>
            <w:noWrap/>
            <w:vAlign w:val="center"/>
            <w:hideMark/>
          </w:tcPr>
          <w:p w14:paraId="1F7D47DF" w14:textId="77777777" w:rsidR="006A2D31" w:rsidRPr="001E05F5" w:rsidRDefault="006A2D31" w:rsidP="00427A85">
            <w:pPr>
              <w:spacing w:before="40" w:after="40" w:line="240" w:lineRule="auto"/>
              <w:rPr>
                <w:rFonts w:cs="Arial"/>
                <w:sz w:val="18"/>
                <w:szCs w:val="18"/>
              </w:rPr>
            </w:pPr>
            <w:r w:rsidRPr="001E05F5">
              <w:rPr>
                <w:rFonts w:cs="Arial"/>
                <w:sz w:val="18"/>
                <w:szCs w:val="18"/>
              </w:rPr>
              <w:t xml:space="preserve">Middlesbrough </w:t>
            </w:r>
          </w:p>
        </w:tc>
        <w:tc>
          <w:tcPr>
            <w:tcW w:w="907" w:type="dxa"/>
            <w:tcBorders>
              <w:top w:val="single" w:sz="4" w:space="0" w:color="auto"/>
              <w:left w:val="single" w:sz="4" w:space="0" w:color="auto"/>
              <w:bottom w:val="nil"/>
              <w:right w:val="nil"/>
            </w:tcBorders>
            <w:shd w:val="clear" w:color="auto" w:fill="auto"/>
            <w:noWrap/>
            <w:vAlign w:val="center"/>
            <w:hideMark/>
          </w:tcPr>
          <w:p w14:paraId="243B00B8" w14:textId="77777777" w:rsidR="006A2D31" w:rsidRPr="001E05F5" w:rsidRDefault="006A2D31" w:rsidP="00427A85">
            <w:pPr>
              <w:spacing w:before="40" w:after="40" w:line="240" w:lineRule="auto"/>
              <w:rPr>
                <w:rFonts w:cs="Arial"/>
                <w:sz w:val="18"/>
                <w:szCs w:val="18"/>
              </w:rPr>
            </w:pPr>
            <w:r w:rsidRPr="001E05F5">
              <w:rPr>
                <w:rFonts w:cs="Arial"/>
                <w:sz w:val="18"/>
                <w:szCs w:val="18"/>
              </w:rPr>
              <w:t>1.09</w:t>
            </w:r>
          </w:p>
        </w:tc>
        <w:tc>
          <w:tcPr>
            <w:tcW w:w="907" w:type="dxa"/>
            <w:tcBorders>
              <w:top w:val="single" w:sz="4" w:space="0" w:color="auto"/>
              <w:left w:val="nil"/>
              <w:bottom w:val="nil"/>
              <w:right w:val="nil"/>
            </w:tcBorders>
            <w:shd w:val="clear" w:color="auto" w:fill="auto"/>
            <w:noWrap/>
            <w:vAlign w:val="center"/>
            <w:hideMark/>
          </w:tcPr>
          <w:p w14:paraId="069749FF" w14:textId="77777777" w:rsidR="006A2D31" w:rsidRPr="001E05F5" w:rsidRDefault="006A2D31" w:rsidP="00427A85">
            <w:pPr>
              <w:spacing w:before="40" w:after="40" w:line="240" w:lineRule="auto"/>
              <w:rPr>
                <w:rFonts w:cs="Arial"/>
                <w:sz w:val="18"/>
                <w:szCs w:val="18"/>
              </w:rPr>
            </w:pPr>
            <w:r w:rsidRPr="001E05F5">
              <w:rPr>
                <w:rFonts w:cs="Arial"/>
                <w:sz w:val="18"/>
                <w:szCs w:val="18"/>
              </w:rPr>
              <w:t>1.04</w:t>
            </w:r>
          </w:p>
        </w:tc>
        <w:tc>
          <w:tcPr>
            <w:tcW w:w="907" w:type="dxa"/>
            <w:tcBorders>
              <w:top w:val="single" w:sz="4" w:space="0" w:color="auto"/>
              <w:left w:val="nil"/>
              <w:bottom w:val="nil"/>
              <w:right w:val="nil"/>
            </w:tcBorders>
            <w:shd w:val="clear" w:color="auto" w:fill="auto"/>
            <w:noWrap/>
            <w:vAlign w:val="center"/>
            <w:hideMark/>
          </w:tcPr>
          <w:p w14:paraId="74FE631F" w14:textId="77777777" w:rsidR="006A2D31" w:rsidRPr="001E05F5" w:rsidRDefault="006A2D31" w:rsidP="00427A85">
            <w:pPr>
              <w:spacing w:before="40" w:after="40" w:line="240" w:lineRule="auto"/>
              <w:rPr>
                <w:rFonts w:cs="Arial"/>
                <w:sz w:val="18"/>
                <w:szCs w:val="18"/>
              </w:rPr>
            </w:pPr>
            <w:r w:rsidRPr="001E05F5">
              <w:rPr>
                <w:rFonts w:cs="Arial"/>
                <w:sz w:val="18"/>
                <w:szCs w:val="18"/>
              </w:rPr>
              <w:t>1.00</w:t>
            </w:r>
          </w:p>
        </w:tc>
        <w:tc>
          <w:tcPr>
            <w:tcW w:w="907" w:type="dxa"/>
            <w:tcBorders>
              <w:top w:val="single" w:sz="4" w:space="0" w:color="auto"/>
              <w:left w:val="nil"/>
              <w:bottom w:val="nil"/>
              <w:right w:val="nil"/>
            </w:tcBorders>
            <w:shd w:val="clear" w:color="auto" w:fill="auto"/>
            <w:noWrap/>
            <w:vAlign w:val="center"/>
            <w:hideMark/>
          </w:tcPr>
          <w:p w14:paraId="5E2D91E6" w14:textId="77777777" w:rsidR="006A2D31" w:rsidRPr="001E05F5" w:rsidRDefault="006A2D31" w:rsidP="00427A85">
            <w:pPr>
              <w:spacing w:before="40" w:after="40" w:line="240" w:lineRule="auto"/>
              <w:rPr>
                <w:rFonts w:cs="Arial"/>
                <w:sz w:val="18"/>
                <w:szCs w:val="18"/>
              </w:rPr>
            </w:pPr>
            <w:r w:rsidRPr="001E05F5">
              <w:rPr>
                <w:rFonts w:cs="Arial"/>
                <w:sz w:val="18"/>
                <w:szCs w:val="18"/>
              </w:rPr>
              <w:t>0.97</w:t>
            </w:r>
          </w:p>
        </w:tc>
        <w:tc>
          <w:tcPr>
            <w:tcW w:w="907" w:type="dxa"/>
            <w:tcBorders>
              <w:top w:val="single" w:sz="4" w:space="0" w:color="auto"/>
              <w:left w:val="nil"/>
              <w:bottom w:val="nil"/>
              <w:right w:val="nil"/>
            </w:tcBorders>
            <w:shd w:val="clear" w:color="auto" w:fill="auto"/>
            <w:noWrap/>
            <w:vAlign w:val="center"/>
            <w:hideMark/>
          </w:tcPr>
          <w:p w14:paraId="1543054A" w14:textId="77777777" w:rsidR="006A2D31" w:rsidRPr="001E05F5" w:rsidRDefault="006A2D31" w:rsidP="00427A85">
            <w:pPr>
              <w:spacing w:before="40" w:after="40" w:line="240" w:lineRule="auto"/>
              <w:rPr>
                <w:rFonts w:cs="Arial"/>
                <w:sz w:val="18"/>
                <w:szCs w:val="18"/>
              </w:rPr>
            </w:pPr>
            <w:r w:rsidRPr="001E05F5">
              <w:rPr>
                <w:rFonts w:cs="Arial"/>
                <w:sz w:val="18"/>
                <w:szCs w:val="18"/>
              </w:rPr>
              <w:t>0.97</w:t>
            </w:r>
          </w:p>
        </w:tc>
        <w:tc>
          <w:tcPr>
            <w:tcW w:w="907" w:type="dxa"/>
            <w:tcBorders>
              <w:top w:val="single" w:sz="4" w:space="0" w:color="auto"/>
              <w:left w:val="nil"/>
              <w:bottom w:val="nil"/>
              <w:right w:val="nil"/>
            </w:tcBorders>
            <w:shd w:val="clear" w:color="auto" w:fill="auto"/>
            <w:noWrap/>
            <w:vAlign w:val="center"/>
            <w:hideMark/>
          </w:tcPr>
          <w:p w14:paraId="472EAE77" w14:textId="77777777" w:rsidR="006A2D31" w:rsidRPr="001E05F5" w:rsidRDefault="006A2D31" w:rsidP="00427A85">
            <w:pPr>
              <w:spacing w:before="40" w:after="40" w:line="240" w:lineRule="auto"/>
              <w:rPr>
                <w:rFonts w:cs="Arial"/>
                <w:sz w:val="18"/>
                <w:szCs w:val="18"/>
              </w:rPr>
            </w:pPr>
            <w:r w:rsidRPr="001E05F5">
              <w:rPr>
                <w:rFonts w:cs="Arial"/>
                <w:sz w:val="18"/>
                <w:szCs w:val="18"/>
              </w:rPr>
              <w:t>0.98</w:t>
            </w:r>
          </w:p>
        </w:tc>
        <w:tc>
          <w:tcPr>
            <w:tcW w:w="907" w:type="dxa"/>
            <w:tcBorders>
              <w:top w:val="single" w:sz="4" w:space="0" w:color="auto"/>
              <w:left w:val="nil"/>
              <w:bottom w:val="nil"/>
              <w:right w:val="single" w:sz="4" w:space="0" w:color="auto"/>
            </w:tcBorders>
            <w:shd w:val="clear" w:color="auto" w:fill="auto"/>
            <w:noWrap/>
            <w:vAlign w:val="center"/>
            <w:hideMark/>
          </w:tcPr>
          <w:p w14:paraId="64E7E91D" w14:textId="77777777" w:rsidR="006A2D31" w:rsidRPr="001E05F5" w:rsidRDefault="006A2D31" w:rsidP="00427A85">
            <w:pPr>
              <w:spacing w:before="40" w:after="40" w:line="240" w:lineRule="auto"/>
              <w:rPr>
                <w:rFonts w:cs="Arial"/>
                <w:sz w:val="18"/>
                <w:szCs w:val="18"/>
              </w:rPr>
            </w:pPr>
            <w:r w:rsidRPr="001E05F5">
              <w:rPr>
                <w:rFonts w:cs="Arial"/>
                <w:sz w:val="18"/>
                <w:szCs w:val="18"/>
              </w:rPr>
              <w:t>1.02</w:t>
            </w:r>
          </w:p>
        </w:tc>
      </w:tr>
      <w:tr w:rsidR="00E46111" w:rsidRPr="001E05F5" w14:paraId="02037DD5" w14:textId="77777777" w:rsidTr="006F1DD2">
        <w:tc>
          <w:tcPr>
            <w:tcW w:w="2424" w:type="dxa"/>
            <w:tcBorders>
              <w:top w:val="nil"/>
              <w:left w:val="single" w:sz="4" w:space="0" w:color="auto"/>
              <w:bottom w:val="nil"/>
              <w:right w:val="single" w:sz="4" w:space="0" w:color="auto"/>
            </w:tcBorders>
            <w:shd w:val="clear" w:color="auto" w:fill="auto"/>
            <w:vAlign w:val="center"/>
            <w:hideMark/>
          </w:tcPr>
          <w:p w14:paraId="494E081A" w14:textId="77777777" w:rsidR="00E46111" w:rsidRPr="001E05F5" w:rsidRDefault="00E46111" w:rsidP="006F1DD2">
            <w:pPr>
              <w:spacing w:before="20" w:after="20" w:line="240" w:lineRule="auto"/>
              <w:jc w:val="right"/>
              <w:rPr>
                <w:rFonts w:cs="Arial"/>
                <w:sz w:val="18"/>
                <w:szCs w:val="18"/>
              </w:rPr>
            </w:pPr>
            <w:r w:rsidRPr="001E05F5">
              <w:rPr>
                <w:rFonts w:cs="Arial"/>
                <w:sz w:val="18"/>
                <w:szCs w:val="18"/>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5199AFE6" w14:textId="77777777" w:rsidR="00E46111" w:rsidRPr="001E05F5" w:rsidRDefault="00E46111"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0FFDFE52" w14:textId="77777777" w:rsidR="00E46111" w:rsidRPr="001E05F5" w:rsidRDefault="00E46111"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1E125B9E" w14:textId="77777777" w:rsidR="00E46111" w:rsidRPr="001E05F5" w:rsidRDefault="00E46111" w:rsidP="006F1DD2">
            <w:pPr>
              <w:spacing w:before="20" w:after="20" w:line="240" w:lineRule="auto"/>
              <w:jc w:val="center"/>
              <w:rPr>
                <w:rFonts w:cs="Arial"/>
                <w:sz w:val="18"/>
                <w:szCs w:val="18"/>
              </w:rPr>
            </w:pPr>
          </w:p>
        </w:tc>
        <w:tc>
          <w:tcPr>
            <w:tcW w:w="907" w:type="dxa"/>
            <w:tcBorders>
              <w:top w:val="nil"/>
              <w:left w:val="nil"/>
              <w:bottom w:val="nil"/>
              <w:right w:val="nil"/>
            </w:tcBorders>
            <w:shd w:val="clear" w:color="auto" w:fill="auto"/>
            <w:noWrap/>
            <w:vAlign w:val="center"/>
            <w:hideMark/>
          </w:tcPr>
          <w:p w14:paraId="41518F58" w14:textId="77777777" w:rsidR="00E46111" w:rsidRPr="001E05F5" w:rsidRDefault="00E46111" w:rsidP="006F1DD2">
            <w:pPr>
              <w:spacing w:before="20" w:after="20" w:line="240" w:lineRule="auto"/>
              <w:jc w:val="center"/>
              <w:rPr>
                <w:rFonts w:cs="Arial"/>
                <w:sz w:val="18"/>
                <w:szCs w:val="18"/>
              </w:rPr>
            </w:pPr>
          </w:p>
        </w:tc>
        <w:tc>
          <w:tcPr>
            <w:tcW w:w="2721" w:type="dxa"/>
            <w:gridSpan w:val="3"/>
            <w:tcBorders>
              <w:top w:val="nil"/>
              <w:left w:val="nil"/>
              <w:bottom w:val="nil"/>
              <w:right w:val="single" w:sz="4" w:space="0" w:color="auto"/>
            </w:tcBorders>
            <w:shd w:val="clear" w:color="000000" w:fill="B6DDE8"/>
            <w:noWrap/>
            <w:vAlign w:val="center"/>
            <w:hideMark/>
          </w:tcPr>
          <w:p w14:paraId="70F4FFBA" w14:textId="77777777" w:rsidR="00E46111" w:rsidRPr="001E05F5" w:rsidRDefault="00E46111" w:rsidP="006F1DD2">
            <w:pPr>
              <w:spacing w:before="20" w:after="20" w:line="240" w:lineRule="auto"/>
              <w:jc w:val="center"/>
              <w:rPr>
                <w:rFonts w:cs="Arial"/>
                <w:sz w:val="18"/>
                <w:szCs w:val="18"/>
              </w:rPr>
            </w:pPr>
            <w:r w:rsidRPr="001E05F5">
              <w:rPr>
                <w:rFonts w:cs="Arial"/>
                <w:sz w:val="18"/>
                <w:szCs w:val="18"/>
              </w:rPr>
              <w:t>2.96%</w:t>
            </w:r>
          </w:p>
        </w:tc>
      </w:tr>
      <w:tr w:rsidR="00E46111" w:rsidRPr="001E05F5" w14:paraId="11EE024A" w14:textId="77777777" w:rsidTr="006F1DD2">
        <w:tc>
          <w:tcPr>
            <w:tcW w:w="2424" w:type="dxa"/>
            <w:tcBorders>
              <w:top w:val="nil"/>
              <w:left w:val="single" w:sz="4" w:space="0" w:color="auto"/>
              <w:bottom w:val="single" w:sz="4" w:space="0" w:color="auto"/>
              <w:right w:val="single" w:sz="4" w:space="0" w:color="auto"/>
            </w:tcBorders>
            <w:shd w:val="clear" w:color="auto" w:fill="auto"/>
            <w:vAlign w:val="center"/>
            <w:hideMark/>
          </w:tcPr>
          <w:p w14:paraId="5AFF0036" w14:textId="77777777" w:rsidR="00E46111" w:rsidRPr="001E05F5" w:rsidRDefault="00E46111" w:rsidP="00427A85">
            <w:pPr>
              <w:spacing w:before="40" w:after="40" w:line="240" w:lineRule="auto"/>
              <w:jc w:val="right"/>
              <w:rPr>
                <w:rFonts w:cs="Arial"/>
                <w:sz w:val="18"/>
                <w:szCs w:val="18"/>
              </w:rPr>
            </w:pPr>
            <w:r w:rsidRPr="001E05F5">
              <w:rPr>
                <w:rFonts w:cs="Arial"/>
                <w:sz w:val="18"/>
                <w:szCs w:val="18"/>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03B7FB6E" w14:textId="77777777" w:rsidR="00E46111" w:rsidRPr="001E05F5" w:rsidRDefault="00E46111" w:rsidP="00427A85">
            <w:pPr>
              <w:spacing w:before="40" w:after="40" w:line="240" w:lineRule="auto"/>
              <w:rPr>
                <w:rFonts w:cs="Arial"/>
                <w:sz w:val="18"/>
                <w:szCs w:val="18"/>
              </w:rPr>
            </w:pPr>
          </w:p>
        </w:tc>
        <w:tc>
          <w:tcPr>
            <w:tcW w:w="907" w:type="dxa"/>
            <w:tcBorders>
              <w:top w:val="nil"/>
              <w:left w:val="nil"/>
              <w:bottom w:val="single" w:sz="4" w:space="0" w:color="auto"/>
              <w:right w:val="nil"/>
            </w:tcBorders>
            <w:shd w:val="clear" w:color="auto" w:fill="auto"/>
            <w:noWrap/>
            <w:vAlign w:val="center"/>
            <w:hideMark/>
          </w:tcPr>
          <w:p w14:paraId="44354CFA" w14:textId="77777777" w:rsidR="00E46111" w:rsidRPr="001E05F5" w:rsidRDefault="00E46111" w:rsidP="00427A85">
            <w:pPr>
              <w:spacing w:before="40" w:after="40" w:line="240" w:lineRule="auto"/>
              <w:rPr>
                <w:rFonts w:cs="Arial"/>
                <w:sz w:val="18"/>
                <w:szCs w:val="18"/>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4BD6FE7E" w14:textId="77777777" w:rsidR="00E46111" w:rsidRPr="001E05F5" w:rsidRDefault="00E46111" w:rsidP="006F1DD2">
            <w:pPr>
              <w:spacing w:before="40" w:after="40" w:line="240" w:lineRule="auto"/>
              <w:jc w:val="center"/>
              <w:rPr>
                <w:rFonts w:cs="Arial"/>
                <w:sz w:val="18"/>
                <w:szCs w:val="18"/>
              </w:rPr>
            </w:pPr>
            <w:r w:rsidRPr="001E05F5">
              <w:rPr>
                <w:rFonts w:cs="Arial"/>
                <w:sz w:val="18"/>
                <w:szCs w:val="18"/>
              </w:rPr>
              <w:t>0.55%</w:t>
            </w:r>
          </w:p>
        </w:tc>
      </w:tr>
      <w:tr w:rsidR="0028187F" w:rsidRPr="001E05F5" w14:paraId="463B05DD" w14:textId="77777777" w:rsidTr="006F1DD2">
        <w:tc>
          <w:tcPr>
            <w:tcW w:w="2424" w:type="dxa"/>
            <w:tcBorders>
              <w:top w:val="single" w:sz="4" w:space="0" w:color="auto"/>
              <w:left w:val="single" w:sz="4" w:space="0" w:color="auto"/>
              <w:bottom w:val="nil"/>
              <w:right w:val="single" w:sz="4" w:space="0" w:color="auto"/>
            </w:tcBorders>
            <w:shd w:val="clear" w:color="auto" w:fill="auto"/>
            <w:noWrap/>
            <w:vAlign w:val="center"/>
            <w:hideMark/>
          </w:tcPr>
          <w:p w14:paraId="72DA948A" w14:textId="77777777" w:rsidR="006A2D31" w:rsidRPr="001E05F5" w:rsidRDefault="006A2D31" w:rsidP="00427A85">
            <w:pPr>
              <w:spacing w:before="40" w:after="40" w:line="240" w:lineRule="auto"/>
              <w:rPr>
                <w:rFonts w:cs="Arial"/>
                <w:sz w:val="18"/>
                <w:szCs w:val="18"/>
              </w:rPr>
            </w:pPr>
            <w:r w:rsidRPr="001E05F5">
              <w:rPr>
                <w:rFonts w:cs="Arial"/>
                <w:sz w:val="18"/>
                <w:szCs w:val="18"/>
              </w:rPr>
              <w:t xml:space="preserve">Redcar and Cleveland </w:t>
            </w:r>
          </w:p>
        </w:tc>
        <w:tc>
          <w:tcPr>
            <w:tcW w:w="907" w:type="dxa"/>
            <w:tcBorders>
              <w:top w:val="single" w:sz="4" w:space="0" w:color="auto"/>
              <w:left w:val="single" w:sz="4" w:space="0" w:color="auto"/>
              <w:bottom w:val="nil"/>
              <w:right w:val="nil"/>
            </w:tcBorders>
            <w:shd w:val="clear" w:color="auto" w:fill="auto"/>
            <w:noWrap/>
            <w:vAlign w:val="center"/>
            <w:hideMark/>
          </w:tcPr>
          <w:p w14:paraId="46817329" w14:textId="77777777" w:rsidR="006A2D31" w:rsidRPr="001E05F5" w:rsidRDefault="006A2D31" w:rsidP="00427A85">
            <w:pPr>
              <w:spacing w:before="40" w:after="40" w:line="240" w:lineRule="auto"/>
              <w:rPr>
                <w:rFonts w:cs="Arial"/>
                <w:sz w:val="18"/>
                <w:szCs w:val="18"/>
              </w:rPr>
            </w:pPr>
            <w:r w:rsidRPr="001E05F5">
              <w:rPr>
                <w:rFonts w:cs="Arial"/>
                <w:sz w:val="18"/>
                <w:szCs w:val="18"/>
              </w:rPr>
              <w:t>1.01</w:t>
            </w:r>
          </w:p>
        </w:tc>
        <w:tc>
          <w:tcPr>
            <w:tcW w:w="907" w:type="dxa"/>
            <w:tcBorders>
              <w:top w:val="single" w:sz="4" w:space="0" w:color="auto"/>
              <w:left w:val="nil"/>
              <w:bottom w:val="nil"/>
              <w:right w:val="nil"/>
            </w:tcBorders>
            <w:shd w:val="clear" w:color="auto" w:fill="auto"/>
            <w:noWrap/>
            <w:vAlign w:val="center"/>
            <w:hideMark/>
          </w:tcPr>
          <w:p w14:paraId="6F2BBDA4" w14:textId="77777777" w:rsidR="006A2D31" w:rsidRPr="001E05F5" w:rsidRDefault="006A2D31" w:rsidP="00427A85">
            <w:pPr>
              <w:spacing w:before="40" w:after="40" w:line="240" w:lineRule="auto"/>
              <w:rPr>
                <w:rFonts w:cs="Arial"/>
                <w:sz w:val="18"/>
                <w:szCs w:val="18"/>
              </w:rPr>
            </w:pPr>
            <w:r w:rsidRPr="001E05F5">
              <w:rPr>
                <w:rFonts w:cs="Arial"/>
                <w:sz w:val="18"/>
                <w:szCs w:val="18"/>
              </w:rPr>
              <w:t>0.97</w:t>
            </w:r>
          </w:p>
        </w:tc>
        <w:tc>
          <w:tcPr>
            <w:tcW w:w="907" w:type="dxa"/>
            <w:tcBorders>
              <w:top w:val="single" w:sz="4" w:space="0" w:color="auto"/>
              <w:left w:val="nil"/>
              <w:bottom w:val="nil"/>
              <w:right w:val="nil"/>
            </w:tcBorders>
            <w:shd w:val="clear" w:color="auto" w:fill="auto"/>
            <w:noWrap/>
            <w:vAlign w:val="center"/>
            <w:hideMark/>
          </w:tcPr>
          <w:p w14:paraId="7C171CEF" w14:textId="77777777" w:rsidR="006A2D31" w:rsidRPr="001E05F5" w:rsidRDefault="006A2D31" w:rsidP="00427A85">
            <w:pPr>
              <w:spacing w:before="40" w:after="40" w:line="240" w:lineRule="auto"/>
              <w:rPr>
                <w:rFonts w:cs="Arial"/>
                <w:sz w:val="18"/>
                <w:szCs w:val="18"/>
              </w:rPr>
            </w:pPr>
            <w:r w:rsidRPr="001E05F5">
              <w:rPr>
                <w:rFonts w:cs="Arial"/>
                <w:sz w:val="18"/>
                <w:szCs w:val="18"/>
              </w:rPr>
              <w:t>0.92</w:t>
            </w:r>
          </w:p>
        </w:tc>
        <w:tc>
          <w:tcPr>
            <w:tcW w:w="907" w:type="dxa"/>
            <w:tcBorders>
              <w:top w:val="single" w:sz="4" w:space="0" w:color="auto"/>
              <w:left w:val="nil"/>
              <w:bottom w:val="nil"/>
              <w:right w:val="nil"/>
            </w:tcBorders>
            <w:shd w:val="clear" w:color="auto" w:fill="auto"/>
            <w:noWrap/>
            <w:vAlign w:val="center"/>
            <w:hideMark/>
          </w:tcPr>
          <w:p w14:paraId="1DBDED72" w14:textId="77777777" w:rsidR="006A2D31" w:rsidRPr="001E05F5" w:rsidRDefault="006A2D31" w:rsidP="00427A85">
            <w:pPr>
              <w:spacing w:before="40" w:after="40" w:line="240" w:lineRule="auto"/>
              <w:rPr>
                <w:rFonts w:cs="Arial"/>
                <w:sz w:val="18"/>
                <w:szCs w:val="18"/>
              </w:rPr>
            </w:pPr>
            <w:r w:rsidRPr="001E05F5">
              <w:rPr>
                <w:rFonts w:cs="Arial"/>
                <w:sz w:val="18"/>
                <w:szCs w:val="18"/>
              </w:rPr>
              <w:t>0.93</w:t>
            </w:r>
          </w:p>
        </w:tc>
        <w:tc>
          <w:tcPr>
            <w:tcW w:w="907" w:type="dxa"/>
            <w:tcBorders>
              <w:top w:val="single" w:sz="4" w:space="0" w:color="auto"/>
              <w:left w:val="nil"/>
              <w:bottom w:val="nil"/>
              <w:right w:val="nil"/>
            </w:tcBorders>
            <w:shd w:val="clear" w:color="auto" w:fill="auto"/>
            <w:noWrap/>
            <w:vAlign w:val="center"/>
            <w:hideMark/>
          </w:tcPr>
          <w:p w14:paraId="1A4AE231" w14:textId="77777777" w:rsidR="006A2D31" w:rsidRPr="001E05F5" w:rsidRDefault="006A2D31" w:rsidP="00427A85">
            <w:pPr>
              <w:spacing w:before="40" w:after="40" w:line="240" w:lineRule="auto"/>
              <w:rPr>
                <w:rFonts w:cs="Arial"/>
                <w:sz w:val="18"/>
                <w:szCs w:val="18"/>
              </w:rPr>
            </w:pPr>
            <w:r w:rsidRPr="001E05F5">
              <w:rPr>
                <w:rFonts w:cs="Arial"/>
                <w:sz w:val="18"/>
                <w:szCs w:val="18"/>
              </w:rPr>
              <w:t>0.96</w:t>
            </w:r>
          </w:p>
        </w:tc>
        <w:tc>
          <w:tcPr>
            <w:tcW w:w="907" w:type="dxa"/>
            <w:tcBorders>
              <w:top w:val="single" w:sz="4" w:space="0" w:color="auto"/>
              <w:left w:val="nil"/>
              <w:bottom w:val="nil"/>
              <w:right w:val="nil"/>
            </w:tcBorders>
            <w:shd w:val="clear" w:color="auto" w:fill="auto"/>
            <w:noWrap/>
            <w:vAlign w:val="center"/>
            <w:hideMark/>
          </w:tcPr>
          <w:p w14:paraId="45D438FC" w14:textId="77777777" w:rsidR="006A2D31" w:rsidRPr="001E05F5" w:rsidRDefault="006A2D31" w:rsidP="00427A85">
            <w:pPr>
              <w:spacing w:before="40" w:after="40" w:line="240" w:lineRule="auto"/>
              <w:rPr>
                <w:rFonts w:cs="Arial"/>
                <w:sz w:val="18"/>
                <w:szCs w:val="18"/>
              </w:rPr>
            </w:pPr>
            <w:r w:rsidRPr="001E05F5">
              <w:rPr>
                <w:rFonts w:cs="Arial"/>
                <w:sz w:val="18"/>
                <w:szCs w:val="18"/>
              </w:rPr>
              <w:t>0.96</w:t>
            </w:r>
          </w:p>
        </w:tc>
        <w:tc>
          <w:tcPr>
            <w:tcW w:w="907" w:type="dxa"/>
            <w:tcBorders>
              <w:top w:val="single" w:sz="4" w:space="0" w:color="auto"/>
              <w:left w:val="nil"/>
              <w:bottom w:val="nil"/>
              <w:right w:val="single" w:sz="4" w:space="0" w:color="auto"/>
            </w:tcBorders>
            <w:shd w:val="clear" w:color="auto" w:fill="auto"/>
            <w:noWrap/>
            <w:vAlign w:val="center"/>
            <w:hideMark/>
          </w:tcPr>
          <w:p w14:paraId="799AE473" w14:textId="77777777" w:rsidR="006A2D31" w:rsidRPr="001E05F5" w:rsidRDefault="006A2D31" w:rsidP="00427A85">
            <w:pPr>
              <w:spacing w:before="40" w:after="40" w:line="240" w:lineRule="auto"/>
              <w:rPr>
                <w:rFonts w:cs="Arial"/>
                <w:sz w:val="18"/>
                <w:szCs w:val="18"/>
              </w:rPr>
            </w:pPr>
            <w:r w:rsidRPr="001E05F5">
              <w:rPr>
                <w:rFonts w:cs="Arial"/>
                <w:sz w:val="18"/>
                <w:szCs w:val="18"/>
              </w:rPr>
              <w:t>0.95</w:t>
            </w:r>
          </w:p>
        </w:tc>
      </w:tr>
      <w:tr w:rsidR="00E46111" w:rsidRPr="001E05F5" w14:paraId="71F2C160" w14:textId="77777777" w:rsidTr="00E356FE">
        <w:tc>
          <w:tcPr>
            <w:tcW w:w="2424" w:type="dxa"/>
            <w:tcBorders>
              <w:top w:val="nil"/>
              <w:left w:val="single" w:sz="4" w:space="0" w:color="auto"/>
              <w:bottom w:val="nil"/>
              <w:right w:val="single" w:sz="4" w:space="0" w:color="auto"/>
            </w:tcBorders>
            <w:shd w:val="clear" w:color="auto" w:fill="auto"/>
            <w:vAlign w:val="center"/>
            <w:hideMark/>
          </w:tcPr>
          <w:p w14:paraId="615CD350" w14:textId="77777777" w:rsidR="00E46111" w:rsidRPr="001E05F5" w:rsidRDefault="00E46111" w:rsidP="00E356FE">
            <w:pPr>
              <w:spacing w:before="40" w:after="40" w:line="240" w:lineRule="auto"/>
              <w:jc w:val="right"/>
              <w:rPr>
                <w:rFonts w:cs="Arial"/>
                <w:sz w:val="18"/>
                <w:szCs w:val="18"/>
              </w:rPr>
            </w:pPr>
            <w:r w:rsidRPr="001E05F5">
              <w:rPr>
                <w:rFonts w:cs="Arial"/>
                <w:sz w:val="18"/>
                <w:szCs w:val="18"/>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412390B5" w14:textId="77777777" w:rsidR="00E46111" w:rsidRPr="001E05F5" w:rsidRDefault="00E46111" w:rsidP="00427A85">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0C735822" w14:textId="77777777" w:rsidR="00E46111" w:rsidRPr="001E05F5" w:rsidRDefault="00E46111" w:rsidP="00427A85">
            <w:pPr>
              <w:spacing w:before="40" w:after="4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4008C4CD" w14:textId="77777777" w:rsidR="00E46111" w:rsidRPr="001E05F5" w:rsidRDefault="00E46111" w:rsidP="006F1DD2">
            <w:pPr>
              <w:spacing w:before="40" w:after="40" w:line="240" w:lineRule="auto"/>
              <w:jc w:val="center"/>
              <w:rPr>
                <w:rFonts w:cs="Arial"/>
                <w:sz w:val="18"/>
                <w:szCs w:val="18"/>
              </w:rPr>
            </w:pPr>
          </w:p>
        </w:tc>
        <w:tc>
          <w:tcPr>
            <w:tcW w:w="907" w:type="dxa"/>
            <w:tcBorders>
              <w:top w:val="nil"/>
              <w:left w:val="nil"/>
              <w:bottom w:val="nil"/>
              <w:right w:val="nil"/>
            </w:tcBorders>
            <w:shd w:val="clear" w:color="auto" w:fill="auto"/>
            <w:noWrap/>
            <w:vAlign w:val="center"/>
            <w:hideMark/>
          </w:tcPr>
          <w:p w14:paraId="2B72CC02" w14:textId="77777777" w:rsidR="00E46111" w:rsidRPr="001E05F5" w:rsidRDefault="00E46111" w:rsidP="006F1DD2">
            <w:pPr>
              <w:spacing w:before="40" w:after="40" w:line="240" w:lineRule="auto"/>
              <w:jc w:val="center"/>
              <w:rPr>
                <w:rFonts w:cs="Arial"/>
                <w:sz w:val="18"/>
                <w:szCs w:val="18"/>
              </w:rPr>
            </w:pPr>
          </w:p>
        </w:tc>
        <w:tc>
          <w:tcPr>
            <w:tcW w:w="2721" w:type="dxa"/>
            <w:gridSpan w:val="3"/>
            <w:tcBorders>
              <w:top w:val="nil"/>
              <w:left w:val="nil"/>
              <w:bottom w:val="nil"/>
              <w:right w:val="single" w:sz="4" w:space="0" w:color="auto"/>
            </w:tcBorders>
            <w:shd w:val="clear" w:color="000000" w:fill="B6DDE8"/>
            <w:noWrap/>
            <w:vAlign w:val="center"/>
            <w:hideMark/>
          </w:tcPr>
          <w:p w14:paraId="6E0932E7" w14:textId="77777777" w:rsidR="00E46111" w:rsidRPr="001E05F5" w:rsidRDefault="00E46111" w:rsidP="006F1DD2">
            <w:pPr>
              <w:spacing w:before="40" w:after="40" w:line="240" w:lineRule="auto"/>
              <w:jc w:val="center"/>
              <w:rPr>
                <w:rFonts w:cs="Arial"/>
                <w:sz w:val="18"/>
                <w:szCs w:val="18"/>
              </w:rPr>
            </w:pPr>
            <w:r w:rsidRPr="001E05F5">
              <w:rPr>
                <w:rFonts w:cs="Arial"/>
                <w:sz w:val="18"/>
                <w:szCs w:val="18"/>
              </w:rPr>
              <w:t>-0.32%</w:t>
            </w:r>
          </w:p>
        </w:tc>
      </w:tr>
      <w:tr w:rsidR="00E46111" w:rsidRPr="001E05F5" w14:paraId="20219FB3" w14:textId="77777777" w:rsidTr="00E356FE">
        <w:tc>
          <w:tcPr>
            <w:tcW w:w="2424" w:type="dxa"/>
            <w:tcBorders>
              <w:top w:val="nil"/>
              <w:left w:val="single" w:sz="4" w:space="0" w:color="auto"/>
              <w:bottom w:val="single" w:sz="4" w:space="0" w:color="auto"/>
              <w:right w:val="single" w:sz="4" w:space="0" w:color="auto"/>
            </w:tcBorders>
            <w:shd w:val="clear" w:color="auto" w:fill="auto"/>
            <w:vAlign w:val="center"/>
            <w:hideMark/>
          </w:tcPr>
          <w:p w14:paraId="08F16AA7" w14:textId="77777777" w:rsidR="00E46111" w:rsidRPr="001E05F5" w:rsidRDefault="00E46111" w:rsidP="00E356FE">
            <w:pPr>
              <w:spacing w:before="40" w:after="40" w:line="240" w:lineRule="auto"/>
              <w:jc w:val="right"/>
              <w:rPr>
                <w:rFonts w:cs="Arial"/>
                <w:sz w:val="18"/>
                <w:szCs w:val="18"/>
              </w:rPr>
            </w:pPr>
            <w:r w:rsidRPr="001E05F5">
              <w:rPr>
                <w:rFonts w:cs="Arial"/>
                <w:sz w:val="18"/>
                <w:szCs w:val="18"/>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30953600" w14:textId="77777777" w:rsidR="00E46111" w:rsidRPr="001E05F5" w:rsidRDefault="00E46111" w:rsidP="00427A85">
            <w:pPr>
              <w:spacing w:before="40" w:after="40" w:line="240" w:lineRule="auto"/>
              <w:rPr>
                <w:rFonts w:cs="Arial"/>
                <w:sz w:val="18"/>
                <w:szCs w:val="18"/>
              </w:rPr>
            </w:pPr>
          </w:p>
        </w:tc>
        <w:tc>
          <w:tcPr>
            <w:tcW w:w="907" w:type="dxa"/>
            <w:tcBorders>
              <w:top w:val="nil"/>
              <w:left w:val="nil"/>
              <w:bottom w:val="single" w:sz="4" w:space="0" w:color="auto"/>
              <w:right w:val="nil"/>
            </w:tcBorders>
            <w:shd w:val="clear" w:color="auto" w:fill="auto"/>
            <w:noWrap/>
            <w:vAlign w:val="center"/>
            <w:hideMark/>
          </w:tcPr>
          <w:p w14:paraId="674573B7" w14:textId="77777777" w:rsidR="00E46111" w:rsidRPr="001E05F5" w:rsidRDefault="00E46111" w:rsidP="00427A85">
            <w:pPr>
              <w:spacing w:before="40" w:after="40" w:line="240" w:lineRule="auto"/>
              <w:rPr>
                <w:rFonts w:cs="Arial"/>
                <w:sz w:val="18"/>
                <w:szCs w:val="18"/>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6E752BE3" w14:textId="77777777" w:rsidR="00E46111" w:rsidRPr="001E05F5" w:rsidRDefault="00E46111" w:rsidP="006F1DD2">
            <w:pPr>
              <w:spacing w:before="40" w:after="40" w:line="240" w:lineRule="auto"/>
              <w:jc w:val="center"/>
              <w:rPr>
                <w:rFonts w:cs="Arial"/>
                <w:sz w:val="18"/>
                <w:szCs w:val="18"/>
              </w:rPr>
            </w:pPr>
            <w:r w:rsidRPr="001E05F5">
              <w:rPr>
                <w:rFonts w:cs="Arial"/>
                <w:sz w:val="18"/>
                <w:szCs w:val="18"/>
              </w:rPr>
              <w:t>0.97%</w:t>
            </w:r>
          </w:p>
        </w:tc>
      </w:tr>
      <w:tr w:rsidR="0028187F" w:rsidRPr="001E05F5" w14:paraId="778A3D92" w14:textId="77777777" w:rsidTr="006F1DD2">
        <w:tc>
          <w:tcPr>
            <w:tcW w:w="2424" w:type="dxa"/>
            <w:tcBorders>
              <w:top w:val="single" w:sz="4" w:space="0" w:color="auto"/>
              <w:left w:val="single" w:sz="4" w:space="0" w:color="auto"/>
              <w:bottom w:val="nil"/>
              <w:right w:val="single" w:sz="4" w:space="0" w:color="auto"/>
            </w:tcBorders>
            <w:shd w:val="clear" w:color="auto" w:fill="auto"/>
            <w:noWrap/>
            <w:vAlign w:val="center"/>
            <w:hideMark/>
          </w:tcPr>
          <w:p w14:paraId="44F84FCC" w14:textId="77777777" w:rsidR="006A2D31" w:rsidRPr="001E05F5" w:rsidRDefault="006A2D31" w:rsidP="00427A85">
            <w:pPr>
              <w:spacing w:before="40" w:after="40" w:line="240" w:lineRule="auto"/>
              <w:rPr>
                <w:rFonts w:cs="Arial"/>
                <w:sz w:val="18"/>
                <w:szCs w:val="18"/>
              </w:rPr>
            </w:pPr>
            <w:r w:rsidRPr="001E05F5">
              <w:rPr>
                <w:rFonts w:cs="Arial"/>
                <w:sz w:val="18"/>
                <w:szCs w:val="18"/>
              </w:rPr>
              <w:t xml:space="preserve">Stockton-on-Tees </w:t>
            </w:r>
          </w:p>
        </w:tc>
        <w:tc>
          <w:tcPr>
            <w:tcW w:w="907" w:type="dxa"/>
            <w:tcBorders>
              <w:top w:val="single" w:sz="4" w:space="0" w:color="auto"/>
              <w:left w:val="single" w:sz="4" w:space="0" w:color="auto"/>
              <w:bottom w:val="nil"/>
              <w:right w:val="nil"/>
            </w:tcBorders>
            <w:shd w:val="clear" w:color="auto" w:fill="auto"/>
            <w:noWrap/>
            <w:vAlign w:val="center"/>
            <w:hideMark/>
          </w:tcPr>
          <w:p w14:paraId="051A20AD" w14:textId="77777777" w:rsidR="006A2D31" w:rsidRPr="001E05F5" w:rsidRDefault="006A2D31" w:rsidP="00427A85">
            <w:pPr>
              <w:spacing w:before="40" w:after="40" w:line="240" w:lineRule="auto"/>
              <w:rPr>
                <w:rFonts w:cs="Arial"/>
                <w:sz w:val="18"/>
                <w:szCs w:val="18"/>
              </w:rPr>
            </w:pPr>
            <w:r w:rsidRPr="001E05F5">
              <w:rPr>
                <w:rFonts w:cs="Arial"/>
                <w:sz w:val="18"/>
                <w:szCs w:val="18"/>
              </w:rPr>
              <w:t>1.06</w:t>
            </w:r>
          </w:p>
        </w:tc>
        <w:tc>
          <w:tcPr>
            <w:tcW w:w="907" w:type="dxa"/>
            <w:tcBorders>
              <w:top w:val="single" w:sz="4" w:space="0" w:color="auto"/>
              <w:left w:val="nil"/>
              <w:bottom w:val="nil"/>
              <w:right w:val="nil"/>
            </w:tcBorders>
            <w:shd w:val="clear" w:color="auto" w:fill="auto"/>
            <w:noWrap/>
            <w:vAlign w:val="center"/>
            <w:hideMark/>
          </w:tcPr>
          <w:p w14:paraId="56643EF9" w14:textId="77777777" w:rsidR="006A2D31" w:rsidRPr="001E05F5" w:rsidRDefault="006A2D31" w:rsidP="00427A85">
            <w:pPr>
              <w:spacing w:before="40" w:after="40" w:line="240" w:lineRule="auto"/>
              <w:rPr>
                <w:rFonts w:cs="Arial"/>
                <w:sz w:val="18"/>
                <w:szCs w:val="18"/>
              </w:rPr>
            </w:pPr>
            <w:r w:rsidRPr="001E05F5">
              <w:rPr>
                <w:rFonts w:cs="Arial"/>
                <w:sz w:val="18"/>
                <w:szCs w:val="18"/>
              </w:rPr>
              <w:t>1.03</w:t>
            </w:r>
          </w:p>
        </w:tc>
        <w:tc>
          <w:tcPr>
            <w:tcW w:w="907" w:type="dxa"/>
            <w:tcBorders>
              <w:top w:val="single" w:sz="4" w:space="0" w:color="auto"/>
              <w:left w:val="nil"/>
              <w:bottom w:val="nil"/>
              <w:right w:val="nil"/>
            </w:tcBorders>
            <w:shd w:val="clear" w:color="auto" w:fill="auto"/>
            <w:noWrap/>
            <w:vAlign w:val="center"/>
            <w:hideMark/>
          </w:tcPr>
          <w:p w14:paraId="5ED0C427" w14:textId="77777777" w:rsidR="006A2D31" w:rsidRPr="001E05F5" w:rsidRDefault="006A2D31" w:rsidP="00427A85">
            <w:pPr>
              <w:spacing w:before="40" w:after="40" w:line="240" w:lineRule="auto"/>
              <w:rPr>
                <w:rFonts w:cs="Arial"/>
                <w:sz w:val="18"/>
                <w:szCs w:val="18"/>
              </w:rPr>
            </w:pPr>
            <w:r w:rsidRPr="001E05F5">
              <w:rPr>
                <w:rFonts w:cs="Arial"/>
                <w:sz w:val="18"/>
                <w:szCs w:val="18"/>
              </w:rPr>
              <w:t>1.02</w:t>
            </w:r>
          </w:p>
        </w:tc>
        <w:tc>
          <w:tcPr>
            <w:tcW w:w="907" w:type="dxa"/>
            <w:tcBorders>
              <w:top w:val="single" w:sz="4" w:space="0" w:color="auto"/>
              <w:left w:val="nil"/>
              <w:bottom w:val="nil"/>
              <w:right w:val="nil"/>
            </w:tcBorders>
            <w:shd w:val="clear" w:color="auto" w:fill="auto"/>
            <w:noWrap/>
            <w:vAlign w:val="center"/>
            <w:hideMark/>
          </w:tcPr>
          <w:p w14:paraId="0A01E303" w14:textId="77777777" w:rsidR="006A2D31" w:rsidRPr="001E05F5" w:rsidRDefault="006A2D31" w:rsidP="00427A85">
            <w:pPr>
              <w:spacing w:before="40" w:after="40" w:line="240" w:lineRule="auto"/>
              <w:rPr>
                <w:rFonts w:cs="Arial"/>
                <w:sz w:val="18"/>
                <w:szCs w:val="18"/>
              </w:rPr>
            </w:pPr>
            <w:r w:rsidRPr="001E05F5">
              <w:rPr>
                <w:rFonts w:cs="Arial"/>
                <w:sz w:val="18"/>
                <w:szCs w:val="18"/>
              </w:rPr>
              <w:t>1.02</w:t>
            </w:r>
          </w:p>
        </w:tc>
        <w:tc>
          <w:tcPr>
            <w:tcW w:w="907" w:type="dxa"/>
            <w:tcBorders>
              <w:top w:val="single" w:sz="4" w:space="0" w:color="auto"/>
              <w:left w:val="nil"/>
              <w:bottom w:val="nil"/>
              <w:right w:val="nil"/>
            </w:tcBorders>
            <w:shd w:val="clear" w:color="auto" w:fill="auto"/>
            <w:noWrap/>
            <w:vAlign w:val="center"/>
            <w:hideMark/>
          </w:tcPr>
          <w:p w14:paraId="056EB193" w14:textId="77777777" w:rsidR="006A2D31" w:rsidRPr="001E05F5" w:rsidRDefault="006A2D31" w:rsidP="00427A85">
            <w:pPr>
              <w:spacing w:before="40" w:after="40" w:line="240" w:lineRule="auto"/>
              <w:rPr>
                <w:rFonts w:cs="Arial"/>
                <w:sz w:val="18"/>
                <w:szCs w:val="18"/>
              </w:rPr>
            </w:pPr>
            <w:r w:rsidRPr="001E05F5">
              <w:rPr>
                <w:rFonts w:cs="Arial"/>
                <w:sz w:val="18"/>
                <w:szCs w:val="18"/>
              </w:rPr>
              <w:t>1.02</w:t>
            </w:r>
          </w:p>
        </w:tc>
        <w:tc>
          <w:tcPr>
            <w:tcW w:w="907" w:type="dxa"/>
            <w:tcBorders>
              <w:top w:val="single" w:sz="4" w:space="0" w:color="auto"/>
              <w:left w:val="nil"/>
              <w:bottom w:val="nil"/>
              <w:right w:val="nil"/>
            </w:tcBorders>
            <w:shd w:val="clear" w:color="auto" w:fill="auto"/>
            <w:noWrap/>
            <w:vAlign w:val="center"/>
            <w:hideMark/>
          </w:tcPr>
          <w:p w14:paraId="029F12D2" w14:textId="77777777" w:rsidR="006A2D31" w:rsidRPr="001E05F5" w:rsidRDefault="006A2D31" w:rsidP="00427A85">
            <w:pPr>
              <w:spacing w:before="40" w:after="40" w:line="240" w:lineRule="auto"/>
              <w:rPr>
                <w:rFonts w:cs="Arial"/>
                <w:sz w:val="18"/>
                <w:szCs w:val="18"/>
              </w:rPr>
            </w:pPr>
            <w:r w:rsidRPr="001E05F5">
              <w:rPr>
                <w:rFonts w:cs="Arial"/>
                <w:sz w:val="18"/>
                <w:szCs w:val="18"/>
              </w:rPr>
              <w:t>0.99</w:t>
            </w:r>
          </w:p>
        </w:tc>
        <w:tc>
          <w:tcPr>
            <w:tcW w:w="907" w:type="dxa"/>
            <w:tcBorders>
              <w:top w:val="single" w:sz="4" w:space="0" w:color="auto"/>
              <w:left w:val="nil"/>
              <w:bottom w:val="nil"/>
              <w:right w:val="single" w:sz="4" w:space="0" w:color="auto"/>
            </w:tcBorders>
            <w:shd w:val="clear" w:color="auto" w:fill="auto"/>
            <w:noWrap/>
            <w:vAlign w:val="center"/>
            <w:hideMark/>
          </w:tcPr>
          <w:p w14:paraId="2BA1C188" w14:textId="77777777" w:rsidR="006A2D31" w:rsidRPr="001E05F5" w:rsidRDefault="006A2D31" w:rsidP="00427A85">
            <w:pPr>
              <w:spacing w:before="40" w:after="40" w:line="240" w:lineRule="auto"/>
              <w:rPr>
                <w:rFonts w:cs="Arial"/>
                <w:sz w:val="18"/>
                <w:szCs w:val="18"/>
              </w:rPr>
            </w:pPr>
            <w:r w:rsidRPr="001E05F5">
              <w:rPr>
                <w:rFonts w:cs="Arial"/>
                <w:sz w:val="18"/>
                <w:szCs w:val="18"/>
              </w:rPr>
              <w:t>1.00</w:t>
            </w:r>
          </w:p>
        </w:tc>
      </w:tr>
      <w:tr w:rsidR="00E46111" w:rsidRPr="001E05F5" w14:paraId="10811547" w14:textId="77777777" w:rsidTr="00E356FE">
        <w:tc>
          <w:tcPr>
            <w:tcW w:w="2424" w:type="dxa"/>
            <w:tcBorders>
              <w:top w:val="nil"/>
              <w:left w:val="single" w:sz="4" w:space="0" w:color="auto"/>
              <w:bottom w:val="nil"/>
              <w:right w:val="single" w:sz="4" w:space="0" w:color="auto"/>
            </w:tcBorders>
            <w:shd w:val="clear" w:color="auto" w:fill="auto"/>
            <w:vAlign w:val="center"/>
            <w:hideMark/>
          </w:tcPr>
          <w:p w14:paraId="0D68FF9B" w14:textId="77777777" w:rsidR="00E46111" w:rsidRPr="001E05F5" w:rsidRDefault="00E46111" w:rsidP="00E356FE">
            <w:pPr>
              <w:spacing w:before="20" w:after="20" w:line="240" w:lineRule="auto"/>
              <w:jc w:val="right"/>
              <w:rPr>
                <w:rFonts w:cs="Arial"/>
                <w:sz w:val="18"/>
                <w:szCs w:val="18"/>
              </w:rPr>
            </w:pPr>
            <w:r w:rsidRPr="001E05F5">
              <w:rPr>
                <w:rFonts w:cs="Arial"/>
                <w:sz w:val="18"/>
                <w:szCs w:val="18"/>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102290A3" w14:textId="77777777" w:rsidR="00E46111" w:rsidRPr="001E05F5" w:rsidRDefault="00E46111"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191380F4" w14:textId="77777777" w:rsidR="00E46111" w:rsidRPr="001E05F5" w:rsidRDefault="00E46111"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1C46CBE9" w14:textId="77777777" w:rsidR="00E46111" w:rsidRPr="001E05F5" w:rsidRDefault="00E46111"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6309771E" w14:textId="77777777" w:rsidR="00E46111" w:rsidRPr="001E05F5" w:rsidRDefault="00E46111" w:rsidP="006F1DD2">
            <w:pPr>
              <w:spacing w:before="20" w:after="20" w:line="240" w:lineRule="auto"/>
              <w:rPr>
                <w:rFonts w:cs="Arial"/>
                <w:sz w:val="18"/>
                <w:szCs w:val="18"/>
              </w:rPr>
            </w:pPr>
          </w:p>
        </w:tc>
        <w:tc>
          <w:tcPr>
            <w:tcW w:w="2721" w:type="dxa"/>
            <w:gridSpan w:val="3"/>
            <w:tcBorders>
              <w:top w:val="nil"/>
              <w:left w:val="nil"/>
              <w:bottom w:val="nil"/>
              <w:right w:val="single" w:sz="4" w:space="0" w:color="auto"/>
            </w:tcBorders>
            <w:shd w:val="clear" w:color="000000" w:fill="B6DDE8"/>
            <w:noWrap/>
            <w:vAlign w:val="center"/>
            <w:hideMark/>
          </w:tcPr>
          <w:p w14:paraId="7D2BB30E" w14:textId="77777777" w:rsidR="00E46111" w:rsidRPr="001E05F5" w:rsidRDefault="00E46111" w:rsidP="006F1DD2">
            <w:pPr>
              <w:spacing w:before="20" w:after="20" w:line="240" w:lineRule="auto"/>
              <w:rPr>
                <w:rFonts w:cs="Arial"/>
                <w:sz w:val="18"/>
                <w:szCs w:val="18"/>
              </w:rPr>
            </w:pPr>
            <w:r w:rsidRPr="001E05F5">
              <w:rPr>
                <w:rFonts w:cs="Arial"/>
                <w:sz w:val="18"/>
                <w:szCs w:val="18"/>
              </w:rPr>
              <w:t>-0.70%</w:t>
            </w:r>
          </w:p>
        </w:tc>
      </w:tr>
      <w:tr w:rsidR="00E46111" w:rsidRPr="001E05F5" w14:paraId="2230C645" w14:textId="77777777" w:rsidTr="00E356FE">
        <w:tc>
          <w:tcPr>
            <w:tcW w:w="2424" w:type="dxa"/>
            <w:tcBorders>
              <w:top w:val="nil"/>
              <w:left w:val="single" w:sz="4" w:space="0" w:color="auto"/>
              <w:bottom w:val="single" w:sz="4" w:space="0" w:color="auto"/>
              <w:right w:val="single" w:sz="4" w:space="0" w:color="auto"/>
            </w:tcBorders>
            <w:shd w:val="clear" w:color="auto" w:fill="auto"/>
            <w:vAlign w:val="center"/>
            <w:hideMark/>
          </w:tcPr>
          <w:p w14:paraId="4319FB91" w14:textId="77777777" w:rsidR="00E46111" w:rsidRPr="001E05F5" w:rsidRDefault="00E46111" w:rsidP="00E356FE">
            <w:pPr>
              <w:spacing w:before="40" w:after="40" w:line="240" w:lineRule="auto"/>
              <w:jc w:val="right"/>
              <w:rPr>
                <w:rFonts w:cs="Arial"/>
                <w:sz w:val="18"/>
                <w:szCs w:val="18"/>
              </w:rPr>
            </w:pPr>
            <w:r w:rsidRPr="001E05F5">
              <w:rPr>
                <w:rFonts w:cs="Arial"/>
                <w:sz w:val="18"/>
                <w:szCs w:val="18"/>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56D4BB0C" w14:textId="77777777" w:rsidR="00E46111" w:rsidRPr="001E05F5" w:rsidRDefault="00E46111" w:rsidP="00427A85">
            <w:pPr>
              <w:spacing w:before="40" w:after="40" w:line="240" w:lineRule="auto"/>
              <w:rPr>
                <w:rFonts w:cs="Arial"/>
                <w:sz w:val="18"/>
                <w:szCs w:val="18"/>
              </w:rPr>
            </w:pPr>
          </w:p>
        </w:tc>
        <w:tc>
          <w:tcPr>
            <w:tcW w:w="907" w:type="dxa"/>
            <w:tcBorders>
              <w:top w:val="nil"/>
              <w:left w:val="nil"/>
              <w:bottom w:val="single" w:sz="4" w:space="0" w:color="auto"/>
              <w:right w:val="nil"/>
            </w:tcBorders>
            <w:shd w:val="clear" w:color="auto" w:fill="auto"/>
            <w:noWrap/>
            <w:vAlign w:val="center"/>
            <w:hideMark/>
          </w:tcPr>
          <w:p w14:paraId="3A189F3D" w14:textId="77777777" w:rsidR="00E46111" w:rsidRPr="001E05F5" w:rsidRDefault="00E46111" w:rsidP="00427A85">
            <w:pPr>
              <w:spacing w:before="40" w:after="40" w:line="240" w:lineRule="auto"/>
              <w:rPr>
                <w:rFonts w:cs="Arial"/>
                <w:sz w:val="18"/>
                <w:szCs w:val="18"/>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5DA1C5DE" w14:textId="77777777" w:rsidR="00E46111" w:rsidRPr="001E05F5" w:rsidRDefault="00E46111" w:rsidP="00427A85">
            <w:pPr>
              <w:spacing w:before="40" w:after="40" w:line="240" w:lineRule="auto"/>
              <w:rPr>
                <w:rFonts w:cs="Arial"/>
                <w:sz w:val="18"/>
                <w:szCs w:val="18"/>
              </w:rPr>
            </w:pPr>
            <w:r w:rsidRPr="001E05F5">
              <w:rPr>
                <w:rFonts w:cs="Arial"/>
                <w:sz w:val="18"/>
                <w:szCs w:val="18"/>
              </w:rPr>
              <w:t>-0.31%</w:t>
            </w:r>
          </w:p>
        </w:tc>
      </w:tr>
      <w:tr w:rsidR="0028187F" w:rsidRPr="001E05F5" w14:paraId="60D8FB9A" w14:textId="77777777" w:rsidTr="006F1DD2">
        <w:tc>
          <w:tcPr>
            <w:tcW w:w="2424" w:type="dxa"/>
            <w:tcBorders>
              <w:top w:val="single" w:sz="4" w:space="0" w:color="auto"/>
              <w:left w:val="single" w:sz="4" w:space="0" w:color="auto"/>
              <w:bottom w:val="nil"/>
              <w:right w:val="single" w:sz="4" w:space="0" w:color="auto"/>
            </w:tcBorders>
            <w:shd w:val="clear" w:color="auto" w:fill="auto"/>
            <w:noWrap/>
            <w:vAlign w:val="center"/>
            <w:hideMark/>
          </w:tcPr>
          <w:p w14:paraId="4432F8C4" w14:textId="77777777" w:rsidR="006A2D31" w:rsidRPr="001E05F5" w:rsidRDefault="006A2D31" w:rsidP="00427A85">
            <w:pPr>
              <w:spacing w:before="40" w:after="40" w:line="240" w:lineRule="auto"/>
              <w:rPr>
                <w:rFonts w:cs="Arial"/>
                <w:sz w:val="18"/>
                <w:szCs w:val="18"/>
              </w:rPr>
            </w:pPr>
            <w:r w:rsidRPr="001E05F5">
              <w:rPr>
                <w:rFonts w:cs="Arial"/>
                <w:sz w:val="18"/>
                <w:szCs w:val="18"/>
              </w:rPr>
              <w:t>Tees Valley</w:t>
            </w:r>
          </w:p>
        </w:tc>
        <w:tc>
          <w:tcPr>
            <w:tcW w:w="907" w:type="dxa"/>
            <w:tcBorders>
              <w:top w:val="single" w:sz="4" w:space="0" w:color="auto"/>
              <w:left w:val="single" w:sz="4" w:space="0" w:color="auto"/>
              <w:bottom w:val="nil"/>
              <w:right w:val="nil"/>
            </w:tcBorders>
            <w:shd w:val="clear" w:color="auto" w:fill="auto"/>
            <w:noWrap/>
            <w:vAlign w:val="center"/>
            <w:hideMark/>
          </w:tcPr>
          <w:p w14:paraId="727E5DC7" w14:textId="77777777" w:rsidR="006A2D31" w:rsidRPr="001E05F5" w:rsidRDefault="006A2D31" w:rsidP="00427A85">
            <w:pPr>
              <w:spacing w:before="40" w:after="40" w:line="240" w:lineRule="auto"/>
              <w:rPr>
                <w:rFonts w:cs="Arial"/>
                <w:sz w:val="18"/>
                <w:szCs w:val="18"/>
              </w:rPr>
            </w:pPr>
            <w:r w:rsidRPr="001E05F5">
              <w:rPr>
                <w:rFonts w:cs="Arial"/>
                <w:sz w:val="18"/>
                <w:szCs w:val="18"/>
              </w:rPr>
              <w:t>1.06</w:t>
            </w:r>
          </w:p>
        </w:tc>
        <w:tc>
          <w:tcPr>
            <w:tcW w:w="907" w:type="dxa"/>
            <w:tcBorders>
              <w:top w:val="single" w:sz="4" w:space="0" w:color="auto"/>
              <w:left w:val="nil"/>
              <w:bottom w:val="nil"/>
              <w:right w:val="nil"/>
            </w:tcBorders>
            <w:shd w:val="clear" w:color="auto" w:fill="auto"/>
            <w:noWrap/>
            <w:vAlign w:val="center"/>
            <w:hideMark/>
          </w:tcPr>
          <w:p w14:paraId="74E08EAE" w14:textId="77777777" w:rsidR="006A2D31" w:rsidRPr="001E05F5" w:rsidRDefault="006A2D31" w:rsidP="00427A85">
            <w:pPr>
              <w:spacing w:before="40" w:after="40" w:line="240" w:lineRule="auto"/>
              <w:rPr>
                <w:rFonts w:cs="Arial"/>
                <w:sz w:val="18"/>
                <w:szCs w:val="18"/>
              </w:rPr>
            </w:pPr>
            <w:r w:rsidRPr="001E05F5">
              <w:rPr>
                <w:rFonts w:cs="Arial"/>
                <w:sz w:val="18"/>
                <w:szCs w:val="18"/>
              </w:rPr>
              <w:t>1.02</w:t>
            </w:r>
          </w:p>
        </w:tc>
        <w:tc>
          <w:tcPr>
            <w:tcW w:w="907" w:type="dxa"/>
            <w:tcBorders>
              <w:top w:val="single" w:sz="4" w:space="0" w:color="auto"/>
              <w:left w:val="nil"/>
              <w:bottom w:val="nil"/>
              <w:right w:val="nil"/>
            </w:tcBorders>
            <w:shd w:val="clear" w:color="auto" w:fill="auto"/>
            <w:noWrap/>
            <w:vAlign w:val="center"/>
            <w:hideMark/>
          </w:tcPr>
          <w:p w14:paraId="65CE9EEC" w14:textId="77777777" w:rsidR="006A2D31" w:rsidRPr="001E05F5" w:rsidRDefault="006A2D31" w:rsidP="00427A85">
            <w:pPr>
              <w:spacing w:before="40" w:after="40" w:line="240" w:lineRule="auto"/>
              <w:rPr>
                <w:rFonts w:cs="Arial"/>
                <w:sz w:val="18"/>
                <w:szCs w:val="18"/>
              </w:rPr>
            </w:pPr>
            <w:r w:rsidRPr="001E05F5">
              <w:rPr>
                <w:rFonts w:cs="Arial"/>
                <w:sz w:val="18"/>
                <w:szCs w:val="18"/>
              </w:rPr>
              <w:t>0.99</w:t>
            </w:r>
          </w:p>
        </w:tc>
        <w:tc>
          <w:tcPr>
            <w:tcW w:w="907" w:type="dxa"/>
            <w:tcBorders>
              <w:top w:val="single" w:sz="4" w:space="0" w:color="auto"/>
              <w:left w:val="nil"/>
              <w:bottom w:val="nil"/>
              <w:right w:val="nil"/>
            </w:tcBorders>
            <w:shd w:val="clear" w:color="auto" w:fill="auto"/>
            <w:noWrap/>
            <w:vAlign w:val="center"/>
            <w:hideMark/>
          </w:tcPr>
          <w:p w14:paraId="42B3AB5C" w14:textId="77777777" w:rsidR="006A2D31" w:rsidRPr="001E05F5" w:rsidRDefault="006A2D31" w:rsidP="00427A85">
            <w:pPr>
              <w:spacing w:before="40" w:after="40" w:line="240" w:lineRule="auto"/>
              <w:rPr>
                <w:rFonts w:cs="Arial"/>
                <w:sz w:val="18"/>
                <w:szCs w:val="18"/>
              </w:rPr>
            </w:pPr>
            <w:r w:rsidRPr="001E05F5">
              <w:rPr>
                <w:rFonts w:cs="Arial"/>
                <w:sz w:val="18"/>
                <w:szCs w:val="18"/>
              </w:rPr>
              <w:t>0.99</w:t>
            </w:r>
          </w:p>
        </w:tc>
        <w:tc>
          <w:tcPr>
            <w:tcW w:w="907" w:type="dxa"/>
            <w:tcBorders>
              <w:top w:val="single" w:sz="4" w:space="0" w:color="auto"/>
              <w:left w:val="nil"/>
              <w:bottom w:val="nil"/>
              <w:right w:val="nil"/>
            </w:tcBorders>
            <w:shd w:val="clear" w:color="auto" w:fill="auto"/>
            <w:noWrap/>
            <w:vAlign w:val="center"/>
            <w:hideMark/>
          </w:tcPr>
          <w:p w14:paraId="01C1CA48" w14:textId="77777777" w:rsidR="006A2D31" w:rsidRPr="001E05F5" w:rsidRDefault="006A2D31" w:rsidP="00427A85">
            <w:pPr>
              <w:spacing w:before="40" w:after="40" w:line="240" w:lineRule="auto"/>
              <w:rPr>
                <w:rFonts w:cs="Arial"/>
                <w:sz w:val="18"/>
                <w:szCs w:val="18"/>
              </w:rPr>
            </w:pPr>
            <w:r w:rsidRPr="001E05F5">
              <w:rPr>
                <w:rFonts w:cs="Arial"/>
                <w:sz w:val="18"/>
                <w:szCs w:val="18"/>
              </w:rPr>
              <w:t>0.98</w:t>
            </w:r>
          </w:p>
        </w:tc>
        <w:tc>
          <w:tcPr>
            <w:tcW w:w="907" w:type="dxa"/>
            <w:tcBorders>
              <w:top w:val="single" w:sz="4" w:space="0" w:color="auto"/>
              <w:left w:val="nil"/>
              <w:bottom w:val="nil"/>
              <w:right w:val="nil"/>
            </w:tcBorders>
            <w:shd w:val="clear" w:color="auto" w:fill="auto"/>
            <w:noWrap/>
            <w:vAlign w:val="center"/>
            <w:hideMark/>
          </w:tcPr>
          <w:p w14:paraId="0279E82E" w14:textId="77777777" w:rsidR="006A2D31" w:rsidRPr="001E05F5" w:rsidRDefault="006A2D31" w:rsidP="00427A85">
            <w:pPr>
              <w:spacing w:before="40" w:after="40" w:line="240" w:lineRule="auto"/>
              <w:rPr>
                <w:rFonts w:cs="Arial"/>
                <w:sz w:val="18"/>
                <w:szCs w:val="18"/>
              </w:rPr>
            </w:pPr>
            <w:r w:rsidRPr="001E05F5">
              <w:rPr>
                <w:rFonts w:cs="Arial"/>
                <w:sz w:val="18"/>
                <w:szCs w:val="18"/>
              </w:rPr>
              <w:t>0.97</w:t>
            </w:r>
          </w:p>
        </w:tc>
        <w:tc>
          <w:tcPr>
            <w:tcW w:w="907" w:type="dxa"/>
            <w:tcBorders>
              <w:top w:val="single" w:sz="4" w:space="0" w:color="auto"/>
              <w:left w:val="nil"/>
              <w:bottom w:val="nil"/>
              <w:right w:val="single" w:sz="4" w:space="0" w:color="auto"/>
            </w:tcBorders>
            <w:shd w:val="clear" w:color="auto" w:fill="auto"/>
            <w:noWrap/>
            <w:vAlign w:val="center"/>
            <w:hideMark/>
          </w:tcPr>
          <w:p w14:paraId="19CCCCC9" w14:textId="77777777" w:rsidR="006A2D31" w:rsidRPr="001E05F5" w:rsidRDefault="006A2D31" w:rsidP="00427A85">
            <w:pPr>
              <w:spacing w:before="40" w:after="40" w:line="240" w:lineRule="auto"/>
              <w:rPr>
                <w:rFonts w:cs="Arial"/>
                <w:sz w:val="18"/>
                <w:szCs w:val="18"/>
              </w:rPr>
            </w:pPr>
            <w:r w:rsidRPr="001E05F5">
              <w:rPr>
                <w:rFonts w:cs="Arial"/>
                <w:sz w:val="18"/>
                <w:szCs w:val="18"/>
              </w:rPr>
              <w:t>0.98</w:t>
            </w:r>
          </w:p>
        </w:tc>
      </w:tr>
      <w:tr w:rsidR="00E46111" w:rsidRPr="001E05F5" w14:paraId="4313BC36" w14:textId="77777777" w:rsidTr="00E356FE">
        <w:tc>
          <w:tcPr>
            <w:tcW w:w="2424" w:type="dxa"/>
            <w:tcBorders>
              <w:top w:val="nil"/>
              <w:left w:val="single" w:sz="4" w:space="0" w:color="auto"/>
              <w:bottom w:val="nil"/>
              <w:right w:val="single" w:sz="4" w:space="0" w:color="auto"/>
            </w:tcBorders>
            <w:shd w:val="clear" w:color="auto" w:fill="auto"/>
            <w:vAlign w:val="center"/>
            <w:hideMark/>
          </w:tcPr>
          <w:p w14:paraId="7F392B30" w14:textId="77777777" w:rsidR="00E46111" w:rsidRPr="001E05F5" w:rsidRDefault="00E46111" w:rsidP="00E356FE">
            <w:pPr>
              <w:spacing w:before="20" w:after="20" w:line="240" w:lineRule="auto"/>
              <w:jc w:val="right"/>
              <w:rPr>
                <w:rFonts w:cs="Arial"/>
                <w:sz w:val="18"/>
                <w:szCs w:val="18"/>
              </w:rPr>
            </w:pPr>
            <w:r w:rsidRPr="001E05F5">
              <w:rPr>
                <w:rFonts w:cs="Arial"/>
                <w:sz w:val="18"/>
                <w:szCs w:val="18"/>
              </w:rPr>
              <w:t>Annual average change since 2014/15</w:t>
            </w:r>
          </w:p>
        </w:tc>
        <w:tc>
          <w:tcPr>
            <w:tcW w:w="907" w:type="dxa"/>
            <w:tcBorders>
              <w:top w:val="nil"/>
              <w:left w:val="single" w:sz="4" w:space="0" w:color="auto"/>
              <w:bottom w:val="nil"/>
              <w:right w:val="nil"/>
            </w:tcBorders>
            <w:shd w:val="clear" w:color="auto" w:fill="auto"/>
            <w:noWrap/>
            <w:vAlign w:val="center"/>
            <w:hideMark/>
          </w:tcPr>
          <w:p w14:paraId="4F3ABBCF" w14:textId="77777777" w:rsidR="00E46111" w:rsidRPr="001E05F5" w:rsidRDefault="00E46111"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1B43D948" w14:textId="77777777" w:rsidR="00E46111" w:rsidRPr="001E05F5" w:rsidRDefault="00E46111" w:rsidP="006F1DD2">
            <w:pPr>
              <w:spacing w:before="20" w:after="20" w:line="240" w:lineRule="auto"/>
              <w:rPr>
                <w:rFonts w:cs="Arial"/>
                <w:sz w:val="18"/>
                <w:szCs w:val="18"/>
              </w:rPr>
            </w:pPr>
          </w:p>
        </w:tc>
        <w:tc>
          <w:tcPr>
            <w:tcW w:w="907" w:type="dxa"/>
            <w:tcBorders>
              <w:top w:val="nil"/>
              <w:left w:val="nil"/>
              <w:bottom w:val="nil"/>
              <w:right w:val="nil"/>
            </w:tcBorders>
            <w:shd w:val="clear" w:color="auto" w:fill="auto"/>
            <w:noWrap/>
            <w:vAlign w:val="center"/>
            <w:hideMark/>
          </w:tcPr>
          <w:p w14:paraId="14F353E9" w14:textId="77777777" w:rsidR="00E46111" w:rsidRPr="001E05F5" w:rsidRDefault="00E46111" w:rsidP="006F1DD2">
            <w:pPr>
              <w:spacing w:before="20" w:after="20" w:line="240" w:lineRule="auto"/>
              <w:jc w:val="center"/>
              <w:rPr>
                <w:rFonts w:cs="Arial"/>
                <w:sz w:val="18"/>
                <w:szCs w:val="18"/>
              </w:rPr>
            </w:pPr>
          </w:p>
        </w:tc>
        <w:tc>
          <w:tcPr>
            <w:tcW w:w="907" w:type="dxa"/>
            <w:tcBorders>
              <w:top w:val="nil"/>
              <w:left w:val="nil"/>
              <w:bottom w:val="nil"/>
              <w:right w:val="nil"/>
            </w:tcBorders>
            <w:shd w:val="clear" w:color="auto" w:fill="auto"/>
            <w:noWrap/>
            <w:vAlign w:val="center"/>
            <w:hideMark/>
          </w:tcPr>
          <w:p w14:paraId="55E6C053" w14:textId="77777777" w:rsidR="00E46111" w:rsidRPr="001E05F5" w:rsidRDefault="00E46111" w:rsidP="006F1DD2">
            <w:pPr>
              <w:spacing w:before="20" w:after="20" w:line="240" w:lineRule="auto"/>
              <w:jc w:val="center"/>
              <w:rPr>
                <w:rFonts w:cs="Arial"/>
                <w:sz w:val="18"/>
                <w:szCs w:val="18"/>
              </w:rPr>
            </w:pPr>
          </w:p>
        </w:tc>
        <w:tc>
          <w:tcPr>
            <w:tcW w:w="2721" w:type="dxa"/>
            <w:gridSpan w:val="3"/>
            <w:tcBorders>
              <w:top w:val="nil"/>
              <w:left w:val="nil"/>
              <w:bottom w:val="nil"/>
              <w:right w:val="single" w:sz="4" w:space="0" w:color="auto"/>
            </w:tcBorders>
            <w:shd w:val="clear" w:color="000000" w:fill="B6DDE8"/>
            <w:noWrap/>
            <w:vAlign w:val="center"/>
            <w:hideMark/>
          </w:tcPr>
          <w:p w14:paraId="106D1037" w14:textId="77777777" w:rsidR="00E46111" w:rsidRPr="001E05F5" w:rsidRDefault="00E46111" w:rsidP="006F1DD2">
            <w:pPr>
              <w:spacing w:before="20" w:after="20" w:line="240" w:lineRule="auto"/>
              <w:jc w:val="center"/>
              <w:rPr>
                <w:rFonts w:cs="Arial"/>
                <w:sz w:val="18"/>
                <w:szCs w:val="18"/>
              </w:rPr>
            </w:pPr>
            <w:r w:rsidRPr="001E05F5">
              <w:rPr>
                <w:rFonts w:cs="Arial"/>
                <w:sz w:val="18"/>
                <w:szCs w:val="18"/>
              </w:rPr>
              <w:t>0.21%</w:t>
            </w:r>
          </w:p>
        </w:tc>
      </w:tr>
      <w:tr w:rsidR="00E46111" w:rsidRPr="001E05F5" w14:paraId="5F47AEDE" w14:textId="77777777" w:rsidTr="00E356FE">
        <w:tc>
          <w:tcPr>
            <w:tcW w:w="2424" w:type="dxa"/>
            <w:tcBorders>
              <w:top w:val="nil"/>
              <w:left w:val="single" w:sz="4" w:space="0" w:color="auto"/>
              <w:bottom w:val="single" w:sz="4" w:space="0" w:color="auto"/>
              <w:right w:val="single" w:sz="4" w:space="0" w:color="auto"/>
            </w:tcBorders>
            <w:shd w:val="clear" w:color="auto" w:fill="auto"/>
            <w:vAlign w:val="center"/>
            <w:hideMark/>
          </w:tcPr>
          <w:p w14:paraId="6728403A" w14:textId="77777777" w:rsidR="00E46111" w:rsidRPr="001E05F5" w:rsidRDefault="00E46111" w:rsidP="00E356FE">
            <w:pPr>
              <w:spacing w:before="40" w:after="40" w:line="240" w:lineRule="auto"/>
              <w:jc w:val="right"/>
              <w:rPr>
                <w:rFonts w:cs="Arial"/>
                <w:sz w:val="18"/>
                <w:szCs w:val="18"/>
              </w:rPr>
            </w:pPr>
            <w:r w:rsidRPr="001E05F5">
              <w:rPr>
                <w:rFonts w:cs="Arial"/>
                <w:sz w:val="18"/>
                <w:szCs w:val="18"/>
              </w:rPr>
              <w:t>Annual average change since 2012/13</w:t>
            </w:r>
          </w:p>
        </w:tc>
        <w:tc>
          <w:tcPr>
            <w:tcW w:w="907" w:type="dxa"/>
            <w:tcBorders>
              <w:top w:val="nil"/>
              <w:left w:val="single" w:sz="4" w:space="0" w:color="auto"/>
              <w:bottom w:val="single" w:sz="4" w:space="0" w:color="auto"/>
              <w:right w:val="nil"/>
            </w:tcBorders>
            <w:shd w:val="clear" w:color="auto" w:fill="auto"/>
            <w:noWrap/>
            <w:vAlign w:val="center"/>
            <w:hideMark/>
          </w:tcPr>
          <w:p w14:paraId="0E34DE65" w14:textId="77777777" w:rsidR="00E46111" w:rsidRPr="001E05F5" w:rsidRDefault="00E46111" w:rsidP="00427A85">
            <w:pPr>
              <w:spacing w:before="40" w:after="40" w:line="240" w:lineRule="auto"/>
              <w:rPr>
                <w:rFonts w:cs="Arial"/>
                <w:sz w:val="18"/>
                <w:szCs w:val="18"/>
              </w:rPr>
            </w:pPr>
          </w:p>
        </w:tc>
        <w:tc>
          <w:tcPr>
            <w:tcW w:w="907" w:type="dxa"/>
            <w:tcBorders>
              <w:top w:val="nil"/>
              <w:left w:val="nil"/>
              <w:bottom w:val="single" w:sz="4" w:space="0" w:color="auto"/>
              <w:right w:val="nil"/>
            </w:tcBorders>
            <w:shd w:val="clear" w:color="auto" w:fill="auto"/>
            <w:noWrap/>
            <w:vAlign w:val="center"/>
            <w:hideMark/>
          </w:tcPr>
          <w:p w14:paraId="1D447CB2" w14:textId="77777777" w:rsidR="00E46111" w:rsidRPr="001E05F5" w:rsidRDefault="00E46111" w:rsidP="00427A85">
            <w:pPr>
              <w:spacing w:before="40" w:after="40" w:line="240" w:lineRule="auto"/>
              <w:rPr>
                <w:rFonts w:cs="Arial"/>
                <w:sz w:val="18"/>
                <w:szCs w:val="18"/>
              </w:rPr>
            </w:pPr>
          </w:p>
        </w:tc>
        <w:tc>
          <w:tcPr>
            <w:tcW w:w="4535" w:type="dxa"/>
            <w:gridSpan w:val="5"/>
            <w:tcBorders>
              <w:top w:val="nil"/>
              <w:left w:val="nil"/>
              <w:bottom w:val="single" w:sz="4" w:space="0" w:color="auto"/>
              <w:right w:val="single" w:sz="4" w:space="0" w:color="auto"/>
            </w:tcBorders>
            <w:shd w:val="clear" w:color="000000" w:fill="93CDDD"/>
            <w:noWrap/>
            <w:vAlign w:val="center"/>
            <w:hideMark/>
          </w:tcPr>
          <w:p w14:paraId="67706E63" w14:textId="77777777" w:rsidR="00E46111" w:rsidRPr="001E05F5" w:rsidRDefault="00E46111" w:rsidP="006F1DD2">
            <w:pPr>
              <w:spacing w:before="40" w:after="40" w:line="240" w:lineRule="auto"/>
              <w:jc w:val="center"/>
              <w:rPr>
                <w:rFonts w:cs="Arial"/>
                <w:sz w:val="18"/>
                <w:szCs w:val="18"/>
              </w:rPr>
            </w:pPr>
            <w:r w:rsidRPr="001E05F5">
              <w:rPr>
                <w:rFonts w:cs="Arial"/>
                <w:sz w:val="18"/>
                <w:szCs w:val="18"/>
              </w:rPr>
              <w:t>-0.04%</w:t>
            </w:r>
          </w:p>
        </w:tc>
      </w:tr>
    </w:tbl>
    <w:p w14:paraId="5C0C71DC" w14:textId="77777777" w:rsidR="006F1DD2" w:rsidRPr="001E05F5" w:rsidRDefault="006F1DD2" w:rsidP="009D2E0B">
      <w:pPr>
        <w:pStyle w:val="Heading2"/>
        <w:numPr>
          <w:ilvl w:val="0"/>
          <w:numId w:val="0"/>
        </w:numPr>
        <w:spacing w:before="360" w:line="264" w:lineRule="auto"/>
        <w:ind w:left="567" w:hanging="567"/>
      </w:pPr>
      <w:bookmarkStart w:id="29" w:name="_Toc519062096"/>
      <w:bookmarkStart w:id="30" w:name="_Toc521426511"/>
      <w:r w:rsidRPr="001E05F5">
        <w:lastRenderedPageBreak/>
        <w:t>Economic growth and waste generation</w:t>
      </w:r>
      <w:bookmarkEnd w:id="29"/>
      <w:bookmarkEnd w:id="30"/>
    </w:p>
    <w:p w14:paraId="6478DE62" w14:textId="77777777" w:rsidR="006F1DD2" w:rsidRPr="001E05F5" w:rsidRDefault="006F1DD2" w:rsidP="006F1DD2">
      <w:r w:rsidRPr="001E05F5">
        <w:t>Historical trends in most industrial economies show that resource use and the resulting waste generation is linked to economic activity.  Decoupling economic growth from waste generation is the main objective of recent waste policies (e.g. waste prevention, resource efficiency, circular economy) across Europe.  Consequently, there have been a number of studies over the last few years that look at the relationship between waste growth and economic growth.</w:t>
      </w:r>
    </w:p>
    <w:p w14:paraId="0BF85129" w14:textId="77777777" w:rsidR="006F1DD2" w:rsidRPr="001E05F5" w:rsidRDefault="006F1DD2" w:rsidP="005B4B91">
      <w:r w:rsidRPr="001E05F5">
        <w:t>At the end of 2012, WRAP published a report</w:t>
      </w:r>
      <w:r w:rsidRPr="001E05F5">
        <w:rPr>
          <w:vertAlign w:val="superscript"/>
        </w:rPr>
        <w:footnoteReference w:id="6"/>
      </w:r>
      <w:r w:rsidRPr="001E05F5">
        <w:t xml:space="preserve"> highlighting that household waste arisings peaked between 2003 and 2007 and started to fall before the start of the recession, showing strong evidence of decoupling.  For England, there was strong evidence of decoupling of household waste arisings from Gross Disposable Household Income</w:t>
      </w:r>
      <w:r w:rsidRPr="001E05F5">
        <w:rPr>
          <w:vertAlign w:val="superscript"/>
        </w:rPr>
        <w:footnoteReference w:id="7"/>
      </w:r>
      <w:r w:rsidRPr="001E05F5">
        <w:t xml:space="preserve"> and a short period of decoupling with Gross Value Added</w:t>
      </w:r>
      <w:r w:rsidRPr="001E05F5">
        <w:rPr>
          <w:vertAlign w:val="superscript"/>
        </w:rPr>
        <w:footnoteReference w:id="8"/>
      </w:r>
      <w:r w:rsidRPr="001E05F5">
        <w:t>.  However, from 2005/06 waste rose and fell in line with Household Expenditure</w:t>
      </w:r>
      <w:r w:rsidRPr="001E05F5">
        <w:rPr>
          <w:vertAlign w:val="superscript"/>
        </w:rPr>
        <w:footnoteReference w:id="9"/>
      </w:r>
      <w:r w:rsidRPr="001E05F5">
        <w:t xml:space="preserve">, suggesting a strong link, or coupling, between Household Expenditure and household waste arisings, as would be expected.  </w:t>
      </w:r>
    </w:p>
    <w:p w14:paraId="504E5986" w14:textId="77777777" w:rsidR="006F1DD2" w:rsidRPr="001E05F5" w:rsidRDefault="006F1DD2" w:rsidP="005B4B91">
      <w:r w:rsidRPr="001E05F5">
        <w:t xml:space="preserve">It also highlighted that the perception of the 2007 credit crunch precipitated a loss of consumer confidence, with Household Expenditure falling while income was yet unaffected, and that household waste arisings are not coupled to Gross Disposable Household Income at a time of low consumer confidence (although they may well be at other more positive times). </w:t>
      </w:r>
    </w:p>
    <w:p w14:paraId="68CD5C65" w14:textId="77873324" w:rsidR="006F1DD2" w:rsidRPr="001E05F5" w:rsidRDefault="006F1DD2" w:rsidP="005B4B91">
      <w:r w:rsidRPr="001E05F5">
        <w:t>More recent modelling</w:t>
      </w:r>
      <w:r w:rsidRPr="001E05F5">
        <w:rPr>
          <w:vertAlign w:val="superscript"/>
        </w:rPr>
        <w:footnoteReference w:id="10"/>
      </w:r>
      <w:r w:rsidRPr="001E05F5">
        <w:t xml:space="preserve"> undertaken b</w:t>
      </w:r>
      <w:r w:rsidR="00022CEF" w:rsidRPr="001E05F5">
        <w:t>y</w:t>
      </w:r>
      <w:r w:rsidRPr="001E05F5">
        <w:t xml:space="preserve"> the National Infrastructure Commission (NIC) to inform the National Infrastructure Assessment highlighted that historical data shows that waste generation is correlated with economic activity.  However, recent trends indicate that economic growth and LACW arisings may be decoupling (i.e. using less resources and generating less waste per unit of economic activity).  Due to the uncertainty around the rate at which waste arisings may decouple from economic growth in the future, a sensitivity analysis of the degree of decupling was factored into this modelling of future LACW arisings.</w:t>
      </w:r>
    </w:p>
    <w:p w14:paraId="295E6C0E" w14:textId="77777777" w:rsidR="006F1DD2" w:rsidRPr="001E05F5" w:rsidRDefault="006F1DD2" w:rsidP="005B4B91">
      <w:r w:rsidRPr="001E05F5">
        <w:t xml:space="preserve">The NIC modelling of future LACW arisings suggested LACW arisings of between 31 million tonnes and 59 million tonnes by 2050; with the exception of the model which assumed a high decoupling rate, which indicated a reduction to 23 million tonnes compared with a 2015 arising of 26 million tonnes.  </w:t>
      </w:r>
    </w:p>
    <w:p w14:paraId="26641500" w14:textId="5E9E856D" w:rsidR="006F1DD2" w:rsidRPr="001E05F5" w:rsidRDefault="006F1DD2" w:rsidP="005B4B91">
      <w:r w:rsidRPr="001E05F5">
        <w:t xml:space="preserve">Therefore, when forecasting future LACW arisings, there is a need to recognise a degree of decoupling of waste growth from economic growth but </w:t>
      </w:r>
      <w:r w:rsidR="005D4CC2" w:rsidRPr="001E05F5">
        <w:t>a</w:t>
      </w:r>
      <w:r w:rsidRPr="001E05F5">
        <w:t xml:space="preserve"> correlation of house expenditure with LACW growth</w:t>
      </w:r>
      <w:r w:rsidR="005D4CC2" w:rsidRPr="001E05F5">
        <w:t xml:space="preserve"> is still evident</w:t>
      </w:r>
      <w:r w:rsidRPr="001E05F5">
        <w:t xml:space="preserve">.  </w:t>
      </w:r>
    </w:p>
    <w:p w14:paraId="68867884" w14:textId="77777777" w:rsidR="001E7D4D" w:rsidRPr="001E05F5" w:rsidRDefault="005B4B91" w:rsidP="001E7D4D">
      <w:r w:rsidRPr="001E05F5">
        <w:t xml:space="preserve">Therefore, </w:t>
      </w:r>
      <w:r w:rsidR="00FA2A0E" w:rsidRPr="001E05F5">
        <w:t>three growth scenarios</w:t>
      </w:r>
      <w:r w:rsidRPr="001E05F5">
        <w:t xml:space="preserve"> based on the trends over the last five years have been considered along with two scenarios that assume a level of economic growth</w:t>
      </w:r>
      <w:r w:rsidR="001E7D4D" w:rsidRPr="001E05F5">
        <w:t xml:space="preserve"> which increase the waste generation per household</w:t>
      </w:r>
      <w:r w:rsidR="005603B8" w:rsidRPr="001E05F5">
        <w:t>:</w:t>
      </w:r>
      <w:r w:rsidR="001E7D4D" w:rsidRPr="001E05F5">
        <w:t xml:space="preserve"> </w:t>
      </w:r>
    </w:p>
    <w:p w14:paraId="09CA3FCA" w14:textId="6B1B2813" w:rsidR="00752183" w:rsidRPr="001E05F5" w:rsidRDefault="001E7D4D" w:rsidP="00D17D3B">
      <w:pPr>
        <w:pStyle w:val="ListParagraph"/>
        <w:numPr>
          <w:ilvl w:val="0"/>
          <w:numId w:val="4"/>
        </w:numPr>
      </w:pPr>
      <w:r w:rsidRPr="001E05F5">
        <w:t xml:space="preserve">One </w:t>
      </w:r>
      <w:r w:rsidR="00AA36A7" w:rsidRPr="001E05F5">
        <w:t xml:space="preserve">scenario </w:t>
      </w:r>
      <w:r w:rsidRPr="001E05F5">
        <w:t xml:space="preserve">considers a small increase </w:t>
      </w:r>
      <w:r w:rsidR="00752183" w:rsidRPr="001E05F5">
        <w:t>of</w:t>
      </w:r>
      <w:r w:rsidRPr="001E05F5">
        <w:t xml:space="preserve"> 0.25% per annum in </w:t>
      </w:r>
      <w:r w:rsidR="00752183" w:rsidRPr="001E05F5">
        <w:t>household waste per household from 201</w:t>
      </w:r>
      <w:r w:rsidR="007836E7" w:rsidRPr="001E05F5">
        <w:t>6</w:t>
      </w:r>
      <w:r w:rsidR="00752183" w:rsidRPr="001E05F5">
        <w:t>/1</w:t>
      </w:r>
      <w:r w:rsidR="007836E7" w:rsidRPr="001E05F5">
        <w:t>7</w:t>
      </w:r>
      <w:r w:rsidR="00752183" w:rsidRPr="001E05F5">
        <w:t xml:space="preserve">; and </w:t>
      </w:r>
    </w:p>
    <w:p w14:paraId="2EFDE813" w14:textId="0B377892" w:rsidR="005B4B91" w:rsidRPr="001E05F5" w:rsidRDefault="00AA36A7" w:rsidP="00D17D3B">
      <w:pPr>
        <w:pStyle w:val="ListParagraph"/>
        <w:numPr>
          <w:ilvl w:val="0"/>
          <w:numId w:val="4"/>
        </w:numPr>
      </w:pPr>
      <w:r w:rsidRPr="001E05F5">
        <w:lastRenderedPageBreak/>
        <w:t>An</w:t>
      </w:r>
      <w:r w:rsidR="007836E7" w:rsidRPr="001E05F5">
        <w:t xml:space="preserve">other </w:t>
      </w:r>
      <w:r w:rsidRPr="001E05F5">
        <w:t xml:space="preserve">scenario seeks </w:t>
      </w:r>
      <w:r w:rsidR="005603B8" w:rsidRPr="001E05F5">
        <w:t xml:space="preserve">to reflect an increase in the UK economy </w:t>
      </w:r>
      <w:r w:rsidR="005D4CC2" w:rsidRPr="001E05F5">
        <w:t>from</w:t>
      </w:r>
      <w:r w:rsidR="007836E7" w:rsidRPr="001E05F5">
        <w:t xml:space="preserve"> growth in </w:t>
      </w:r>
      <w:r w:rsidR="005603B8" w:rsidRPr="001E05F5">
        <w:t xml:space="preserve">manufacturing within the UK, as a result of the UK’s decision to leave the European Union.  </w:t>
      </w:r>
      <w:r w:rsidR="00E356FE" w:rsidRPr="001E05F5">
        <w:t>However,</w:t>
      </w:r>
      <w:r w:rsidR="005603B8" w:rsidRPr="001E05F5">
        <w:t xml:space="preserve"> there is clearly a degree of uncertainty over how the UK economy will change as a result of Brexit.</w:t>
      </w:r>
    </w:p>
    <w:p w14:paraId="5DBCE383" w14:textId="77777777" w:rsidR="007836E7" w:rsidRPr="001E05F5" w:rsidRDefault="007836E7" w:rsidP="00A3784A">
      <w:r w:rsidRPr="001E05F5">
        <w:t xml:space="preserve">The scenarios are summarised in Table </w:t>
      </w:r>
      <w:r w:rsidR="00E7613F" w:rsidRPr="001E05F5">
        <w:t>A</w:t>
      </w:r>
      <w:r w:rsidRPr="001E05F5">
        <w:t>3</w:t>
      </w:r>
    </w:p>
    <w:p w14:paraId="327104CA" w14:textId="77777777" w:rsidR="005B4B91" w:rsidRPr="001E05F5" w:rsidRDefault="007836E7" w:rsidP="00A3784A">
      <w:pPr>
        <w:rPr>
          <w:b/>
        </w:rPr>
      </w:pPr>
      <w:r w:rsidRPr="001E05F5">
        <w:rPr>
          <w:b/>
        </w:rPr>
        <w:t xml:space="preserve">Table </w:t>
      </w:r>
      <w:r w:rsidR="00E7613F" w:rsidRPr="001E05F5">
        <w:rPr>
          <w:b/>
        </w:rPr>
        <w:t>A</w:t>
      </w:r>
      <w:r w:rsidRPr="001E05F5">
        <w:rPr>
          <w:b/>
        </w:rPr>
        <w:t>3: Waste Growth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6"/>
        <w:gridCol w:w="4753"/>
        <w:gridCol w:w="3251"/>
      </w:tblGrid>
      <w:tr w:rsidR="00FB7CAD" w:rsidRPr="001E05F5" w14:paraId="6CC299E7" w14:textId="77777777" w:rsidTr="00873D04">
        <w:trPr>
          <w:trHeight w:val="270"/>
          <w:tblHeader/>
        </w:trPr>
        <w:tc>
          <w:tcPr>
            <w:tcW w:w="573" w:type="pct"/>
            <w:shd w:val="clear" w:color="000000" w:fill="DBE5F1"/>
            <w:vAlign w:val="center"/>
            <w:hideMark/>
          </w:tcPr>
          <w:p w14:paraId="34D177F3" w14:textId="77777777" w:rsidR="00FA2A0E" w:rsidRPr="001E05F5" w:rsidRDefault="00FA2A0E" w:rsidP="006F1DD2">
            <w:pPr>
              <w:pStyle w:val="TableHeading"/>
              <w:jc w:val="left"/>
              <w:rPr>
                <w:sz w:val="18"/>
              </w:rPr>
            </w:pPr>
            <w:r w:rsidRPr="001E05F5">
              <w:rPr>
                <w:sz w:val="18"/>
              </w:rPr>
              <w:t>Scenario</w:t>
            </w:r>
          </w:p>
        </w:tc>
        <w:tc>
          <w:tcPr>
            <w:tcW w:w="2629" w:type="pct"/>
            <w:shd w:val="clear" w:color="000000" w:fill="DBE5F1"/>
            <w:vAlign w:val="center"/>
            <w:hideMark/>
          </w:tcPr>
          <w:p w14:paraId="62F37274" w14:textId="77777777" w:rsidR="00FA2A0E" w:rsidRPr="001E05F5" w:rsidRDefault="00FB7CAD" w:rsidP="006F1DD2">
            <w:pPr>
              <w:pStyle w:val="TableHeading"/>
              <w:rPr>
                <w:sz w:val="18"/>
              </w:rPr>
            </w:pPr>
            <w:r w:rsidRPr="001E05F5">
              <w:rPr>
                <w:sz w:val="18"/>
              </w:rPr>
              <w:t>Household w</w:t>
            </w:r>
            <w:r w:rsidR="00FA2A0E" w:rsidRPr="001E05F5">
              <w:rPr>
                <w:sz w:val="18"/>
              </w:rPr>
              <w:t>aste per household assumptions</w:t>
            </w:r>
          </w:p>
        </w:tc>
        <w:tc>
          <w:tcPr>
            <w:tcW w:w="1798" w:type="pct"/>
            <w:shd w:val="clear" w:color="000000" w:fill="DBE5F1"/>
          </w:tcPr>
          <w:p w14:paraId="307AA96D" w14:textId="77777777" w:rsidR="00FA2A0E" w:rsidRPr="001E05F5" w:rsidRDefault="00FA2A0E" w:rsidP="006F1DD2">
            <w:pPr>
              <w:pStyle w:val="TableHeading"/>
              <w:rPr>
                <w:sz w:val="18"/>
              </w:rPr>
            </w:pPr>
            <w:r w:rsidRPr="001E05F5">
              <w:rPr>
                <w:sz w:val="18"/>
              </w:rPr>
              <w:t xml:space="preserve">Non-household </w:t>
            </w:r>
            <w:r w:rsidR="00CD7AA9" w:rsidRPr="001E05F5">
              <w:rPr>
                <w:rFonts w:cs="Arial"/>
                <w:sz w:val="18"/>
              </w:rPr>
              <w:t xml:space="preserve">waste </w:t>
            </w:r>
            <w:r w:rsidRPr="001E05F5">
              <w:rPr>
                <w:sz w:val="18"/>
              </w:rPr>
              <w:t>assumptions</w:t>
            </w:r>
          </w:p>
        </w:tc>
      </w:tr>
      <w:tr w:rsidR="00FA2A0E" w:rsidRPr="001E05F5" w14:paraId="4D0C6D6D" w14:textId="77777777" w:rsidTr="00571F2D">
        <w:tc>
          <w:tcPr>
            <w:tcW w:w="573" w:type="pct"/>
            <w:shd w:val="clear" w:color="auto" w:fill="auto"/>
            <w:vAlign w:val="center"/>
            <w:hideMark/>
          </w:tcPr>
          <w:p w14:paraId="009734EC" w14:textId="77777777" w:rsidR="00FA2A0E" w:rsidRPr="001E05F5" w:rsidRDefault="00FA2A0E" w:rsidP="00A347FA">
            <w:pPr>
              <w:pStyle w:val="TableText"/>
              <w:rPr>
                <w:rFonts w:ascii="Arial" w:hAnsi="Arial" w:cs="Arial"/>
                <w:sz w:val="20"/>
                <w:szCs w:val="20"/>
              </w:rPr>
            </w:pPr>
            <w:r w:rsidRPr="001E05F5">
              <w:rPr>
                <w:rFonts w:ascii="Arial" w:hAnsi="Arial" w:cs="Arial"/>
                <w:sz w:val="20"/>
                <w:szCs w:val="20"/>
              </w:rPr>
              <w:t>1</w:t>
            </w:r>
          </w:p>
        </w:tc>
        <w:tc>
          <w:tcPr>
            <w:tcW w:w="2629" w:type="pct"/>
            <w:shd w:val="clear" w:color="auto" w:fill="auto"/>
            <w:noWrap/>
            <w:hideMark/>
          </w:tcPr>
          <w:p w14:paraId="43D5FAE8" w14:textId="77777777" w:rsidR="00FA2A0E" w:rsidRPr="001E05F5" w:rsidRDefault="00FA2A0E" w:rsidP="00A347FA">
            <w:pPr>
              <w:pStyle w:val="TableText"/>
              <w:rPr>
                <w:rFonts w:ascii="Arial" w:hAnsi="Arial" w:cs="Arial"/>
                <w:sz w:val="20"/>
                <w:szCs w:val="20"/>
              </w:rPr>
            </w:pPr>
            <w:r w:rsidRPr="001E05F5">
              <w:rPr>
                <w:rFonts w:ascii="Arial" w:hAnsi="Arial" w:cs="Arial"/>
                <w:sz w:val="20"/>
                <w:szCs w:val="20"/>
              </w:rPr>
              <w:t xml:space="preserve">Static household waste per household based the 2016/17 figure </w:t>
            </w:r>
          </w:p>
        </w:tc>
        <w:tc>
          <w:tcPr>
            <w:tcW w:w="1798" w:type="pct"/>
          </w:tcPr>
          <w:p w14:paraId="03076077" w14:textId="77777777" w:rsidR="00FA2A0E" w:rsidRPr="001E05F5" w:rsidRDefault="00FA2A0E" w:rsidP="00A347FA">
            <w:pPr>
              <w:pStyle w:val="TableText"/>
              <w:rPr>
                <w:rFonts w:ascii="Arial" w:hAnsi="Arial" w:cs="Arial"/>
                <w:sz w:val="20"/>
                <w:szCs w:val="20"/>
              </w:rPr>
            </w:pPr>
            <w:r w:rsidRPr="001E05F5">
              <w:rPr>
                <w:rFonts w:ascii="Arial" w:hAnsi="Arial" w:cs="Arial"/>
                <w:sz w:val="20"/>
                <w:szCs w:val="20"/>
              </w:rPr>
              <w:t xml:space="preserve">Non-households </w:t>
            </w:r>
            <w:r w:rsidR="00CD7AA9" w:rsidRPr="001E05F5">
              <w:rPr>
                <w:rFonts w:ascii="Arial" w:hAnsi="Arial" w:cs="Arial"/>
                <w:sz w:val="20"/>
                <w:szCs w:val="20"/>
              </w:rPr>
              <w:t xml:space="preserve">waste </w:t>
            </w:r>
            <w:r w:rsidRPr="001E05F5">
              <w:rPr>
                <w:rFonts w:ascii="Arial" w:hAnsi="Arial" w:cs="Arial"/>
                <w:sz w:val="20"/>
                <w:szCs w:val="20"/>
              </w:rPr>
              <w:t>remains static at 2016/17 level.</w:t>
            </w:r>
          </w:p>
        </w:tc>
      </w:tr>
      <w:tr w:rsidR="00FA2A0E" w:rsidRPr="001E05F5" w14:paraId="4EBF7A05" w14:textId="77777777" w:rsidTr="00873D04">
        <w:tc>
          <w:tcPr>
            <w:tcW w:w="573" w:type="pct"/>
            <w:shd w:val="clear" w:color="auto" w:fill="auto"/>
            <w:vAlign w:val="center"/>
            <w:hideMark/>
          </w:tcPr>
          <w:p w14:paraId="70CED147" w14:textId="77777777" w:rsidR="00FA2A0E" w:rsidRPr="001E05F5" w:rsidRDefault="00FA2A0E" w:rsidP="00A347FA">
            <w:pPr>
              <w:pStyle w:val="TableText"/>
              <w:rPr>
                <w:rFonts w:ascii="Arial" w:hAnsi="Arial" w:cs="Arial"/>
                <w:sz w:val="20"/>
                <w:szCs w:val="20"/>
              </w:rPr>
            </w:pPr>
            <w:r w:rsidRPr="001E05F5">
              <w:rPr>
                <w:rFonts w:ascii="Arial" w:hAnsi="Arial" w:cs="Arial"/>
                <w:sz w:val="20"/>
                <w:szCs w:val="20"/>
              </w:rPr>
              <w:t>2</w:t>
            </w:r>
          </w:p>
        </w:tc>
        <w:tc>
          <w:tcPr>
            <w:tcW w:w="2629" w:type="pct"/>
            <w:shd w:val="clear" w:color="auto" w:fill="auto"/>
            <w:noWrap/>
            <w:vAlign w:val="center"/>
            <w:hideMark/>
          </w:tcPr>
          <w:p w14:paraId="493F8A1A" w14:textId="77777777" w:rsidR="00FA2A0E" w:rsidRPr="001E05F5" w:rsidRDefault="00FA2A0E" w:rsidP="00A347FA">
            <w:pPr>
              <w:pStyle w:val="TableText"/>
              <w:rPr>
                <w:rFonts w:ascii="Arial" w:hAnsi="Arial" w:cs="Arial"/>
                <w:sz w:val="20"/>
                <w:szCs w:val="20"/>
              </w:rPr>
            </w:pPr>
            <w:r w:rsidRPr="001E05F5">
              <w:rPr>
                <w:rFonts w:ascii="Arial" w:hAnsi="Arial" w:cs="Arial"/>
                <w:sz w:val="20"/>
                <w:szCs w:val="20"/>
              </w:rPr>
              <w:t xml:space="preserve">The household waste per household </w:t>
            </w:r>
            <w:r w:rsidR="007836E7" w:rsidRPr="001E05F5">
              <w:rPr>
                <w:rFonts w:ascii="Arial" w:hAnsi="Arial" w:cs="Arial"/>
                <w:sz w:val="20"/>
                <w:szCs w:val="20"/>
              </w:rPr>
              <w:t xml:space="preserve">changes from the 2016/17 figure based on the </w:t>
            </w:r>
            <w:r w:rsidRPr="001E05F5">
              <w:rPr>
                <w:rFonts w:ascii="Arial" w:hAnsi="Arial" w:cs="Arial"/>
                <w:sz w:val="20"/>
                <w:szCs w:val="20"/>
              </w:rPr>
              <w:t>annual average change since 2014/15</w:t>
            </w:r>
          </w:p>
        </w:tc>
        <w:tc>
          <w:tcPr>
            <w:tcW w:w="1798" w:type="pct"/>
          </w:tcPr>
          <w:p w14:paraId="25A1E449" w14:textId="77777777" w:rsidR="00FA2A0E" w:rsidRPr="001E05F5" w:rsidRDefault="00FA2A0E" w:rsidP="00A347FA">
            <w:pPr>
              <w:pStyle w:val="TableText"/>
              <w:rPr>
                <w:rFonts w:ascii="Arial" w:hAnsi="Arial" w:cs="Arial"/>
                <w:sz w:val="20"/>
                <w:szCs w:val="20"/>
              </w:rPr>
            </w:pPr>
            <w:r w:rsidRPr="001E05F5">
              <w:rPr>
                <w:rFonts w:ascii="Arial" w:hAnsi="Arial" w:cs="Arial"/>
                <w:sz w:val="20"/>
                <w:szCs w:val="20"/>
              </w:rPr>
              <w:t xml:space="preserve">Non-households </w:t>
            </w:r>
            <w:r w:rsidR="00CD7AA9" w:rsidRPr="001E05F5">
              <w:rPr>
                <w:rFonts w:ascii="Arial" w:hAnsi="Arial" w:cs="Arial"/>
                <w:sz w:val="20"/>
                <w:szCs w:val="20"/>
              </w:rPr>
              <w:t xml:space="preserve">waste </w:t>
            </w:r>
            <w:r w:rsidRPr="001E05F5">
              <w:rPr>
                <w:rFonts w:ascii="Arial" w:hAnsi="Arial" w:cs="Arial"/>
                <w:sz w:val="20"/>
                <w:szCs w:val="20"/>
              </w:rPr>
              <w:t>remains static at 2016/17 level.</w:t>
            </w:r>
          </w:p>
        </w:tc>
      </w:tr>
      <w:tr w:rsidR="00FA2A0E" w:rsidRPr="001E05F5" w14:paraId="0E4395D9" w14:textId="77777777" w:rsidTr="00873D04">
        <w:tc>
          <w:tcPr>
            <w:tcW w:w="573" w:type="pct"/>
            <w:shd w:val="clear" w:color="auto" w:fill="auto"/>
            <w:vAlign w:val="center"/>
            <w:hideMark/>
          </w:tcPr>
          <w:p w14:paraId="22B8DFD2" w14:textId="77777777" w:rsidR="00FA2A0E" w:rsidRPr="001E05F5" w:rsidRDefault="00FB7CAD" w:rsidP="00A347FA">
            <w:pPr>
              <w:pStyle w:val="TableText"/>
              <w:rPr>
                <w:rFonts w:ascii="Arial" w:hAnsi="Arial" w:cs="Arial"/>
                <w:sz w:val="20"/>
                <w:szCs w:val="20"/>
              </w:rPr>
            </w:pPr>
            <w:r w:rsidRPr="001E05F5">
              <w:rPr>
                <w:rFonts w:ascii="Arial" w:hAnsi="Arial" w:cs="Arial"/>
                <w:sz w:val="20"/>
                <w:szCs w:val="20"/>
              </w:rPr>
              <w:t>3</w:t>
            </w:r>
          </w:p>
        </w:tc>
        <w:tc>
          <w:tcPr>
            <w:tcW w:w="2629" w:type="pct"/>
            <w:shd w:val="clear" w:color="auto" w:fill="auto"/>
            <w:noWrap/>
            <w:hideMark/>
          </w:tcPr>
          <w:p w14:paraId="296F3223" w14:textId="77777777" w:rsidR="00FA2A0E" w:rsidRPr="001E05F5" w:rsidRDefault="00FB7CAD" w:rsidP="00A347FA">
            <w:pPr>
              <w:pStyle w:val="TableText"/>
              <w:rPr>
                <w:rFonts w:ascii="Arial" w:hAnsi="Arial" w:cs="Arial"/>
                <w:sz w:val="20"/>
                <w:szCs w:val="20"/>
              </w:rPr>
            </w:pPr>
            <w:r w:rsidRPr="001E05F5">
              <w:rPr>
                <w:rFonts w:ascii="Arial" w:hAnsi="Arial" w:cs="Arial"/>
                <w:sz w:val="20"/>
                <w:szCs w:val="20"/>
              </w:rPr>
              <w:t xml:space="preserve">The household waste per household </w:t>
            </w:r>
            <w:r w:rsidR="007836E7" w:rsidRPr="001E05F5">
              <w:rPr>
                <w:rFonts w:ascii="Arial" w:hAnsi="Arial" w:cs="Arial"/>
                <w:sz w:val="20"/>
                <w:szCs w:val="20"/>
              </w:rPr>
              <w:t xml:space="preserve">changes </w:t>
            </w:r>
            <w:r w:rsidRPr="001E05F5">
              <w:rPr>
                <w:rFonts w:ascii="Arial" w:hAnsi="Arial" w:cs="Arial"/>
                <w:sz w:val="20"/>
                <w:szCs w:val="20"/>
              </w:rPr>
              <w:t xml:space="preserve">from the 2016/17 figure </w:t>
            </w:r>
            <w:r w:rsidR="007836E7" w:rsidRPr="001E05F5">
              <w:rPr>
                <w:rFonts w:ascii="Arial" w:hAnsi="Arial" w:cs="Arial"/>
                <w:sz w:val="20"/>
                <w:szCs w:val="20"/>
              </w:rPr>
              <w:t xml:space="preserve">based on the </w:t>
            </w:r>
            <w:r w:rsidRPr="001E05F5">
              <w:rPr>
                <w:rFonts w:ascii="Arial" w:hAnsi="Arial" w:cs="Arial"/>
                <w:sz w:val="20"/>
                <w:szCs w:val="20"/>
              </w:rPr>
              <w:t xml:space="preserve">annual average change since </w:t>
            </w:r>
            <w:r w:rsidR="00FA2A0E" w:rsidRPr="001E05F5">
              <w:rPr>
                <w:rFonts w:ascii="Arial" w:hAnsi="Arial" w:cs="Arial"/>
                <w:sz w:val="20"/>
                <w:szCs w:val="20"/>
              </w:rPr>
              <w:t>2012/13</w:t>
            </w:r>
          </w:p>
        </w:tc>
        <w:tc>
          <w:tcPr>
            <w:tcW w:w="1798" w:type="pct"/>
          </w:tcPr>
          <w:p w14:paraId="29E3410F" w14:textId="77777777" w:rsidR="00FA2A0E" w:rsidRPr="001E05F5" w:rsidRDefault="00FA2A0E" w:rsidP="00A347FA">
            <w:pPr>
              <w:pStyle w:val="TableText"/>
              <w:rPr>
                <w:rFonts w:ascii="Arial" w:hAnsi="Arial" w:cs="Arial"/>
                <w:sz w:val="20"/>
                <w:szCs w:val="20"/>
              </w:rPr>
            </w:pPr>
            <w:r w:rsidRPr="001E05F5">
              <w:rPr>
                <w:rFonts w:ascii="Arial" w:hAnsi="Arial" w:cs="Arial"/>
                <w:sz w:val="20"/>
                <w:szCs w:val="20"/>
              </w:rPr>
              <w:t xml:space="preserve">Non-households </w:t>
            </w:r>
            <w:r w:rsidR="00CD7AA9" w:rsidRPr="001E05F5">
              <w:rPr>
                <w:rFonts w:ascii="Arial" w:hAnsi="Arial" w:cs="Arial"/>
                <w:sz w:val="20"/>
                <w:szCs w:val="20"/>
              </w:rPr>
              <w:t xml:space="preserve">waste </w:t>
            </w:r>
            <w:r w:rsidRPr="001E05F5">
              <w:rPr>
                <w:rFonts w:ascii="Arial" w:hAnsi="Arial" w:cs="Arial"/>
                <w:sz w:val="20"/>
                <w:szCs w:val="20"/>
              </w:rPr>
              <w:t>remains static at 2016/17 level.</w:t>
            </w:r>
          </w:p>
        </w:tc>
      </w:tr>
      <w:tr w:rsidR="00873D04" w:rsidRPr="001E05F5" w14:paraId="2C27A06A" w14:textId="77777777" w:rsidTr="00873D04">
        <w:tc>
          <w:tcPr>
            <w:tcW w:w="573" w:type="pct"/>
            <w:shd w:val="clear" w:color="auto" w:fill="auto"/>
            <w:vAlign w:val="center"/>
            <w:hideMark/>
          </w:tcPr>
          <w:p w14:paraId="51D85E8D" w14:textId="77777777" w:rsidR="00873D04" w:rsidRPr="001E05F5" w:rsidRDefault="00873D04" w:rsidP="00A347FA">
            <w:pPr>
              <w:pStyle w:val="TableText"/>
              <w:rPr>
                <w:rFonts w:ascii="Arial" w:hAnsi="Arial" w:cs="Arial"/>
                <w:sz w:val="20"/>
                <w:szCs w:val="20"/>
              </w:rPr>
            </w:pPr>
            <w:r w:rsidRPr="001E05F5">
              <w:rPr>
                <w:rFonts w:ascii="Arial" w:hAnsi="Arial" w:cs="Arial"/>
                <w:sz w:val="20"/>
                <w:szCs w:val="20"/>
              </w:rPr>
              <w:t>4</w:t>
            </w:r>
          </w:p>
        </w:tc>
        <w:tc>
          <w:tcPr>
            <w:tcW w:w="2629" w:type="pct"/>
            <w:shd w:val="clear" w:color="auto" w:fill="auto"/>
            <w:noWrap/>
            <w:hideMark/>
          </w:tcPr>
          <w:p w14:paraId="74B03451" w14:textId="77777777" w:rsidR="00873D04" w:rsidRPr="001E05F5" w:rsidRDefault="007836E7" w:rsidP="00A347FA">
            <w:pPr>
              <w:pStyle w:val="TableText"/>
              <w:rPr>
                <w:rFonts w:ascii="Arial" w:hAnsi="Arial" w:cs="Arial"/>
                <w:sz w:val="20"/>
                <w:szCs w:val="20"/>
              </w:rPr>
            </w:pPr>
            <w:r w:rsidRPr="001E05F5">
              <w:rPr>
                <w:rFonts w:ascii="Arial" w:hAnsi="Arial" w:cs="Arial"/>
                <w:sz w:val="20"/>
                <w:szCs w:val="20"/>
              </w:rPr>
              <w:t>The household waste per household increases at 0.25% per annum from the 2016/17.</w:t>
            </w:r>
          </w:p>
        </w:tc>
        <w:tc>
          <w:tcPr>
            <w:tcW w:w="1798" w:type="pct"/>
          </w:tcPr>
          <w:p w14:paraId="26D3F340" w14:textId="77777777" w:rsidR="00873D04" w:rsidRPr="001E05F5" w:rsidRDefault="007836E7" w:rsidP="00A347FA">
            <w:pPr>
              <w:pStyle w:val="TableText"/>
              <w:rPr>
                <w:rFonts w:ascii="Arial" w:hAnsi="Arial" w:cs="Arial"/>
                <w:sz w:val="20"/>
                <w:szCs w:val="20"/>
              </w:rPr>
            </w:pPr>
            <w:r w:rsidRPr="001E05F5">
              <w:rPr>
                <w:rFonts w:ascii="Arial" w:hAnsi="Arial" w:cs="Arial"/>
                <w:sz w:val="20"/>
                <w:szCs w:val="20"/>
              </w:rPr>
              <w:t>Non-households</w:t>
            </w:r>
            <w:r w:rsidR="00CD7AA9" w:rsidRPr="001E05F5">
              <w:rPr>
                <w:rFonts w:ascii="Arial" w:hAnsi="Arial" w:cs="Arial"/>
                <w:sz w:val="20"/>
                <w:szCs w:val="20"/>
              </w:rPr>
              <w:t xml:space="preserve"> waste</w:t>
            </w:r>
            <w:r w:rsidRPr="001E05F5">
              <w:rPr>
                <w:rFonts w:ascii="Arial" w:hAnsi="Arial" w:cs="Arial"/>
                <w:sz w:val="20"/>
                <w:szCs w:val="20"/>
              </w:rPr>
              <w:t xml:space="preserve"> remains static at 2016/17 level.</w:t>
            </w:r>
          </w:p>
        </w:tc>
      </w:tr>
      <w:tr w:rsidR="00873D04" w:rsidRPr="001E05F5" w14:paraId="2FA901E0" w14:textId="77777777" w:rsidTr="00873D04">
        <w:tc>
          <w:tcPr>
            <w:tcW w:w="573" w:type="pct"/>
            <w:shd w:val="clear" w:color="auto" w:fill="auto"/>
            <w:vAlign w:val="center"/>
            <w:hideMark/>
          </w:tcPr>
          <w:p w14:paraId="0741C4E6" w14:textId="77777777" w:rsidR="00873D04" w:rsidRPr="001E05F5" w:rsidRDefault="00873D04" w:rsidP="00A347FA">
            <w:pPr>
              <w:pStyle w:val="TableText"/>
              <w:rPr>
                <w:rFonts w:ascii="Arial" w:hAnsi="Arial" w:cs="Arial"/>
                <w:sz w:val="20"/>
                <w:szCs w:val="20"/>
              </w:rPr>
            </w:pPr>
            <w:r w:rsidRPr="001E05F5">
              <w:rPr>
                <w:rFonts w:ascii="Arial" w:hAnsi="Arial" w:cs="Arial"/>
                <w:sz w:val="20"/>
                <w:szCs w:val="20"/>
              </w:rPr>
              <w:t>5</w:t>
            </w:r>
          </w:p>
        </w:tc>
        <w:tc>
          <w:tcPr>
            <w:tcW w:w="2629" w:type="pct"/>
            <w:shd w:val="clear" w:color="auto" w:fill="auto"/>
            <w:noWrap/>
            <w:hideMark/>
          </w:tcPr>
          <w:p w14:paraId="012B5C7D" w14:textId="77777777" w:rsidR="00873D04" w:rsidRPr="001E05F5" w:rsidRDefault="007836E7" w:rsidP="00A347FA">
            <w:pPr>
              <w:pStyle w:val="TableText"/>
              <w:rPr>
                <w:rFonts w:ascii="Arial" w:hAnsi="Arial" w:cs="Arial"/>
                <w:sz w:val="20"/>
                <w:szCs w:val="20"/>
              </w:rPr>
            </w:pPr>
            <w:r w:rsidRPr="001E05F5">
              <w:rPr>
                <w:rFonts w:ascii="Arial" w:hAnsi="Arial" w:cs="Arial"/>
                <w:sz w:val="20"/>
                <w:szCs w:val="20"/>
              </w:rPr>
              <w:t>As per Scenario 1 up to 2024/25, then a 0.5% per annum increase in household waste per household</w:t>
            </w:r>
          </w:p>
        </w:tc>
        <w:tc>
          <w:tcPr>
            <w:tcW w:w="1798" w:type="pct"/>
          </w:tcPr>
          <w:p w14:paraId="7787CBF9" w14:textId="77777777" w:rsidR="00873D04" w:rsidRPr="001E05F5" w:rsidRDefault="007836E7" w:rsidP="00A347FA">
            <w:pPr>
              <w:pStyle w:val="TableText"/>
              <w:rPr>
                <w:rFonts w:ascii="Arial" w:hAnsi="Arial" w:cs="Arial"/>
                <w:sz w:val="20"/>
                <w:szCs w:val="20"/>
              </w:rPr>
            </w:pPr>
            <w:r w:rsidRPr="001E05F5">
              <w:rPr>
                <w:rFonts w:ascii="Arial" w:hAnsi="Arial" w:cs="Arial"/>
                <w:sz w:val="20"/>
                <w:szCs w:val="20"/>
              </w:rPr>
              <w:t xml:space="preserve">Non-households </w:t>
            </w:r>
            <w:r w:rsidR="00CD7AA9" w:rsidRPr="001E05F5">
              <w:rPr>
                <w:rFonts w:ascii="Arial" w:hAnsi="Arial" w:cs="Arial"/>
                <w:sz w:val="20"/>
                <w:szCs w:val="20"/>
              </w:rPr>
              <w:t xml:space="preserve">waste </w:t>
            </w:r>
            <w:r w:rsidRPr="001E05F5">
              <w:rPr>
                <w:rFonts w:ascii="Arial" w:hAnsi="Arial" w:cs="Arial"/>
                <w:sz w:val="20"/>
                <w:szCs w:val="20"/>
              </w:rPr>
              <w:t>remains static at 2016/17 level.</w:t>
            </w:r>
          </w:p>
        </w:tc>
      </w:tr>
    </w:tbl>
    <w:p w14:paraId="01B9BB7B" w14:textId="77777777" w:rsidR="00832A70" w:rsidRPr="001E05F5" w:rsidRDefault="00832A70" w:rsidP="00A3784A"/>
    <w:p w14:paraId="4D5A0DA3" w14:textId="0F99871D" w:rsidR="007836E7" w:rsidRPr="001E05F5" w:rsidRDefault="004F09B3" w:rsidP="007836E7">
      <w:r w:rsidRPr="001E05F5">
        <w:t xml:space="preserve">Table </w:t>
      </w:r>
      <w:r w:rsidR="00E7613F" w:rsidRPr="001E05F5">
        <w:t>A</w:t>
      </w:r>
      <w:r w:rsidRPr="001E05F5">
        <w:t xml:space="preserve">4 and Figure </w:t>
      </w:r>
      <w:r w:rsidR="00E7613F" w:rsidRPr="001E05F5">
        <w:t>A</w:t>
      </w:r>
      <w:r w:rsidRPr="001E05F5">
        <w:t xml:space="preserve">2 </w:t>
      </w:r>
      <w:r w:rsidR="005D4CC2" w:rsidRPr="001E05F5">
        <w:t xml:space="preserve">at </w:t>
      </w:r>
      <w:r w:rsidR="00AA36A7" w:rsidRPr="001E05F5">
        <w:t>a</w:t>
      </w:r>
      <w:r w:rsidR="007836E7" w:rsidRPr="001E05F5">
        <w:t xml:space="preserve"> </w:t>
      </w:r>
      <w:r w:rsidR="00AA36A7" w:rsidRPr="001E05F5">
        <w:t>‘</w:t>
      </w:r>
      <w:r w:rsidR="007836E7" w:rsidRPr="001E05F5">
        <w:t>Tees Valley</w:t>
      </w:r>
      <w:r w:rsidR="00AA36A7" w:rsidRPr="001E05F5">
        <w:t>’</w:t>
      </w:r>
      <w:r w:rsidR="007836E7" w:rsidRPr="001E05F5">
        <w:t xml:space="preserve"> level </w:t>
      </w:r>
      <w:r w:rsidR="00AA36A7" w:rsidRPr="001E05F5">
        <w:t xml:space="preserve">shows </w:t>
      </w:r>
      <w:r w:rsidR="007836E7" w:rsidRPr="001E05F5">
        <w:t xml:space="preserve">Scenarios 1 and 3 are almost identical with an average annual growth equivalent to 0.3%.  Scenario 2 shows a higher growth, equivalent to 0.7% average annual growth, mainly due to the 3% increase in the household waste per household in </w:t>
      </w:r>
      <w:r w:rsidR="007836E7" w:rsidRPr="001E05F5">
        <w:rPr>
          <w:color w:val="000000"/>
        </w:rPr>
        <w:t xml:space="preserve">Middlesbrough over the last three years.  Scenarios 4 and 5 show average annual growth equivalent to 0.5% and 0.55% respectively and therefore sit between </w:t>
      </w:r>
      <w:r w:rsidR="007836E7" w:rsidRPr="001E05F5">
        <w:t>Scenarios 1 &amp; 3 and Scenario 2.</w:t>
      </w:r>
    </w:p>
    <w:p w14:paraId="12CA09A6" w14:textId="77777777" w:rsidR="007836E7" w:rsidRPr="001E05F5" w:rsidRDefault="007836E7" w:rsidP="007836E7">
      <w:pPr>
        <w:rPr>
          <w:b/>
          <w:color w:val="000000"/>
        </w:rPr>
      </w:pPr>
      <w:r w:rsidRPr="001E05F5">
        <w:rPr>
          <w:b/>
          <w:color w:val="000000"/>
        </w:rPr>
        <w:t xml:space="preserve">Table </w:t>
      </w:r>
      <w:r w:rsidR="00E7613F" w:rsidRPr="001E05F5">
        <w:rPr>
          <w:b/>
          <w:color w:val="000000"/>
        </w:rPr>
        <w:t>A</w:t>
      </w:r>
      <w:r w:rsidRPr="001E05F5">
        <w:rPr>
          <w:b/>
          <w:color w:val="000000"/>
        </w:rPr>
        <w:t>4: Forecast Tonnage</w:t>
      </w:r>
      <w:r w:rsidR="004F09B3" w:rsidRPr="001E05F5">
        <w:rPr>
          <w:b/>
          <w:color w:val="000000"/>
        </w:rPr>
        <w:t xml:space="preserve"> based on MHCLG housing forecast</w:t>
      </w:r>
    </w:p>
    <w:tbl>
      <w:tblPr>
        <w:tblW w:w="8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587"/>
        <w:gridCol w:w="1587"/>
        <w:gridCol w:w="1587"/>
        <w:gridCol w:w="1587"/>
      </w:tblGrid>
      <w:tr w:rsidR="007836E7" w:rsidRPr="001E05F5" w14:paraId="2DE0B9A9" w14:textId="77777777" w:rsidTr="009D2E0B">
        <w:trPr>
          <w:trHeight w:val="300"/>
        </w:trPr>
        <w:tc>
          <w:tcPr>
            <w:tcW w:w="1730" w:type="dxa"/>
            <w:tcBorders>
              <w:right w:val="single" w:sz="4" w:space="0" w:color="auto"/>
            </w:tcBorders>
            <w:shd w:val="clear" w:color="000000" w:fill="DBE5F1"/>
            <w:noWrap/>
            <w:vAlign w:val="bottom"/>
            <w:hideMark/>
          </w:tcPr>
          <w:p w14:paraId="6BE0F134" w14:textId="77777777" w:rsidR="007836E7" w:rsidRPr="001E05F5" w:rsidRDefault="009D2E0B" w:rsidP="007836E7">
            <w:pPr>
              <w:spacing w:before="40" w:after="40" w:line="240" w:lineRule="auto"/>
              <w:rPr>
                <w:rFonts w:cs="Arial"/>
                <w:b/>
                <w:color w:val="000000"/>
                <w:szCs w:val="20"/>
                <w:lang w:eastAsia="en-GB"/>
              </w:rPr>
            </w:pPr>
            <w:r w:rsidRPr="001E05F5">
              <w:rPr>
                <w:rFonts w:cs="Arial"/>
                <w:b/>
                <w:color w:val="000000"/>
                <w:szCs w:val="20"/>
                <w:lang w:eastAsia="en-GB"/>
              </w:rPr>
              <w:t>Waste Forecast</w:t>
            </w:r>
          </w:p>
        </w:tc>
        <w:tc>
          <w:tcPr>
            <w:tcW w:w="1587" w:type="dxa"/>
            <w:tcBorders>
              <w:left w:val="single" w:sz="4" w:space="0" w:color="auto"/>
              <w:right w:val="single" w:sz="4" w:space="0" w:color="auto"/>
            </w:tcBorders>
            <w:shd w:val="clear" w:color="000000" w:fill="DBE5F1"/>
            <w:noWrap/>
            <w:vAlign w:val="bottom"/>
            <w:hideMark/>
          </w:tcPr>
          <w:p w14:paraId="2F92582B" w14:textId="77777777" w:rsidR="007836E7" w:rsidRPr="001E05F5" w:rsidRDefault="007836E7" w:rsidP="007836E7">
            <w:pPr>
              <w:spacing w:before="40" w:after="40" w:line="240" w:lineRule="auto"/>
              <w:jc w:val="center"/>
              <w:rPr>
                <w:rFonts w:cs="Arial"/>
                <w:b/>
                <w:color w:val="000000"/>
                <w:szCs w:val="20"/>
                <w:lang w:eastAsia="en-GB"/>
              </w:rPr>
            </w:pPr>
            <w:r w:rsidRPr="001E05F5">
              <w:rPr>
                <w:rFonts w:cs="Arial"/>
                <w:b/>
                <w:color w:val="000000"/>
                <w:szCs w:val="20"/>
                <w:lang w:eastAsia="en-GB"/>
              </w:rPr>
              <w:t>2020/21</w:t>
            </w:r>
          </w:p>
        </w:tc>
        <w:tc>
          <w:tcPr>
            <w:tcW w:w="1587" w:type="dxa"/>
            <w:tcBorders>
              <w:left w:val="single" w:sz="4" w:space="0" w:color="auto"/>
              <w:right w:val="single" w:sz="4" w:space="0" w:color="auto"/>
            </w:tcBorders>
            <w:shd w:val="clear" w:color="000000" w:fill="DBE5F1"/>
            <w:noWrap/>
            <w:vAlign w:val="bottom"/>
            <w:hideMark/>
          </w:tcPr>
          <w:p w14:paraId="1C4D4244" w14:textId="77777777" w:rsidR="007836E7" w:rsidRPr="001E05F5" w:rsidRDefault="007836E7" w:rsidP="007836E7">
            <w:pPr>
              <w:spacing w:before="40" w:after="40" w:line="240" w:lineRule="auto"/>
              <w:jc w:val="center"/>
              <w:rPr>
                <w:rFonts w:cs="Arial"/>
                <w:b/>
                <w:color w:val="000000"/>
                <w:szCs w:val="20"/>
                <w:lang w:eastAsia="en-GB"/>
              </w:rPr>
            </w:pPr>
            <w:r w:rsidRPr="001E05F5">
              <w:rPr>
                <w:rFonts w:cs="Arial"/>
                <w:b/>
                <w:color w:val="000000"/>
                <w:szCs w:val="20"/>
                <w:lang w:eastAsia="en-GB"/>
              </w:rPr>
              <w:t>2025/26</w:t>
            </w:r>
          </w:p>
        </w:tc>
        <w:tc>
          <w:tcPr>
            <w:tcW w:w="1587" w:type="dxa"/>
            <w:tcBorders>
              <w:left w:val="single" w:sz="4" w:space="0" w:color="auto"/>
              <w:right w:val="single" w:sz="4" w:space="0" w:color="auto"/>
            </w:tcBorders>
            <w:shd w:val="clear" w:color="000000" w:fill="DBE5F1"/>
            <w:noWrap/>
            <w:vAlign w:val="bottom"/>
            <w:hideMark/>
          </w:tcPr>
          <w:p w14:paraId="5AF3D99B" w14:textId="77777777" w:rsidR="007836E7" w:rsidRPr="001E05F5" w:rsidRDefault="007836E7" w:rsidP="007836E7">
            <w:pPr>
              <w:spacing w:before="40" w:after="40" w:line="240" w:lineRule="auto"/>
              <w:jc w:val="center"/>
              <w:rPr>
                <w:rFonts w:cs="Arial"/>
                <w:b/>
                <w:color w:val="000000"/>
                <w:szCs w:val="20"/>
                <w:lang w:eastAsia="en-GB"/>
              </w:rPr>
            </w:pPr>
            <w:r w:rsidRPr="001E05F5">
              <w:rPr>
                <w:rFonts w:cs="Arial"/>
                <w:b/>
                <w:color w:val="000000"/>
                <w:szCs w:val="20"/>
                <w:lang w:eastAsia="en-GB"/>
              </w:rPr>
              <w:t>2030/31</w:t>
            </w:r>
          </w:p>
        </w:tc>
        <w:tc>
          <w:tcPr>
            <w:tcW w:w="1587" w:type="dxa"/>
            <w:tcBorders>
              <w:left w:val="single" w:sz="4" w:space="0" w:color="auto"/>
            </w:tcBorders>
            <w:shd w:val="clear" w:color="000000" w:fill="DBE5F1"/>
            <w:noWrap/>
            <w:vAlign w:val="bottom"/>
            <w:hideMark/>
          </w:tcPr>
          <w:p w14:paraId="57F00445" w14:textId="77777777" w:rsidR="007836E7" w:rsidRPr="001E05F5" w:rsidRDefault="007836E7" w:rsidP="007836E7">
            <w:pPr>
              <w:spacing w:before="40" w:after="40" w:line="240" w:lineRule="auto"/>
              <w:jc w:val="center"/>
              <w:rPr>
                <w:rFonts w:cs="Arial"/>
                <w:b/>
                <w:color w:val="000000"/>
                <w:szCs w:val="20"/>
                <w:lang w:eastAsia="en-GB"/>
              </w:rPr>
            </w:pPr>
            <w:r w:rsidRPr="001E05F5">
              <w:rPr>
                <w:rFonts w:cs="Arial"/>
                <w:b/>
                <w:color w:val="000000"/>
                <w:szCs w:val="20"/>
                <w:lang w:eastAsia="en-GB"/>
              </w:rPr>
              <w:t>2035/36</w:t>
            </w:r>
          </w:p>
        </w:tc>
      </w:tr>
      <w:tr w:rsidR="007836E7" w:rsidRPr="001E05F5" w14:paraId="66BB8DC2" w14:textId="77777777" w:rsidTr="009D2E0B">
        <w:trPr>
          <w:trHeight w:val="300"/>
        </w:trPr>
        <w:tc>
          <w:tcPr>
            <w:tcW w:w="1730" w:type="dxa"/>
            <w:shd w:val="clear" w:color="auto" w:fill="auto"/>
            <w:noWrap/>
            <w:vAlign w:val="center"/>
            <w:hideMark/>
          </w:tcPr>
          <w:p w14:paraId="213F6622" w14:textId="77777777" w:rsidR="007836E7" w:rsidRPr="001E05F5" w:rsidRDefault="007836E7" w:rsidP="007836E7">
            <w:pPr>
              <w:spacing w:before="40" w:after="40" w:line="240" w:lineRule="auto"/>
              <w:rPr>
                <w:rFonts w:cs="Arial"/>
                <w:color w:val="000000"/>
                <w:szCs w:val="20"/>
                <w:lang w:eastAsia="en-GB"/>
              </w:rPr>
            </w:pPr>
            <w:r w:rsidRPr="001E05F5">
              <w:rPr>
                <w:rFonts w:cs="Arial"/>
                <w:color w:val="000000"/>
                <w:szCs w:val="20"/>
                <w:lang w:eastAsia="en-GB"/>
              </w:rPr>
              <w:t>Scenario 1</w:t>
            </w:r>
          </w:p>
        </w:tc>
        <w:tc>
          <w:tcPr>
            <w:tcW w:w="1587" w:type="dxa"/>
            <w:shd w:val="clear" w:color="auto" w:fill="auto"/>
            <w:noWrap/>
            <w:vAlign w:val="center"/>
            <w:hideMark/>
          </w:tcPr>
          <w:p w14:paraId="183DE2BF"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357,700</w:t>
            </w:r>
          </w:p>
        </w:tc>
        <w:tc>
          <w:tcPr>
            <w:tcW w:w="1587" w:type="dxa"/>
            <w:shd w:val="clear" w:color="auto" w:fill="auto"/>
            <w:noWrap/>
            <w:vAlign w:val="center"/>
            <w:hideMark/>
          </w:tcPr>
          <w:p w14:paraId="19307C4D"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363,500</w:t>
            </w:r>
          </w:p>
        </w:tc>
        <w:tc>
          <w:tcPr>
            <w:tcW w:w="1587" w:type="dxa"/>
            <w:shd w:val="clear" w:color="auto" w:fill="auto"/>
            <w:noWrap/>
            <w:vAlign w:val="center"/>
            <w:hideMark/>
          </w:tcPr>
          <w:p w14:paraId="741D5150"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368,600</w:t>
            </w:r>
          </w:p>
        </w:tc>
        <w:tc>
          <w:tcPr>
            <w:tcW w:w="1587" w:type="dxa"/>
            <w:shd w:val="clear" w:color="auto" w:fill="auto"/>
            <w:noWrap/>
            <w:vAlign w:val="center"/>
            <w:hideMark/>
          </w:tcPr>
          <w:p w14:paraId="23C564DF"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373,100</w:t>
            </w:r>
          </w:p>
        </w:tc>
      </w:tr>
      <w:tr w:rsidR="007836E7" w:rsidRPr="001E05F5" w14:paraId="1998FEAD" w14:textId="77777777" w:rsidTr="009D2E0B">
        <w:trPr>
          <w:trHeight w:val="300"/>
        </w:trPr>
        <w:tc>
          <w:tcPr>
            <w:tcW w:w="1730" w:type="dxa"/>
            <w:shd w:val="clear" w:color="auto" w:fill="auto"/>
            <w:noWrap/>
            <w:vAlign w:val="center"/>
            <w:hideMark/>
          </w:tcPr>
          <w:p w14:paraId="443A4802" w14:textId="77777777" w:rsidR="007836E7" w:rsidRPr="001E05F5" w:rsidRDefault="007836E7" w:rsidP="007836E7">
            <w:pPr>
              <w:spacing w:before="40" w:after="40" w:line="240" w:lineRule="auto"/>
              <w:rPr>
                <w:rFonts w:cs="Arial"/>
                <w:color w:val="000000"/>
                <w:szCs w:val="20"/>
                <w:lang w:eastAsia="en-GB"/>
              </w:rPr>
            </w:pPr>
            <w:r w:rsidRPr="001E05F5">
              <w:rPr>
                <w:rFonts w:cs="Arial"/>
                <w:color w:val="000000"/>
                <w:szCs w:val="20"/>
                <w:lang w:eastAsia="en-GB"/>
              </w:rPr>
              <w:t>Scenario 2</w:t>
            </w:r>
          </w:p>
        </w:tc>
        <w:tc>
          <w:tcPr>
            <w:tcW w:w="1587" w:type="dxa"/>
            <w:shd w:val="clear" w:color="auto" w:fill="auto"/>
            <w:noWrap/>
            <w:vAlign w:val="center"/>
            <w:hideMark/>
          </w:tcPr>
          <w:p w14:paraId="0AE94A39"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360,800</w:t>
            </w:r>
          </w:p>
        </w:tc>
        <w:tc>
          <w:tcPr>
            <w:tcW w:w="1587" w:type="dxa"/>
            <w:shd w:val="clear" w:color="auto" w:fill="auto"/>
            <w:noWrap/>
            <w:vAlign w:val="center"/>
            <w:hideMark/>
          </w:tcPr>
          <w:p w14:paraId="32D129DA"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371,800</w:t>
            </w:r>
          </w:p>
        </w:tc>
        <w:tc>
          <w:tcPr>
            <w:tcW w:w="1587" w:type="dxa"/>
            <w:shd w:val="clear" w:color="auto" w:fill="auto"/>
            <w:noWrap/>
            <w:vAlign w:val="center"/>
            <w:hideMark/>
          </w:tcPr>
          <w:p w14:paraId="1D3F4C11"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384,600</w:t>
            </w:r>
          </w:p>
        </w:tc>
        <w:tc>
          <w:tcPr>
            <w:tcW w:w="1587" w:type="dxa"/>
            <w:shd w:val="clear" w:color="auto" w:fill="auto"/>
            <w:noWrap/>
            <w:vAlign w:val="center"/>
            <w:hideMark/>
          </w:tcPr>
          <w:p w14:paraId="2055E0AD"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399,200</w:t>
            </w:r>
          </w:p>
        </w:tc>
      </w:tr>
      <w:tr w:rsidR="007836E7" w:rsidRPr="001E05F5" w14:paraId="375DFCF4" w14:textId="77777777" w:rsidTr="009D2E0B">
        <w:trPr>
          <w:trHeight w:val="300"/>
        </w:trPr>
        <w:tc>
          <w:tcPr>
            <w:tcW w:w="1730" w:type="dxa"/>
            <w:shd w:val="clear" w:color="auto" w:fill="auto"/>
            <w:noWrap/>
            <w:vAlign w:val="center"/>
            <w:hideMark/>
          </w:tcPr>
          <w:p w14:paraId="1D6F04AC" w14:textId="77777777" w:rsidR="007836E7" w:rsidRPr="001E05F5" w:rsidRDefault="007836E7" w:rsidP="007836E7">
            <w:pPr>
              <w:spacing w:before="40" w:after="40" w:line="240" w:lineRule="auto"/>
              <w:rPr>
                <w:rFonts w:cs="Arial"/>
                <w:color w:val="000000"/>
                <w:szCs w:val="20"/>
                <w:lang w:eastAsia="en-GB"/>
              </w:rPr>
            </w:pPr>
            <w:r w:rsidRPr="001E05F5">
              <w:rPr>
                <w:rFonts w:cs="Arial"/>
                <w:color w:val="000000"/>
                <w:szCs w:val="20"/>
                <w:lang w:eastAsia="en-GB"/>
              </w:rPr>
              <w:t>Scenario 3</w:t>
            </w:r>
          </w:p>
        </w:tc>
        <w:tc>
          <w:tcPr>
            <w:tcW w:w="1587" w:type="dxa"/>
            <w:shd w:val="clear" w:color="auto" w:fill="auto"/>
            <w:noWrap/>
            <w:vAlign w:val="center"/>
            <w:hideMark/>
          </w:tcPr>
          <w:p w14:paraId="4712FB72"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357,400</w:t>
            </w:r>
          </w:p>
        </w:tc>
        <w:tc>
          <w:tcPr>
            <w:tcW w:w="1587" w:type="dxa"/>
            <w:shd w:val="clear" w:color="auto" w:fill="auto"/>
            <w:noWrap/>
            <w:vAlign w:val="center"/>
            <w:hideMark/>
          </w:tcPr>
          <w:p w14:paraId="3E4530C3"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362,900</w:t>
            </w:r>
          </w:p>
        </w:tc>
        <w:tc>
          <w:tcPr>
            <w:tcW w:w="1587" w:type="dxa"/>
            <w:shd w:val="clear" w:color="auto" w:fill="auto"/>
            <w:noWrap/>
            <w:vAlign w:val="center"/>
            <w:hideMark/>
          </w:tcPr>
          <w:p w14:paraId="7F6C7557"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368,300</w:t>
            </w:r>
          </w:p>
        </w:tc>
        <w:tc>
          <w:tcPr>
            <w:tcW w:w="1587" w:type="dxa"/>
            <w:shd w:val="clear" w:color="auto" w:fill="auto"/>
            <w:noWrap/>
            <w:vAlign w:val="center"/>
            <w:hideMark/>
          </w:tcPr>
          <w:p w14:paraId="7EDE75E6"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373,300</w:t>
            </w:r>
          </w:p>
        </w:tc>
      </w:tr>
      <w:tr w:rsidR="007836E7" w:rsidRPr="001E05F5" w14:paraId="77D83EBE" w14:textId="77777777" w:rsidTr="009D2E0B">
        <w:trPr>
          <w:trHeight w:val="300"/>
        </w:trPr>
        <w:tc>
          <w:tcPr>
            <w:tcW w:w="1730" w:type="dxa"/>
            <w:shd w:val="clear" w:color="auto" w:fill="auto"/>
            <w:noWrap/>
            <w:vAlign w:val="center"/>
            <w:hideMark/>
          </w:tcPr>
          <w:p w14:paraId="2BBDF4FC" w14:textId="77777777" w:rsidR="007836E7" w:rsidRPr="001E05F5" w:rsidRDefault="007836E7" w:rsidP="007836E7">
            <w:pPr>
              <w:spacing w:before="40" w:after="40" w:line="240" w:lineRule="auto"/>
              <w:rPr>
                <w:rFonts w:cs="Arial"/>
                <w:color w:val="000000"/>
                <w:szCs w:val="20"/>
                <w:lang w:eastAsia="en-GB"/>
              </w:rPr>
            </w:pPr>
            <w:r w:rsidRPr="001E05F5">
              <w:rPr>
                <w:rFonts w:cs="Arial"/>
                <w:color w:val="000000"/>
                <w:szCs w:val="20"/>
                <w:lang w:eastAsia="en-GB"/>
              </w:rPr>
              <w:t>Scenario 4</w:t>
            </w:r>
          </w:p>
        </w:tc>
        <w:tc>
          <w:tcPr>
            <w:tcW w:w="1587" w:type="dxa"/>
            <w:shd w:val="clear" w:color="auto" w:fill="auto"/>
            <w:noWrap/>
            <w:vAlign w:val="center"/>
            <w:hideMark/>
          </w:tcPr>
          <w:p w14:paraId="316C20F1"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360,600</w:t>
            </w:r>
          </w:p>
        </w:tc>
        <w:tc>
          <w:tcPr>
            <w:tcW w:w="1587" w:type="dxa"/>
            <w:shd w:val="clear" w:color="auto" w:fill="auto"/>
            <w:noWrap/>
            <w:vAlign w:val="center"/>
            <w:hideMark/>
          </w:tcPr>
          <w:p w14:paraId="1C389CA3"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370,200</w:t>
            </w:r>
          </w:p>
        </w:tc>
        <w:tc>
          <w:tcPr>
            <w:tcW w:w="1587" w:type="dxa"/>
            <w:shd w:val="clear" w:color="auto" w:fill="auto"/>
            <w:noWrap/>
            <w:vAlign w:val="center"/>
            <w:hideMark/>
          </w:tcPr>
          <w:p w14:paraId="42DDDFF3"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379,400</w:t>
            </w:r>
          </w:p>
        </w:tc>
        <w:tc>
          <w:tcPr>
            <w:tcW w:w="1587" w:type="dxa"/>
            <w:shd w:val="clear" w:color="auto" w:fill="auto"/>
            <w:noWrap/>
            <w:vAlign w:val="center"/>
            <w:hideMark/>
          </w:tcPr>
          <w:p w14:paraId="54E532BC"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388,000</w:t>
            </w:r>
          </w:p>
        </w:tc>
      </w:tr>
      <w:tr w:rsidR="007836E7" w:rsidRPr="001E05F5" w14:paraId="34AA6127" w14:textId="77777777" w:rsidTr="009D2E0B">
        <w:trPr>
          <w:trHeight w:val="300"/>
        </w:trPr>
        <w:tc>
          <w:tcPr>
            <w:tcW w:w="1730" w:type="dxa"/>
            <w:shd w:val="clear" w:color="auto" w:fill="auto"/>
            <w:noWrap/>
            <w:vAlign w:val="center"/>
            <w:hideMark/>
          </w:tcPr>
          <w:p w14:paraId="3DEC072B" w14:textId="77777777" w:rsidR="007836E7" w:rsidRPr="001E05F5" w:rsidRDefault="007836E7" w:rsidP="007836E7">
            <w:pPr>
              <w:spacing w:before="40" w:after="40" w:line="240" w:lineRule="auto"/>
              <w:rPr>
                <w:rFonts w:cs="Arial"/>
                <w:color w:val="000000"/>
                <w:szCs w:val="20"/>
                <w:lang w:eastAsia="en-GB"/>
              </w:rPr>
            </w:pPr>
            <w:r w:rsidRPr="001E05F5">
              <w:rPr>
                <w:rFonts w:cs="Arial"/>
                <w:color w:val="000000"/>
                <w:szCs w:val="20"/>
                <w:lang w:eastAsia="en-GB"/>
              </w:rPr>
              <w:t>Scenario 5</w:t>
            </w:r>
          </w:p>
        </w:tc>
        <w:tc>
          <w:tcPr>
            <w:tcW w:w="1587" w:type="dxa"/>
            <w:shd w:val="clear" w:color="auto" w:fill="auto"/>
            <w:noWrap/>
            <w:vAlign w:val="center"/>
            <w:hideMark/>
          </w:tcPr>
          <w:p w14:paraId="22DBD81C"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357,700</w:t>
            </w:r>
          </w:p>
        </w:tc>
        <w:tc>
          <w:tcPr>
            <w:tcW w:w="1587" w:type="dxa"/>
            <w:shd w:val="clear" w:color="auto" w:fill="auto"/>
            <w:noWrap/>
            <w:vAlign w:val="center"/>
            <w:hideMark/>
          </w:tcPr>
          <w:p w14:paraId="66FE7BB1"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365,000</w:t>
            </w:r>
          </w:p>
        </w:tc>
        <w:tc>
          <w:tcPr>
            <w:tcW w:w="1587" w:type="dxa"/>
            <w:shd w:val="clear" w:color="auto" w:fill="auto"/>
            <w:noWrap/>
            <w:vAlign w:val="center"/>
            <w:hideMark/>
          </w:tcPr>
          <w:p w14:paraId="4BDC271E"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377,700</w:t>
            </w:r>
          </w:p>
        </w:tc>
        <w:tc>
          <w:tcPr>
            <w:tcW w:w="1587" w:type="dxa"/>
            <w:shd w:val="clear" w:color="auto" w:fill="auto"/>
            <w:noWrap/>
            <w:vAlign w:val="center"/>
            <w:hideMark/>
          </w:tcPr>
          <w:p w14:paraId="57D5805D"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390,300</w:t>
            </w:r>
          </w:p>
        </w:tc>
      </w:tr>
      <w:tr w:rsidR="007836E7" w:rsidRPr="001E05F5" w14:paraId="63D9E95E" w14:textId="77777777" w:rsidTr="009D2E0B">
        <w:trPr>
          <w:trHeight w:val="711"/>
        </w:trPr>
        <w:tc>
          <w:tcPr>
            <w:tcW w:w="1730" w:type="dxa"/>
            <w:shd w:val="clear" w:color="auto" w:fill="auto"/>
            <w:noWrap/>
            <w:vAlign w:val="center"/>
            <w:hideMark/>
          </w:tcPr>
          <w:p w14:paraId="075DE831" w14:textId="77777777" w:rsidR="007836E7" w:rsidRPr="001E05F5" w:rsidRDefault="007836E7" w:rsidP="007836E7">
            <w:pPr>
              <w:spacing w:before="40" w:after="40" w:line="240" w:lineRule="auto"/>
              <w:rPr>
                <w:rFonts w:cs="Arial"/>
                <w:color w:val="000000"/>
                <w:szCs w:val="20"/>
                <w:lang w:eastAsia="en-GB"/>
              </w:rPr>
            </w:pPr>
            <w:r w:rsidRPr="001E05F5">
              <w:rPr>
                <w:rFonts w:cs="Arial"/>
                <w:color w:val="000000"/>
                <w:szCs w:val="20"/>
                <w:lang w:eastAsia="en-GB"/>
              </w:rPr>
              <w:t xml:space="preserve">Range </w:t>
            </w:r>
          </w:p>
        </w:tc>
        <w:tc>
          <w:tcPr>
            <w:tcW w:w="1587" w:type="dxa"/>
            <w:shd w:val="clear" w:color="auto" w:fill="auto"/>
            <w:noWrap/>
            <w:vAlign w:val="center"/>
            <w:hideMark/>
          </w:tcPr>
          <w:p w14:paraId="38A15D2B"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357,400 to 360,800</w:t>
            </w:r>
          </w:p>
        </w:tc>
        <w:tc>
          <w:tcPr>
            <w:tcW w:w="1587" w:type="dxa"/>
            <w:shd w:val="clear" w:color="auto" w:fill="auto"/>
            <w:noWrap/>
            <w:vAlign w:val="center"/>
            <w:hideMark/>
          </w:tcPr>
          <w:p w14:paraId="21800B65"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362,900 to 371,800</w:t>
            </w:r>
          </w:p>
        </w:tc>
        <w:tc>
          <w:tcPr>
            <w:tcW w:w="1587" w:type="dxa"/>
            <w:shd w:val="clear" w:color="auto" w:fill="auto"/>
            <w:noWrap/>
            <w:vAlign w:val="center"/>
            <w:hideMark/>
          </w:tcPr>
          <w:p w14:paraId="4841F430"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368,300 to 384,600</w:t>
            </w:r>
          </w:p>
        </w:tc>
        <w:tc>
          <w:tcPr>
            <w:tcW w:w="1587" w:type="dxa"/>
            <w:shd w:val="clear" w:color="auto" w:fill="auto"/>
            <w:noWrap/>
            <w:vAlign w:val="center"/>
            <w:hideMark/>
          </w:tcPr>
          <w:p w14:paraId="2541AEC1" w14:textId="77777777" w:rsidR="007836E7" w:rsidRPr="001E05F5" w:rsidRDefault="007836E7" w:rsidP="007836E7">
            <w:pPr>
              <w:spacing w:before="40" w:after="40" w:line="240" w:lineRule="auto"/>
              <w:jc w:val="center"/>
              <w:rPr>
                <w:rFonts w:cs="Arial"/>
                <w:color w:val="000000"/>
                <w:szCs w:val="20"/>
                <w:lang w:eastAsia="en-GB"/>
              </w:rPr>
            </w:pPr>
            <w:r w:rsidRPr="001E05F5">
              <w:rPr>
                <w:rFonts w:cs="Arial"/>
                <w:color w:val="000000"/>
                <w:szCs w:val="20"/>
                <w:lang w:eastAsia="en-GB"/>
              </w:rPr>
              <w:t>373,100 to 399,200</w:t>
            </w:r>
          </w:p>
        </w:tc>
      </w:tr>
    </w:tbl>
    <w:p w14:paraId="39DAB163" w14:textId="77777777" w:rsidR="006F1DD2" w:rsidRPr="001E05F5" w:rsidRDefault="006F1DD2" w:rsidP="007836E7">
      <w:pPr>
        <w:spacing w:before="40" w:after="40"/>
      </w:pPr>
    </w:p>
    <w:p w14:paraId="15D3EE92" w14:textId="4C531C32" w:rsidR="007836E7" w:rsidRPr="001E05F5" w:rsidRDefault="009D2E0B" w:rsidP="00A3784A">
      <w:r w:rsidRPr="001E05F5">
        <w:rPr>
          <w:rFonts w:cs="Arial"/>
          <w:szCs w:val="20"/>
        </w:rPr>
        <w:t>The proposed waste forecasts were agreed at the Options Appraisal Workshop, with Waste Forecast Scenario 4 being used as the central forecast in the waste flow model.  However, it was also agreed to run a sensitivity analysis on the waste forecasts using the percentage</w:t>
      </w:r>
      <w:r w:rsidR="005D4CC2" w:rsidRPr="001E05F5">
        <w:rPr>
          <w:rFonts w:cs="Arial"/>
          <w:szCs w:val="20"/>
        </w:rPr>
        <w:t xml:space="preserve"> </w:t>
      </w:r>
      <w:r w:rsidRPr="001E05F5">
        <w:rPr>
          <w:rFonts w:cs="Arial"/>
          <w:szCs w:val="20"/>
        </w:rPr>
        <w:t>changes in household numbers which are proposed in upcoming Local Plans for some of the constituent Authorities.</w:t>
      </w:r>
      <w:r w:rsidR="004F09B3" w:rsidRPr="001E05F5">
        <w:rPr>
          <w:rFonts w:cs="Arial"/>
          <w:szCs w:val="20"/>
        </w:rPr>
        <w:t xml:space="preserve">  </w:t>
      </w:r>
    </w:p>
    <w:p w14:paraId="7E741514" w14:textId="77777777" w:rsidR="006F1DD2" w:rsidRPr="001E05F5" w:rsidRDefault="006F1DD2" w:rsidP="00A3784A"/>
    <w:p w14:paraId="46598964" w14:textId="77777777" w:rsidR="00FB7CAD" w:rsidRPr="001E05F5" w:rsidRDefault="00FB7CAD" w:rsidP="00A3784A">
      <w:pPr>
        <w:sectPr w:rsidR="00FB7CAD" w:rsidRPr="001E05F5" w:rsidSect="00257714">
          <w:pgSz w:w="11906" w:h="16838"/>
          <w:pgMar w:top="1440" w:right="1416" w:bottom="1440" w:left="1440" w:header="708" w:footer="708" w:gutter="0"/>
          <w:cols w:space="708"/>
          <w:docGrid w:linePitch="360"/>
        </w:sectPr>
      </w:pPr>
    </w:p>
    <w:p w14:paraId="73F8952C" w14:textId="77777777" w:rsidR="004F09B3" w:rsidRPr="001E05F5" w:rsidRDefault="004F09B3" w:rsidP="004F09B3">
      <w:pPr>
        <w:rPr>
          <w:b/>
          <w:color w:val="000000"/>
        </w:rPr>
      </w:pPr>
      <w:r w:rsidRPr="001E05F5">
        <w:rPr>
          <w:b/>
          <w:color w:val="000000"/>
        </w:rPr>
        <w:lastRenderedPageBreak/>
        <w:t xml:space="preserve">Figure </w:t>
      </w:r>
      <w:r w:rsidR="00E7613F" w:rsidRPr="001E05F5">
        <w:rPr>
          <w:b/>
          <w:color w:val="000000"/>
        </w:rPr>
        <w:t>A</w:t>
      </w:r>
      <w:r w:rsidRPr="001E05F5">
        <w:rPr>
          <w:b/>
          <w:color w:val="000000"/>
        </w:rPr>
        <w:t>2: Forecast Tonnage based on MHCLG housing forecast</w:t>
      </w:r>
    </w:p>
    <w:p w14:paraId="227F9CA4" w14:textId="77777777" w:rsidR="00832A70" w:rsidRPr="001E05F5" w:rsidRDefault="007836E7" w:rsidP="00A3784A">
      <w:pPr>
        <w:rPr>
          <w:rFonts w:cs="Arial"/>
          <w:sz w:val="18"/>
        </w:rPr>
      </w:pPr>
      <w:r w:rsidRPr="001E05F5">
        <w:rPr>
          <w:noProof/>
          <w:lang w:eastAsia="en-GB"/>
        </w:rPr>
        <w:drawing>
          <wp:inline distT="0" distB="0" distL="0" distR="0" wp14:anchorId="4F069F66" wp14:editId="4C1DEDC3">
            <wp:extent cx="8863330" cy="30610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8863330" cy="3061070"/>
                    </a:xfrm>
                    <a:prstGeom prst="rect">
                      <a:avLst/>
                    </a:prstGeom>
                    <a:noFill/>
                    <a:ln w="9525">
                      <a:noFill/>
                      <a:miter lim="800000"/>
                      <a:headEnd/>
                      <a:tailEnd/>
                    </a:ln>
                  </pic:spPr>
                </pic:pic>
              </a:graphicData>
            </a:graphic>
          </wp:inline>
        </w:drawing>
      </w:r>
    </w:p>
    <w:p w14:paraId="14A90989" w14:textId="77777777" w:rsidR="007836E7" w:rsidRPr="001E05F5" w:rsidRDefault="007836E7" w:rsidP="00A3784A">
      <w:pPr>
        <w:rPr>
          <w:rFonts w:cs="Arial"/>
          <w:sz w:val="18"/>
        </w:rPr>
      </w:pPr>
    </w:p>
    <w:p w14:paraId="33DF8AF6" w14:textId="77777777" w:rsidR="009E5BB6" w:rsidRPr="001E05F5" w:rsidRDefault="009E5BB6" w:rsidP="00A3784A">
      <w:pPr>
        <w:rPr>
          <w:rFonts w:cs="Arial"/>
          <w:sz w:val="18"/>
        </w:rPr>
        <w:sectPr w:rsidR="009E5BB6" w:rsidRPr="001E05F5" w:rsidSect="00FB7CAD">
          <w:pgSz w:w="16838" w:h="11906" w:orient="landscape"/>
          <w:pgMar w:top="1416" w:right="1440" w:bottom="1440" w:left="1440" w:header="708" w:footer="708" w:gutter="0"/>
          <w:cols w:space="708"/>
          <w:docGrid w:linePitch="360"/>
        </w:sectPr>
      </w:pPr>
    </w:p>
    <w:p w14:paraId="21E2D011" w14:textId="77777777" w:rsidR="009E5BB6" w:rsidRPr="001E05F5" w:rsidRDefault="009E5BB6">
      <w:pPr>
        <w:pStyle w:val="Heading1"/>
        <w:numPr>
          <w:ilvl w:val="0"/>
          <w:numId w:val="0"/>
        </w:numPr>
      </w:pPr>
      <w:bookmarkStart w:id="31" w:name="_Toc521426512"/>
      <w:r w:rsidRPr="001E05F5">
        <w:lastRenderedPageBreak/>
        <w:t>Appendix B: Waste Prevention, Reuse and Recycling In</w:t>
      </w:r>
      <w:r w:rsidR="00A6210C" w:rsidRPr="001E05F5">
        <w:t xml:space="preserve">itiatives </w:t>
      </w:r>
      <w:r w:rsidRPr="001E05F5">
        <w:t>Assumptions</w:t>
      </w:r>
      <w:bookmarkEnd w:id="31"/>
    </w:p>
    <w:tbl>
      <w:tblPr>
        <w:tblStyle w:val="TableGrid"/>
        <w:tblW w:w="0" w:type="auto"/>
        <w:tblLook w:val="00A0" w:firstRow="1" w:lastRow="0" w:firstColumn="1" w:lastColumn="0" w:noHBand="0" w:noVBand="0"/>
      </w:tblPr>
      <w:tblGrid>
        <w:gridCol w:w="1652"/>
        <w:gridCol w:w="7364"/>
      </w:tblGrid>
      <w:tr w:rsidR="009E5BB6" w:rsidRPr="001E05F5" w14:paraId="299DA8E6" w14:textId="77777777" w:rsidTr="009E5BB6">
        <w:tc>
          <w:tcPr>
            <w:tcW w:w="1668" w:type="dxa"/>
            <w:shd w:val="clear" w:color="auto" w:fill="D9D9D9" w:themeFill="background1" w:themeFillShade="D9"/>
          </w:tcPr>
          <w:p w14:paraId="1554E7B5" w14:textId="77777777" w:rsidR="009E5BB6" w:rsidRPr="001E05F5" w:rsidRDefault="009E5BB6" w:rsidP="009E5BB6">
            <w:pPr>
              <w:spacing w:before="60" w:after="60"/>
              <w:rPr>
                <w:b/>
              </w:rPr>
            </w:pPr>
            <w:r w:rsidRPr="001E05F5">
              <w:rPr>
                <w:b/>
              </w:rPr>
              <w:t xml:space="preserve">Option </w:t>
            </w:r>
          </w:p>
        </w:tc>
        <w:tc>
          <w:tcPr>
            <w:tcW w:w="7574" w:type="dxa"/>
            <w:shd w:val="clear" w:color="auto" w:fill="D9D9D9" w:themeFill="background1" w:themeFillShade="D9"/>
          </w:tcPr>
          <w:p w14:paraId="7549C1D3" w14:textId="77777777" w:rsidR="009E5BB6" w:rsidRPr="001E05F5" w:rsidRDefault="009E5BB6" w:rsidP="009E5BB6">
            <w:pPr>
              <w:spacing w:before="60" w:after="60"/>
              <w:rPr>
                <w:b/>
              </w:rPr>
            </w:pPr>
            <w:r w:rsidRPr="001E05F5">
              <w:rPr>
                <w:rFonts w:eastAsia="Calibri" w:cs="Arial"/>
                <w:b/>
                <w:color w:val="000000"/>
                <w:szCs w:val="20"/>
              </w:rPr>
              <w:t>Raising waste awareness and education campaigns</w:t>
            </w:r>
          </w:p>
        </w:tc>
      </w:tr>
      <w:tr w:rsidR="009E5BB6" w:rsidRPr="001E05F5" w14:paraId="2528DDDF" w14:textId="77777777" w:rsidTr="009E5BB6">
        <w:tc>
          <w:tcPr>
            <w:tcW w:w="1668" w:type="dxa"/>
          </w:tcPr>
          <w:p w14:paraId="2065531A" w14:textId="77777777" w:rsidR="009E5BB6" w:rsidRPr="001E05F5" w:rsidRDefault="009E5BB6" w:rsidP="009E5BB6">
            <w:pPr>
              <w:spacing w:before="60" w:after="60"/>
            </w:pPr>
            <w:r w:rsidRPr="001E05F5">
              <w:t xml:space="preserve">Current Activity </w:t>
            </w:r>
          </w:p>
        </w:tc>
        <w:tc>
          <w:tcPr>
            <w:tcW w:w="7574" w:type="dxa"/>
          </w:tcPr>
          <w:p w14:paraId="6A31D439" w14:textId="77777777" w:rsidR="009E5BB6" w:rsidRPr="001E05F5" w:rsidRDefault="009E5BB6" w:rsidP="009E5BB6">
            <w:pPr>
              <w:spacing w:before="60" w:after="60"/>
            </w:pPr>
            <w:r w:rsidRPr="001E05F5">
              <w:t xml:space="preserve">Overall communications are focussed on operational information (including social media, calendars, leaflets, bin stickers, vehicle side advertisements, press releases, council magazine) with limited budget allocated to campaigns on raising waste awareness and education. </w:t>
            </w:r>
          </w:p>
          <w:p w14:paraId="14A78F5D" w14:textId="77777777" w:rsidR="009E5BB6" w:rsidRPr="001E05F5" w:rsidRDefault="009E5BB6" w:rsidP="009E5BB6">
            <w:pPr>
              <w:spacing w:before="60" w:after="60"/>
            </w:pPr>
            <w:r w:rsidRPr="001E05F5">
              <w:t xml:space="preserve">Annual budgets for waste related communications are </w:t>
            </w:r>
          </w:p>
          <w:p w14:paraId="7B33918A" w14:textId="77777777" w:rsidR="009E5BB6" w:rsidRPr="001E05F5" w:rsidRDefault="009E5BB6" w:rsidP="00D17D3B">
            <w:pPr>
              <w:pStyle w:val="ListParagraph"/>
              <w:numPr>
                <w:ilvl w:val="0"/>
                <w:numId w:val="19"/>
              </w:numPr>
              <w:spacing w:before="60" w:after="60" w:line="264" w:lineRule="auto"/>
              <w:jc w:val="both"/>
            </w:pPr>
            <w:r w:rsidRPr="001E05F5">
              <w:t>Darlington: £3k</w:t>
            </w:r>
          </w:p>
          <w:p w14:paraId="0463422A" w14:textId="77777777" w:rsidR="009E5BB6" w:rsidRPr="001E05F5" w:rsidRDefault="009E5BB6" w:rsidP="00D17D3B">
            <w:pPr>
              <w:pStyle w:val="ListParagraph"/>
              <w:numPr>
                <w:ilvl w:val="0"/>
                <w:numId w:val="19"/>
              </w:numPr>
              <w:spacing w:before="60" w:after="60" w:line="264" w:lineRule="auto"/>
              <w:jc w:val="both"/>
            </w:pPr>
            <w:r w:rsidRPr="001E05F5">
              <w:t>Hartlepool: £12k</w:t>
            </w:r>
          </w:p>
          <w:p w14:paraId="6EEDEF71" w14:textId="77777777" w:rsidR="009E5BB6" w:rsidRPr="001E05F5" w:rsidRDefault="009E5BB6" w:rsidP="00D17D3B">
            <w:pPr>
              <w:pStyle w:val="ListParagraph"/>
              <w:numPr>
                <w:ilvl w:val="0"/>
                <w:numId w:val="19"/>
              </w:numPr>
              <w:spacing w:before="60" w:after="60" w:line="264" w:lineRule="auto"/>
              <w:jc w:val="both"/>
            </w:pPr>
            <w:r w:rsidRPr="001E05F5">
              <w:t>Middlesbrough: None Allocated</w:t>
            </w:r>
          </w:p>
          <w:p w14:paraId="3907A602" w14:textId="77777777" w:rsidR="009E5BB6" w:rsidRPr="001E05F5" w:rsidRDefault="009E5BB6" w:rsidP="00D17D3B">
            <w:pPr>
              <w:pStyle w:val="ListParagraph"/>
              <w:numPr>
                <w:ilvl w:val="0"/>
                <w:numId w:val="19"/>
              </w:numPr>
              <w:spacing w:before="60" w:after="60" w:line="264" w:lineRule="auto"/>
              <w:jc w:val="both"/>
            </w:pPr>
            <w:r w:rsidRPr="001E05F5">
              <w:t>Redcar &amp;Cleveland: None Allocated</w:t>
            </w:r>
          </w:p>
          <w:p w14:paraId="75785A30" w14:textId="77777777" w:rsidR="009E5BB6" w:rsidRPr="001E05F5" w:rsidRDefault="009E5BB6" w:rsidP="00D17D3B">
            <w:pPr>
              <w:pStyle w:val="ListParagraph"/>
              <w:numPr>
                <w:ilvl w:val="0"/>
                <w:numId w:val="19"/>
              </w:numPr>
              <w:spacing w:before="60" w:after="60" w:line="264" w:lineRule="auto"/>
              <w:jc w:val="both"/>
            </w:pPr>
            <w:r w:rsidRPr="001E05F5">
              <w:t>Stockton-on-Tees: None Allocated</w:t>
            </w:r>
          </w:p>
        </w:tc>
      </w:tr>
      <w:tr w:rsidR="009E5BB6" w:rsidRPr="001E05F5" w14:paraId="0F0C49B9" w14:textId="77777777" w:rsidTr="009E5BB6">
        <w:tc>
          <w:tcPr>
            <w:tcW w:w="1668" w:type="dxa"/>
          </w:tcPr>
          <w:p w14:paraId="2BD4865C" w14:textId="77777777" w:rsidR="009E5BB6" w:rsidRPr="001E05F5" w:rsidRDefault="009E5BB6" w:rsidP="009E5BB6">
            <w:pPr>
              <w:spacing w:before="60" w:after="60"/>
            </w:pPr>
            <w:r w:rsidRPr="001E05F5">
              <w:t xml:space="preserve">Description </w:t>
            </w:r>
          </w:p>
        </w:tc>
        <w:tc>
          <w:tcPr>
            <w:tcW w:w="7574" w:type="dxa"/>
          </w:tcPr>
          <w:p w14:paraId="133342CE" w14:textId="77777777" w:rsidR="009E5BB6" w:rsidRPr="001E05F5" w:rsidRDefault="009E5BB6" w:rsidP="009E5BB6">
            <w:pPr>
              <w:spacing w:before="60" w:after="60"/>
              <w:rPr>
                <w:rFonts w:eastAsia="Calibri" w:cs="Arial"/>
                <w:szCs w:val="20"/>
              </w:rPr>
            </w:pPr>
            <w:r w:rsidRPr="001E05F5">
              <w:rPr>
                <w:rFonts w:eastAsia="Calibri" w:cs="Arial"/>
                <w:szCs w:val="20"/>
              </w:rPr>
              <w:t>A rolling programme of campaigns designed to raise awareness and increase participation in waste prevention and reuse activities, including:</w:t>
            </w:r>
          </w:p>
          <w:p w14:paraId="309681F9" w14:textId="2B6D952A" w:rsidR="009E5BB6" w:rsidRPr="001E05F5" w:rsidRDefault="0049243A" w:rsidP="00D17D3B">
            <w:pPr>
              <w:numPr>
                <w:ilvl w:val="0"/>
                <w:numId w:val="12"/>
              </w:numPr>
              <w:spacing w:before="60" w:after="60" w:line="264" w:lineRule="auto"/>
              <w:rPr>
                <w:rFonts w:eastAsia="Calibri" w:cs="Arial"/>
                <w:szCs w:val="20"/>
              </w:rPr>
            </w:pPr>
            <w:r w:rsidRPr="001E05F5">
              <w:rPr>
                <w:rFonts w:eastAsia="Calibri" w:cs="Arial"/>
                <w:szCs w:val="20"/>
              </w:rPr>
              <w:t>G</w:t>
            </w:r>
            <w:r w:rsidR="009E5BB6" w:rsidRPr="001E05F5">
              <w:rPr>
                <w:rFonts w:eastAsia="Calibri" w:cs="Arial"/>
                <w:szCs w:val="20"/>
              </w:rPr>
              <w:t>eneral education and waste prevention initiatives;</w:t>
            </w:r>
          </w:p>
          <w:p w14:paraId="1904FC96" w14:textId="26002E6C" w:rsidR="009E5BB6" w:rsidRPr="001E05F5" w:rsidRDefault="0049243A" w:rsidP="00D17D3B">
            <w:pPr>
              <w:numPr>
                <w:ilvl w:val="0"/>
                <w:numId w:val="12"/>
              </w:numPr>
              <w:spacing w:before="60" w:after="60" w:line="264" w:lineRule="auto"/>
              <w:ind w:left="714" w:hanging="357"/>
              <w:rPr>
                <w:rFonts w:eastAsia="Calibri" w:cs="Arial"/>
                <w:szCs w:val="20"/>
              </w:rPr>
            </w:pPr>
            <w:r w:rsidRPr="001E05F5">
              <w:rPr>
                <w:rFonts w:eastAsia="Calibri" w:cs="Arial"/>
                <w:szCs w:val="20"/>
              </w:rPr>
              <w:t>G</w:t>
            </w:r>
            <w:r w:rsidR="009E5BB6" w:rsidRPr="001E05F5">
              <w:rPr>
                <w:rFonts w:eastAsia="Calibri" w:cs="Arial"/>
                <w:szCs w:val="20"/>
              </w:rPr>
              <w:t>eneral reuse initiatives</w:t>
            </w:r>
          </w:p>
          <w:p w14:paraId="6F5AB2C6" w14:textId="77777777" w:rsidR="009E5BB6" w:rsidRPr="001E05F5" w:rsidRDefault="009E5BB6" w:rsidP="00D17D3B">
            <w:pPr>
              <w:numPr>
                <w:ilvl w:val="0"/>
                <w:numId w:val="12"/>
              </w:numPr>
              <w:autoSpaceDE w:val="0"/>
              <w:autoSpaceDN w:val="0"/>
              <w:adjustRightInd w:val="0"/>
              <w:spacing w:before="60" w:after="60" w:line="240" w:lineRule="auto"/>
              <w:rPr>
                <w:rFonts w:eastAsia="Calibri" w:cs="Arial"/>
                <w:color w:val="000000"/>
                <w:szCs w:val="20"/>
              </w:rPr>
            </w:pPr>
            <w:r w:rsidRPr="001E05F5">
              <w:rPr>
                <w:rFonts w:eastAsia="Calibri" w:cs="Arial"/>
                <w:color w:val="000000"/>
                <w:szCs w:val="20"/>
              </w:rPr>
              <w:t xml:space="preserve">Love Food Hate Waste </w:t>
            </w:r>
          </w:p>
          <w:p w14:paraId="05893D2F" w14:textId="77777777" w:rsidR="009E5BB6" w:rsidRPr="001E05F5" w:rsidRDefault="009E5BB6" w:rsidP="00D17D3B">
            <w:pPr>
              <w:numPr>
                <w:ilvl w:val="0"/>
                <w:numId w:val="12"/>
              </w:numPr>
              <w:autoSpaceDE w:val="0"/>
              <w:autoSpaceDN w:val="0"/>
              <w:adjustRightInd w:val="0"/>
              <w:spacing w:before="60" w:after="60" w:line="240" w:lineRule="auto"/>
              <w:rPr>
                <w:rFonts w:eastAsia="Calibri" w:cs="Arial"/>
                <w:color w:val="000000"/>
                <w:szCs w:val="20"/>
              </w:rPr>
            </w:pPr>
            <w:r w:rsidRPr="001E05F5">
              <w:rPr>
                <w:rFonts w:eastAsia="Calibri" w:cs="Arial"/>
                <w:color w:val="000000"/>
                <w:szCs w:val="20"/>
              </w:rPr>
              <w:t xml:space="preserve">Junk Mail </w:t>
            </w:r>
          </w:p>
          <w:p w14:paraId="7CFCF33C" w14:textId="7001A79E" w:rsidR="009E5BB6" w:rsidRPr="001E05F5" w:rsidRDefault="0049243A" w:rsidP="00D17D3B">
            <w:pPr>
              <w:numPr>
                <w:ilvl w:val="0"/>
                <w:numId w:val="12"/>
              </w:numPr>
              <w:autoSpaceDE w:val="0"/>
              <w:autoSpaceDN w:val="0"/>
              <w:adjustRightInd w:val="0"/>
              <w:spacing w:before="60" w:after="60" w:line="240" w:lineRule="auto"/>
            </w:pPr>
            <w:r w:rsidRPr="001E05F5">
              <w:rPr>
                <w:rFonts w:eastAsia="Calibri" w:cs="Arial"/>
                <w:color w:val="000000"/>
                <w:szCs w:val="20"/>
              </w:rPr>
              <w:t>P</w:t>
            </w:r>
            <w:r w:rsidR="009E5BB6" w:rsidRPr="001E05F5">
              <w:rPr>
                <w:rFonts w:eastAsia="Calibri" w:cs="Arial"/>
                <w:color w:val="000000"/>
                <w:szCs w:val="20"/>
              </w:rPr>
              <w:t>romoting smart shopping practices</w:t>
            </w:r>
          </w:p>
        </w:tc>
      </w:tr>
      <w:tr w:rsidR="009E5BB6" w:rsidRPr="001E05F5" w14:paraId="12CFFBDA" w14:textId="77777777" w:rsidTr="009E5BB6">
        <w:tc>
          <w:tcPr>
            <w:tcW w:w="1668" w:type="dxa"/>
          </w:tcPr>
          <w:p w14:paraId="6574FAAC" w14:textId="77777777" w:rsidR="009E5BB6" w:rsidRPr="001E05F5" w:rsidRDefault="009E5BB6" w:rsidP="009E5BB6">
            <w:pPr>
              <w:spacing w:before="60" w:after="60"/>
            </w:pPr>
            <w:r w:rsidRPr="001E05F5">
              <w:t>Performance Assumptions</w:t>
            </w:r>
          </w:p>
        </w:tc>
        <w:tc>
          <w:tcPr>
            <w:tcW w:w="7574" w:type="dxa"/>
          </w:tcPr>
          <w:p w14:paraId="53C188BA" w14:textId="77777777" w:rsidR="009E5BB6" w:rsidRPr="001E05F5" w:rsidRDefault="009E5BB6" w:rsidP="009E5BB6">
            <w:pPr>
              <w:spacing w:before="60" w:after="60"/>
            </w:pPr>
            <w:r w:rsidRPr="001E05F5">
              <w:t>There is no definitive evidence base on the impact of communications campaigns due to the range of variables related to the impacts.</w:t>
            </w:r>
          </w:p>
          <w:p w14:paraId="42A72528" w14:textId="77777777" w:rsidR="009E5BB6" w:rsidRPr="001E05F5" w:rsidRDefault="009E5BB6" w:rsidP="009E5BB6">
            <w:pPr>
              <w:spacing w:before="60" w:after="60"/>
              <w:ind w:left="2160" w:hanging="2160"/>
            </w:pPr>
            <w:r w:rsidRPr="001E05F5">
              <w:t>Modelling assumption: 2.5% uplift in recycling in year 1 followed by 0.5% per annum</w:t>
            </w:r>
          </w:p>
          <w:p w14:paraId="2149445A" w14:textId="77777777" w:rsidR="009E5BB6" w:rsidRPr="001E05F5" w:rsidRDefault="009E5BB6" w:rsidP="009E5BB6">
            <w:pPr>
              <w:spacing w:before="60" w:after="60"/>
              <w:ind w:left="2160" w:hanging="2160"/>
            </w:pPr>
            <w:r w:rsidRPr="001E05F5">
              <w:t>Modelling assumption: .0.1% waste prevention per annum</w:t>
            </w:r>
          </w:p>
        </w:tc>
      </w:tr>
      <w:tr w:rsidR="009E5BB6" w:rsidRPr="001E05F5" w14:paraId="1385182D" w14:textId="77777777" w:rsidTr="009E5BB6">
        <w:tc>
          <w:tcPr>
            <w:tcW w:w="1668" w:type="dxa"/>
          </w:tcPr>
          <w:p w14:paraId="4FFD94CA" w14:textId="77777777" w:rsidR="009E5BB6" w:rsidRPr="001E05F5" w:rsidRDefault="009E5BB6" w:rsidP="009E5BB6">
            <w:pPr>
              <w:spacing w:before="60" w:after="60"/>
            </w:pPr>
            <w:r w:rsidRPr="001E05F5">
              <w:t xml:space="preserve">Cost Assumptions </w:t>
            </w:r>
          </w:p>
        </w:tc>
        <w:tc>
          <w:tcPr>
            <w:tcW w:w="7574" w:type="dxa"/>
          </w:tcPr>
          <w:p w14:paraId="4E41E4DF" w14:textId="77777777" w:rsidR="009E5BB6" w:rsidRPr="001E05F5" w:rsidRDefault="009E5BB6" w:rsidP="009E5BB6">
            <w:pPr>
              <w:spacing w:before="60" w:after="60"/>
            </w:pPr>
            <w:r w:rsidRPr="001E05F5">
              <w:t>WRAP - Improving recycling through effective communications:</w:t>
            </w:r>
          </w:p>
          <w:p w14:paraId="50F61088" w14:textId="77777777" w:rsidR="009E5BB6" w:rsidRPr="001E05F5" w:rsidRDefault="009E5BB6" w:rsidP="009E5BB6">
            <w:pPr>
              <w:spacing w:before="60" w:after="60"/>
            </w:pPr>
            <w:r w:rsidRPr="001E05F5">
              <w:t>‘</w:t>
            </w:r>
            <w:r w:rsidRPr="001E05F5">
              <w:rPr>
                <w:i/>
              </w:rPr>
              <w:t xml:space="preserve">There is, unfortunately, no simple formula to determine how much needs to be spent on communications to achieve any given desired result. There are too many variables and too many ways of achieving results for such a formula to exist. As a rule of thumb, however, experience suggests that an effective campaign costs a minimum of £1.00 per household (NB. This will vary and for small LAs the figure could be greater as core costs for activities like monitoring etc will absorb a greater proportion of your funding). Your budget may also need to be proportionally greater if, for example, you are launching a new authority-wide service. If your plan requires a budget of much less or more than this figure (e.g. £0.50 - £1.50 per household) it is not necessarily </w:t>
            </w:r>
            <w:proofErr w:type="gramStart"/>
            <w:r w:rsidRPr="001E05F5">
              <w:rPr>
                <w:i/>
              </w:rPr>
              <w:t>wrong</w:t>
            </w:r>
            <w:proofErr w:type="gramEnd"/>
            <w:r w:rsidRPr="001E05F5">
              <w:rPr>
                <w:i/>
              </w:rPr>
              <w:t xml:space="preserve"> but you should reconsider it and satisfy yourself that your proposed budget is neither too high nor too low. These figures will give you an approximate target budget to aim at</w:t>
            </w:r>
            <w:r w:rsidRPr="001E05F5">
              <w:t>.’</w:t>
            </w:r>
          </w:p>
          <w:p w14:paraId="0AE5233A" w14:textId="77777777" w:rsidR="009E5BB6" w:rsidRPr="001E05F5" w:rsidRDefault="009E5BB6" w:rsidP="009E5BB6">
            <w:pPr>
              <w:spacing w:before="60" w:after="60"/>
            </w:pPr>
            <w:r w:rsidRPr="001E05F5">
              <w:t>Modelling assumption: £1/household per year</w:t>
            </w:r>
          </w:p>
        </w:tc>
      </w:tr>
    </w:tbl>
    <w:p w14:paraId="73FD4159" w14:textId="77777777" w:rsidR="009E5BB6" w:rsidRPr="001E05F5" w:rsidRDefault="009E5BB6" w:rsidP="009E5BB6"/>
    <w:tbl>
      <w:tblPr>
        <w:tblStyle w:val="TableGrid"/>
        <w:tblW w:w="0" w:type="auto"/>
        <w:tblLook w:val="00A0" w:firstRow="1" w:lastRow="0" w:firstColumn="1" w:lastColumn="0" w:noHBand="0" w:noVBand="0"/>
      </w:tblPr>
      <w:tblGrid>
        <w:gridCol w:w="1654"/>
        <w:gridCol w:w="7362"/>
      </w:tblGrid>
      <w:tr w:rsidR="009E5BB6" w:rsidRPr="001E05F5" w14:paraId="4B4F4464" w14:textId="77777777" w:rsidTr="009E5BB6">
        <w:tc>
          <w:tcPr>
            <w:tcW w:w="1668" w:type="dxa"/>
            <w:shd w:val="clear" w:color="auto" w:fill="D9D9D9" w:themeFill="background1" w:themeFillShade="D9"/>
          </w:tcPr>
          <w:p w14:paraId="55C0ECB7" w14:textId="77777777" w:rsidR="009E5BB6" w:rsidRPr="001E05F5" w:rsidRDefault="009E5BB6" w:rsidP="009E5BB6">
            <w:pPr>
              <w:keepNext/>
              <w:keepLines/>
              <w:spacing w:before="60" w:after="60"/>
              <w:rPr>
                <w:b/>
              </w:rPr>
            </w:pPr>
            <w:r w:rsidRPr="001E05F5">
              <w:rPr>
                <w:b/>
              </w:rPr>
              <w:lastRenderedPageBreak/>
              <w:t xml:space="preserve">Option </w:t>
            </w:r>
          </w:p>
        </w:tc>
        <w:tc>
          <w:tcPr>
            <w:tcW w:w="7574" w:type="dxa"/>
            <w:shd w:val="clear" w:color="auto" w:fill="D9D9D9" w:themeFill="background1" w:themeFillShade="D9"/>
          </w:tcPr>
          <w:p w14:paraId="65460C35" w14:textId="77777777" w:rsidR="009E5BB6" w:rsidRPr="001E05F5" w:rsidRDefault="009E5BB6" w:rsidP="009E5BB6">
            <w:pPr>
              <w:keepNext/>
              <w:keepLines/>
              <w:spacing w:before="60" w:after="60"/>
              <w:rPr>
                <w:b/>
              </w:rPr>
            </w:pPr>
            <w:r w:rsidRPr="001E05F5">
              <w:rPr>
                <w:rFonts w:eastAsia="Calibri" w:cs="Arial"/>
                <w:b/>
                <w:color w:val="000000"/>
                <w:szCs w:val="20"/>
              </w:rPr>
              <w:t>Home Composting / Digestion</w:t>
            </w:r>
          </w:p>
        </w:tc>
      </w:tr>
      <w:tr w:rsidR="009E5BB6" w:rsidRPr="001E05F5" w14:paraId="079A3E5B" w14:textId="77777777" w:rsidTr="009E5BB6">
        <w:trPr>
          <w:trHeight w:val="60"/>
        </w:trPr>
        <w:tc>
          <w:tcPr>
            <w:tcW w:w="1668" w:type="dxa"/>
          </w:tcPr>
          <w:p w14:paraId="3AFF82D3" w14:textId="77777777" w:rsidR="009E5BB6" w:rsidRPr="001E05F5" w:rsidRDefault="009E5BB6" w:rsidP="009E5BB6">
            <w:pPr>
              <w:spacing w:before="60" w:after="60"/>
            </w:pPr>
            <w:r w:rsidRPr="001E05F5">
              <w:t xml:space="preserve">Current Activity </w:t>
            </w:r>
          </w:p>
        </w:tc>
        <w:tc>
          <w:tcPr>
            <w:tcW w:w="7574" w:type="dxa"/>
          </w:tcPr>
          <w:p w14:paraId="774AB1F7" w14:textId="0A88560F" w:rsidR="009E5BB6" w:rsidRPr="001E05F5" w:rsidRDefault="009E5BB6" w:rsidP="009E5BB6">
            <w:pPr>
              <w:spacing w:before="60" w:after="60"/>
            </w:pPr>
            <w:r w:rsidRPr="001E05F5">
              <w:t xml:space="preserve">The Council currently do not heavily promote composting.  A couple of </w:t>
            </w:r>
            <w:r w:rsidR="0049243A" w:rsidRPr="001E05F5">
              <w:t>council’s</w:t>
            </w:r>
            <w:r w:rsidRPr="001E05F5">
              <w:t xml:space="preserve"> direct residents to the </w:t>
            </w:r>
            <w:proofErr w:type="spellStart"/>
            <w:r w:rsidRPr="001E05F5">
              <w:t>RecyleNow</w:t>
            </w:r>
            <w:proofErr w:type="spellEnd"/>
            <w:r w:rsidRPr="001E05F5">
              <w:t xml:space="preserve"> composting website and another directs to the getcomposting.com website for </w:t>
            </w:r>
            <w:r w:rsidRPr="001E05F5">
              <w:rPr>
                <w:rFonts w:cs="Arial"/>
                <w:color w:val="000000"/>
                <w:szCs w:val="20"/>
              </w:rPr>
              <w:t>subsidised home composting bins.</w:t>
            </w:r>
          </w:p>
        </w:tc>
      </w:tr>
      <w:tr w:rsidR="009E5BB6" w:rsidRPr="001E05F5" w14:paraId="30C13FE0" w14:textId="77777777" w:rsidTr="009E5BB6">
        <w:tc>
          <w:tcPr>
            <w:tcW w:w="1668" w:type="dxa"/>
          </w:tcPr>
          <w:p w14:paraId="4356D2A5" w14:textId="77777777" w:rsidR="009E5BB6" w:rsidRPr="001E05F5" w:rsidRDefault="009E5BB6" w:rsidP="009E5BB6">
            <w:pPr>
              <w:spacing w:before="60" w:after="60"/>
            </w:pPr>
            <w:r w:rsidRPr="001E05F5">
              <w:t xml:space="preserve">Description </w:t>
            </w:r>
          </w:p>
        </w:tc>
        <w:tc>
          <w:tcPr>
            <w:tcW w:w="7574" w:type="dxa"/>
          </w:tcPr>
          <w:p w14:paraId="74DBD682" w14:textId="77777777" w:rsidR="009E5BB6" w:rsidRPr="001E05F5" w:rsidRDefault="009E5BB6" w:rsidP="009E5BB6">
            <w:pPr>
              <w:autoSpaceDE w:val="0"/>
              <w:autoSpaceDN w:val="0"/>
              <w:adjustRightInd w:val="0"/>
              <w:spacing w:before="60" w:after="60" w:line="240" w:lineRule="auto"/>
            </w:pPr>
            <w:r w:rsidRPr="001E05F5">
              <w:rPr>
                <w:rFonts w:eastAsia="Calibri" w:cs="Arial"/>
                <w:szCs w:val="20"/>
              </w:rPr>
              <w:t>Actively promote home composting (or anaerobic / aerobic digestion) to reduce the demand on collection services and treatment capacity by providing a £5 subsidy per composting bin.</w:t>
            </w:r>
          </w:p>
        </w:tc>
      </w:tr>
      <w:tr w:rsidR="009E5BB6" w:rsidRPr="001E05F5" w14:paraId="35D757AB" w14:textId="77777777" w:rsidTr="009E5BB6">
        <w:tc>
          <w:tcPr>
            <w:tcW w:w="1668" w:type="dxa"/>
          </w:tcPr>
          <w:p w14:paraId="00BC3797" w14:textId="77777777" w:rsidR="009E5BB6" w:rsidRPr="001E05F5" w:rsidRDefault="009E5BB6" w:rsidP="009E5BB6">
            <w:pPr>
              <w:spacing w:before="60" w:after="60"/>
            </w:pPr>
            <w:r w:rsidRPr="001E05F5">
              <w:t>Performance Assumptions</w:t>
            </w:r>
          </w:p>
        </w:tc>
        <w:tc>
          <w:tcPr>
            <w:tcW w:w="7574" w:type="dxa"/>
          </w:tcPr>
          <w:p w14:paraId="4FAD4CB5" w14:textId="77777777" w:rsidR="009E5BB6" w:rsidRPr="001E05F5" w:rsidRDefault="009E5BB6" w:rsidP="009E5BB6">
            <w:pPr>
              <w:tabs>
                <w:tab w:val="left" w:pos="2160"/>
              </w:tabs>
              <w:spacing w:before="60" w:after="60"/>
            </w:pPr>
            <w:r w:rsidRPr="001E05F5">
              <w:t>Modelling assumption:</w:t>
            </w:r>
            <w:r w:rsidRPr="001E05F5">
              <w:tab/>
              <w:t>1000 composting bins requested per annum for 5 years</w:t>
            </w:r>
          </w:p>
          <w:p w14:paraId="4664A614" w14:textId="77777777" w:rsidR="009E5BB6" w:rsidRPr="001E05F5" w:rsidRDefault="009E5BB6" w:rsidP="009E5BB6">
            <w:pPr>
              <w:tabs>
                <w:tab w:val="left" w:pos="2160"/>
              </w:tabs>
              <w:spacing w:before="60" w:after="60"/>
            </w:pPr>
            <w:r w:rsidRPr="001E05F5">
              <w:tab/>
              <w:t>150kg diversion per composting bin per year</w:t>
            </w:r>
          </w:p>
          <w:p w14:paraId="1E4428E8" w14:textId="77777777" w:rsidR="009E5BB6" w:rsidRPr="001E05F5" w:rsidRDefault="009E5BB6" w:rsidP="009E5BB6">
            <w:pPr>
              <w:tabs>
                <w:tab w:val="left" w:pos="2160"/>
              </w:tabs>
              <w:spacing w:before="60" w:after="60"/>
            </w:pPr>
            <w:r w:rsidRPr="001E05F5">
              <w:tab/>
              <w:t>Lapse rate 5% per annum</w:t>
            </w:r>
          </w:p>
          <w:p w14:paraId="37E20561" w14:textId="77777777" w:rsidR="009E5BB6" w:rsidRPr="001E05F5" w:rsidRDefault="009E5BB6" w:rsidP="009E5BB6">
            <w:pPr>
              <w:tabs>
                <w:tab w:val="left" w:pos="2160"/>
              </w:tabs>
              <w:spacing w:before="60" w:after="60"/>
            </w:pPr>
            <w:r w:rsidRPr="001E05F5">
              <w:t>Tonnage diversion</w:t>
            </w:r>
            <w:r w:rsidRPr="001E05F5">
              <w:tab/>
              <w:t>Year 1: 150 tonnes</w:t>
            </w:r>
          </w:p>
          <w:p w14:paraId="74F51D72" w14:textId="77777777" w:rsidR="009E5BB6" w:rsidRPr="001E05F5" w:rsidRDefault="009E5BB6" w:rsidP="009E5BB6">
            <w:pPr>
              <w:tabs>
                <w:tab w:val="left" w:pos="2160"/>
              </w:tabs>
              <w:spacing w:before="60" w:after="60"/>
            </w:pPr>
            <w:r w:rsidRPr="001E05F5">
              <w:tab/>
              <w:t xml:space="preserve">Year 2: 293 tonnes </w:t>
            </w:r>
          </w:p>
          <w:p w14:paraId="7A779BFE" w14:textId="77777777" w:rsidR="009E5BB6" w:rsidRPr="001E05F5" w:rsidRDefault="009E5BB6" w:rsidP="009E5BB6">
            <w:pPr>
              <w:tabs>
                <w:tab w:val="left" w:pos="2160"/>
              </w:tabs>
              <w:spacing w:before="60" w:after="60"/>
            </w:pPr>
            <w:r w:rsidRPr="001E05F5">
              <w:tab/>
              <w:t>Year 3: 428 tonnes</w:t>
            </w:r>
          </w:p>
          <w:p w14:paraId="59A84998" w14:textId="77777777" w:rsidR="009E5BB6" w:rsidRPr="001E05F5" w:rsidRDefault="009E5BB6" w:rsidP="009E5BB6">
            <w:pPr>
              <w:tabs>
                <w:tab w:val="left" w:pos="2160"/>
              </w:tabs>
              <w:spacing w:before="60" w:after="60"/>
            </w:pPr>
            <w:r w:rsidRPr="001E05F5">
              <w:tab/>
              <w:t xml:space="preserve">Year 4: 557 tonnes </w:t>
            </w:r>
          </w:p>
          <w:p w14:paraId="281C42D5" w14:textId="77777777" w:rsidR="009E5BB6" w:rsidRPr="001E05F5" w:rsidRDefault="009E5BB6" w:rsidP="009E5BB6">
            <w:pPr>
              <w:tabs>
                <w:tab w:val="left" w:pos="2160"/>
              </w:tabs>
              <w:spacing w:before="60" w:after="60"/>
            </w:pPr>
            <w:r w:rsidRPr="001E05F5">
              <w:tab/>
              <w:t>Year 5: 679 tonnes etc</w:t>
            </w:r>
          </w:p>
          <w:p w14:paraId="5F3CAD75" w14:textId="77777777" w:rsidR="009E5BB6" w:rsidRPr="001E05F5" w:rsidRDefault="009E5BB6" w:rsidP="009E5BB6">
            <w:pPr>
              <w:tabs>
                <w:tab w:val="left" w:pos="2160"/>
              </w:tabs>
              <w:spacing w:before="60" w:after="60"/>
            </w:pPr>
            <w:r w:rsidRPr="001E05F5">
              <w:t>Based on WRAP Waste Prevention Calculator from 2010</w:t>
            </w:r>
          </w:p>
        </w:tc>
      </w:tr>
      <w:tr w:rsidR="009E5BB6" w:rsidRPr="001E05F5" w14:paraId="4E6A2B05" w14:textId="77777777" w:rsidTr="009E5BB6">
        <w:tc>
          <w:tcPr>
            <w:tcW w:w="1668" w:type="dxa"/>
          </w:tcPr>
          <w:p w14:paraId="214AFFC2" w14:textId="77777777" w:rsidR="009E5BB6" w:rsidRPr="001E05F5" w:rsidRDefault="009E5BB6" w:rsidP="009E5BB6">
            <w:pPr>
              <w:spacing w:before="60" w:after="60"/>
            </w:pPr>
            <w:r w:rsidRPr="001E05F5">
              <w:t xml:space="preserve">Cost Assumptions </w:t>
            </w:r>
          </w:p>
        </w:tc>
        <w:tc>
          <w:tcPr>
            <w:tcW w:w="7574" w:type="dxa"/>
          </w:tcPr>
          <w:p w14:paraId="554277A3" w14:textId="77777777" w:rsidR="009E5BB6" w:rsidRPr="001E05F5" w:rsidRDefault="009E5BB6" w:rsidP="009E5BB6">
            <w:pPr>
              <w:spacing w:before="60" w:after="60"/>
              <w:rPr>
                <w:rFonts w:eastAsia="Calibri" w:cs="Arial"/>
                <w:szCs w:val="20"/>
              </w:rPr>
            </w:pPr>
            <w:r w:rsidRPr="001E05F5">
              <w:t xml:space="preserve">Modelling assumption: </w:t>
            </w:r>
            <w:r w:rsidRPr="001E05F5">
              <w:rPr>
                <w:rFonts w:eastAsia="Calibri" w:cs="Arial"/>
                <w:szCs w:val="20"/>
              </w:rPr>
              <w:t>£5 subsidy per composting bin.</w:t>
            </w:r>
          </w:p>
          <w:p w14:paraId="71F490F6" w14:textId="77777777" w:rsidR="009E5BB6" w:rsidRPr="001E05F5" w:rsidRDefault="009E5BB6" w:rsidP="009E5BB6">
            <w:pPr>
              <w:spacing w:before="60" w:after="60"/>
            </w:pPr>
            <w:r w:rsidRPr="001E05F5">
              <w:rPr>
                <w:rFonts w:eastAsia="Calibri" w:cs="Arial"/>
                <w:color w:val="000000"/>
                <w:szCs w:val="20"/>
              </w:rPr>
              <w:t>Communications costs covered as part of overall waste awareness and education campaigns options.</w:t>
            </w:r>
          </w:p>
        </w:tc>
      </w:tr>
    </w:tbl>
    <w:p w14:paraId="5A01502F" w14:textId="77777777" w:rsidR="009E5BB6" w:rsidRPr="001E05F5" w:rsidRDefault="009E5BB6" w:rsidP="009E5BB6"/>
    <w:tbl>
      <w:tblPr>
        <w:tblStyle w:val="TableGrid"/>
        <w:tblW w:w="0" w:type="auto"/>
        <w:tblLook w:val="00A0" w:firstRow="1" w:lastRow="0" w:firstColumn="1" w:lastColumn="0" w:noHBand="0" w:noVBand="0"/>
      </w:tblPr>
      <w:tblGrid>
        <w:gridCol w:w="1654"/>
        <w:gridCol w:w="7362"/>
      </w:tblGrid>
      <w:tr w:rsidR="009E5BB6" w:rsidRPr="001E05F5" w14:paraId="2A88F6A0" w14:textId="77777777" w:rsidTr="009E5BB6">
        <w:tc>
          <w:tcPr>
            <w:tcW w:w="1668" w:type="dxa"/>
            <w:shd w:val="clear" w:color="auto" w:fill="D9D9D9" w:themeFill="background1" w:themeFillShade="D9"/>
          </w:tcPr>
          <w:p w14:paraId="7F6DEE17" w14:textId="77777777" w:rsidR="009E5BB6" w:rsidRPr="001E05F5" w:rsidRDefault="009E5BB6" w:rsidP="009E5BB6">
            <w:pPr>
              <w:spacing w:before="60" w:after="60"/>
              <w:rPr>
                <w:b/>
              </w:rPr>
            </w:pPr>
            <w:r w:rsidRPr="001E05F5">
              <w:rPr>
                <w:b/>
              </w:rPr>
              <w:t xml:space="preserve">Option </w:t>
            </w:r>
          </w:p>
        </w:tc>
        <w:tc>
          <w:tcPr>
            <w:tcW w:w="7574" w:type="dxa"/>
            <w:shd w:val="clear" w:color="auto" w:fill="D9D9D9" w:themeFill="background1" w:themeFillShade="D9"/>
          </w:tcPr>
          <w:p w14:paraId="3753F273" w14:textId="77777777" w:rsidR="009E5BB6" w:rsidRPr="001E05F5" w:rsidRDefault="009E5BB6" w:rsidP="009E5BB6">
            <w:pPr>
              <w:spacing w:before="60" w:after="60"/>
              <w:rPr>
                <w:b/>
              </w:rPr>
            </w:pPr>
            <w:r w:rsidRPr="001E05F5">
              <w:rPr>
                <w:rFonts w:eastAsia="Calibri" w:cs="Arial"/>
                <w:b/>
                <w:color w:val="000000"/>
                <w:szCs w:val="20"/>
              </w:rPr>
              <w:t xml:space="preserve">Recycling &amp; Reuse at Household Waste Recycling Centres (HWRC) </w:t>
            </w:r>
          </w:p>
        </w:tc>
      </w:tr>
      <w:tr w:rsidR="009E5BB6" w:rsidRPr="001E05F5" w14:paraId="70609C68" w14:textId="77777777" w:rsidTr="009E5BB6">
        <w:tc>
          <w:tcPr>
            <w:tcW w:w="1668" w:type="dxa"/>
          </w:tcPr>
          <w:p w14:paraId="636A3196" w14:textId="77777777" w:rsidR="009E5BB6" w:rsidRPr="001E05F5" w:rsidRDefault="009E5BB6" w:rsidP="009E5BB6">
            <w:pPr>
              <w:spacing w:before="60" w:after="60"/>
            </w:pPr>
            <w:r w:rsidRPr="001E05F5">
              <w:t xml:space="preserve">Current Activity </w:t>
            </w:r>
          </w:p>
        </w:tc>
        <w:tc>
          <w:tcPr>
            <w:tcW w:w="7574" w:type="dxa"/>
          </w:tcPr>
          <w:p w14:paraId="7BFD430C" w14:textId="77777777" w:rsidR="009E5BB6" w:rsidRPr="001E05F5" w:rsidRDefault="009E5BB6" w:rsidP="009E5BB6">
            <w:pPr>
              <w:spacing w:before="60" w:after="60"/>
            </w:pPr>
            <w:r w:rsidRPr="001E05F5">
              <w:t>There is a high level of landfill diversion (96%) from the HWRCs due to the majority of residual waste being diverted to the Haverton Hill EfW facility.</w:t>
            </w:r>
          </w:p>
          <w:p w14:paraId="3E02115B" w14:textId="77EB353B" w:rsidR="009E5BB6" w:rsidRPr="001E05F5" w:rsidRDefault="00E902AA" w:rsidP="009E5BB6">
            <w:pPr>
              <w:spacing w:before="60" w:after="60"/>
            </w:pPr>
            <w:r w:rsidRPr="001E05F5">
              <w:t>However,</w:t>
            </w:r>
            <w:r w:rsidR="009E5BB6" w:rsidRPr="001E05F5">
              <w:t xml:space="preserve"> the recycling rates (excluding rubble) at the HWRCs are low (30%-43%) compared to the UK average of 62% in 2015/16</w:t>
            </w:r>
            <w:r w:rsidR="009E5BB6" w:rsidRPr="001E05F5">
              <w:rPr>
                <w:vertAlign w:val="superscript"/>
              </w:rPr>
              <w:t>1</w:t>
            </w:r>
          </w:p>
        </w:tc>
      </w:tr>
      <w:tr w:rsidR="009E5BB6" w:rsidRPr="001E05F5" w14:paraId="69FD9AC5" w14:textId="77777777" w:rsidTr="009E5BB6">
        <w:tc>
          <w:tcPr>
            <w:tcW w:w="1668" w:type="dxa"/>
          </w:tcPr>
          <w:p w14:paraId="455D4581" w14:textId="77777777" w:rsidR="009E5BB6" w:rsidRPr="001E05F5" w:rsidRDefault="009E5BB6" w:rsidP="009E5BB6">
            <w:pPr>
              <w:spacing w:before="60" w:after="60"/>
            </w:pPr>
            <w:r w:rsidRPr="001E05F5">
              <w:t xml:space="preserve">Description </w:t>
            </w:r>
          </w:p>
        </w:tc>
        <w:tc>
          <w:tcPr>
            <w:tcW w:w="7574" w:type="dxa"/>
          </w:tcPr>
          <w:p w14:paraId="26404C4B" w14:textId="77777777" w:rsidR="009E5BB6" w:rsidRPr="001E05F5" w:rsidRDefault="009E5BB6" w:rsidP="009E5BB6">
            <w:pPr>
              <w:autoSpaceDE w:val="0"/>
              <w:autoSpaceDN w:val="0"/>
              <w:adjustRightInd w:val="0"/>
              <w:spacing w:before="60" w:after="60" w:line="240" w:lineRule="auto"/>
              <w:rPr>
                <w:rFonts w:eastAsia="Calibri" w:cs="Arial"/>
                <w:szCs w:val="20"/>
              </w:rPr>
            </w:pPr>
            <w:r w:rsidRPr="001E05F5">
              <w:rPr>
                <w:rFonts w:eastAsia="Calibri" w:cs="Arial"/>
                <w:szCs w:val="20"/>
              </w:rPr>
              <w:t>Install facilities at HWRCs that allow members of the public to leave and collect items such as furniture. This can include awareness and promotional campaigns of the service.</w:t>
            </w:r>
          </w:p>
          <w:p w14:paraId="0BBB9857" w14:textId="77777777" w:rsidR="009E5BB6" w:rsidRPr="001E05F5" w:rsidRDefault="009E5BB6" w:rsidP="009E5BB6">
            <w:pPr>
              <w:autoSpaceDE w:val="0"/>
              <w:autoSpaceDN w:val="0"/>
              <w:adjustRightInd w:val="0"/>
              <w:spacing w:before="60" w:after="60" w:line="240" w:lineRule="auto"/>
            </w:pPr>
            <w:r w:rsidRPr="001E05F5">
              <w:rPr>
                <w:rFonts w:eastAsia="Calibri" w:cs="Arial"/>
                <w:szCs w:val="20"/>
              </w:rPr>
              <w:t xml:space="preserve">The </w:t>
            </w:r>
            <w:r w:rsidRPr="001E05F5">
              <w:t>WRAP HWRC Toolkit has been used to estimate the impact of:</w:t>
            </w:r>
          </w:p>
          <w:p w14:paraId="36CFF2D6" w14:textId="77777777" w:rsidR="009E5BB6" w:rsidRPr="001E05F5" w:rsidRDefault="009E5BB6" w:rsidP="00D17D3B">
            <w:pPr>
              <w:pStyle w:val="ListParagraph"/>
              <w:numPr>
                <w:ilvl w:val="0"/>
                <w:numId w:val="16"/>
              </w:numPr>
              <w:autoSpaceDE w:val="0"/>
              <w:autoSpaceDN w:val="0"/>
              <w:adjustRightInd w:val="0"/>
              <w:spacing w:before="60" w:after="60" w:line="240" w:lineRule="auto"/>
            </w:pPr>
            <w:r w:rsidRPr="001E05F5">
              <w:t>Introducing reuse system;</w:t>
            </w:r>
          </w:p>
          <w:p w14:paraId="62A3BC2E" w14:textId="3BDA9F60" w:rsidR="009E5BB6" w:rsidRPr="001E05F5" w:rsidRDefault="009E5BB6" w:rsidP="00D17D3B">
            <w:pPr>
              <w:pStyle w:val="ListParagraph"/>
              <w:numPr>
                <w:ilvl w:val="0"/>
                <w:numId w:val="16"/>
              </w:numPr>
              <w:autoSpaceDE w:val="0"/>
              <w:autoSpaceDN w:val="0"/>
              <w:adjustRightInd w:val="0"/>
              <w:spacing w:before="60" w:after="60" w:line="240" w:lineRule="auto"/>
            </w:pPr>
            <w:r w:rsidRPr="001E05F5">
              <w:t xml:space="preserve">Introducing/expanding </w:t>
            </w:r>
            <w:r w:rsidR="00AA36A7" w:rsidRPr="001E05F5">
              <w:t>‘</w:t>
            </w:r>
            <w:r w:rsidRPr="001E05F5">
              <w:t>meet and greet</w:t>
            </w:r>
            <w:r w:rsidR="00AA36A7" w:rsidRPr="001E05F5">
              <w:t>’</w:t>
            </w:r>
            <w:r w:rsidRPr="001E05F5">
              <w:t xml:space="preserve"> policy with an additional staff member;</w:t>
            </w:r>
          </w:p>
          <w:p w14:paraId="3E7712A5" w14:textId="77777777" w:rsidR="009E5BB6" w:rsidRPr="001E05F5" w:rsidRDefault="009E5BB6" w:rsidP="00D17D3B">
            <w:pPr>
              <w:pStyle w:val="ListParagraph"/>
              <w:numPr>
                <w:ilvl w:val="0"/>
                <w:numId w:val="16"/>
              </w:numPr>
              <w:autoSpaceDE w:val="0"/>
              <w:autoSpaceDN w:val="0"/>
              <w:adjustRightInd w:val="0"/>
              <w:spacing w:before="60" w:after="60" w:line="240" w:lineRule="auto"/>
            </w:pPr>
            <w:r w:rsidRPr="001E05F5">
              <w:t xml:space="preserve">Rebranding the site as strongly focused on recycling and reuse; and </w:t>
            </w:r>
          </w:p>
          <w:p w14:paraId="791306ED" w14:textId="77777777" w:rsidR="009E5BB6" w:rsidRPr="001E05F5" w:rsidRDefault="009E5BB6" w:rsidP="00D17D3B">
            <w:pPr>
              <w:pStyle w:val="ListParagraph"/>
              <w:numPr>
                <w:ilvl w:val="0"/>
                <w:numId w:val="16"/>
              </w:numPr>
              <w:autoSpaceDE w:val="0"/>
              <w:autoSpaceDN w:val="0"/>
              <w:adjustRightInd w:val="0"/>
              <w:spacing w:before="60" w:after="60" w:line="240" w:lineRule="auto"/>
            </w:pPr>
            <w:r w:rsidRPr="001E05F5">
              <w:t>Introducing activities that strongly promote on recycling and reuse or displaying current recycling rate on site.</w:t>
            </w:r>
          </w:p>
        </w:tc>
      </w:tr>
      <w:tr w:rsidR="009E5BB6" w:rsidRPr="001E05F5" w14:paraId="3B203706" w14:textId="77777777" w:rsidTr="009E5BB6">
        <w:tc>
          <w:tcPr>
            <w:tcW w:w="1668" w:type="dxa"/>
          </w:tcPr>
          <w:p w14:paraId="41276E54" w14:textId="77777777" w:rsidR="009E5BB6" w:rsidRPr="001E05F5" w:rsidRDefault="009E5BB6" w:rsidP="009E5BB6">
            <w:pPr>
              <w:spacing w:before="60" w:after="60"/>
            </w:pPr>
            <w:r w:rsidRPr="001E05F5">
              <w:t>Performance Assumptions</w:t>
            </w:r>
          </w:p>
        </w:tc>
        <w:tc>
          <w:tcPr>
            <w:tcW w:w="7574" w:type="dxa"/>
          </w:tcPr>
          <w:p w14:paraId="20C06289" w14:textId="77777777" w:rsidR="009E5BB6" w:rsidRPr="001E05F5" w:rsidRDefault="009E5BB6" w:rsidP="009E5BB6">
            <w:pPr>
              <w:spacing w:before="60" w:after="60"/>
            </w:pPr>
            <w:r w:rsidRPr="001E05F5">
              <w:t>The WRAP HWRC Toolkit indicates that the above activities could increase the recycling rates (excluding rubble) at the HWRCs as follows:</w:t>
            </w:r>
          </w:p>
          <w:p w14:paraId="0F90E954" w14:textId="77777777" w:rsidR="009E5BB6" w:rsidRPr="001E05F5" w:rsidRDefault="009E5BB6" w:rsidP="00D17D3B">
            <w:pPr>
              <w:pStyle w:val="ListParagraph"/>
              <w:numPr>
                <w:ilvl w:val="0"/>
                <w:numId w:val="17"/>
              </w:numPr>
              <w:tabs>
                <w:tab w:val="left" w:pos="2457"/>
              </w:tabs>
              <w:spacing w:before="60" w:after="60" w:line="264" w:lineRule="auto"/>
              <w:jc w:val="both"/>
            </w:pPr>
            <w:r w:rsidRPr="001E05F5">
              <w:t xml:space="preserve">Haverton Hill: </w:t>
            </w:r>
            <w:r w:rsidRPr="001E05F5">
              <w:tab/>
              <w:t>+11%</w:t>
            </w:r>
          </w:p>
          <w:p w14:paraId="455400E6" w14:textId="77777777" w:rsidR="009E5BB6" w:rsidRPr="001E05F5" w:rsidRDefault="009E5BB6" w:rsidP="00D17D3B">
            <w:pPr>
              <w:pStyle w:val="ListParagraph"/>
              <w:numPr>
                <w:ilvl w:val="0"/>
                <w:numId w:val="17"/>
              </w:numPr>
              <w:tabs>
                <w:tab w:val="left" w:pos="2457"/>
              </w:tabs>
              <w:spacing w:before="60" w:after="60" w:line="264" w:lineRule="auto"/>
              <w:jc w:val="both"/>
            </w:pPr>
            <w:r w:rsidRPr="001E05F5">
              <w:t>Burn Rd:</w:t>
            </w:r>
            <w:r w:rsidRPr="001E05F5">
              <w:tab/>
              <w:t>+11%</w:t>
            </w:r>
          </w:p>
          <w:p w14:paraId="42B35909" w14:textId="77777777" w:rsidR="009E5BB6" w:rsidRPr="001E05F5" w:rsidRDefault="009E5BB6" w:rsidP="00D17D3B">
            <w:pPr>
              <w:pStyle w:val="ListParagraph"/>
              <w:numPr>
                <w:ilvl w:val="0"/>
                <w:numId w:val="17"/>
              </w:numPr>
              <w:tabs>
                <w:tab w:val="left" w:pos="2457"/>
              </w:tabs>
              <w:spacing w:before="60" w:after="60" w:line="264" w:lineRule="auto"/>
              <w:jc w:val="both"/>
            </w:pPr>
            <w:proofErr w:type="spellStart"/>
            <w:r w:rsidRPr="001E05F5">
              <w:t>Dunsdale</w:t>
            </w:r>
            <w:proofErr w:type="spellEnd"/>
            <w:r w:rsidRPr="001E05F5">
              <w:t xml:space="preserve"> Rd:</w:t>
            </w:r>
            <w:r w:rsidRPr="001E05F5">
              <w:tab/>
              <w:t>+12%</w:t>
            </w:r>
          </w:p>
          <w:p w14:paraId="756B942B" w14:textId="77777777" w:rsidR="009E5BB6" w:rsidRPr="001E05F5" w:rsidRDefault="009E5BB6" w:rsidP="00D17D3B">
            <w:pPr>
              <w:pStyle w:val="ListParagraph"/>
              <w:numPr>
                <w:ilvl w:val="0"/>
                <w:numId w:val="17"/>
              </w:numPr>
              <w:tabs>
                <w:tab w:val="left" w:pos="2457"/>
              </w:tabs>
              <w:spacing w:before="60" w:after="60" w:line="264" w:lineRule="auto"/>
              <w:jc w:val="both"/>
            </w:pPr>
            <w:proofErr w:type="spellStart"/>
            <w:r w:rsidRPr="001E05F5">
              <w:t>Mewburn</w:t>
            </w:r>
            <w:proofErr w:type="spellEnd"/>
            <w:r w:rsidRPr="001E05F5">
              <w:t xml:space="preserve"> Rd:</w:t>
            </w:r>
            <w:r w:rsidRPr="001E05F5">
              <w:tab/>
              <w:t>+12%</w:t>
            </w:r>
          </w:p>
        </w:tc>
      </w:tr>
      <w:tr w:rsidR="009E5BB6" w:rsidRPr="001E05F5" w14:paraId="5EF56F8D" w14:textId="77777777" w:rsidTr="009E5BB6">
        <w:tc>
          <w:tcPr>
            <w:tcW w:w="1668" w:type="dxa"/>
          </w:tcPr>
          <w:p w14:paraId="5DEBAF54" w14:textId="77777777" w:rsidR="009E5BB6" w:rsidRPr="001E05F5" w:rsidRDefault="009E5BB6" w:rsidP="009E5BB6">
            <w:pPr>
              <w:spacing w:before="60" w:after="60"/>
            </w:pPr>
            <w:r w:rsidRPr="001E05F5">
              <w:t xml:space="preserve">Cost Assumptions </w:t>
            </w:r>
          </w:p>
        </w:tc>
        <w:tc>
          <w:tcPr>
            <w:tcW w:w="7574" w:type="dxa"/>
          </w:tcPr>
          <w:p w14:paraId="35B214AA" w14:textId="77777777" w:rsidR="009E5BB6" w:rsidRPr="001E05F5" w:rsidRDefault="009E5BB6" w:rsidP="009E5BB6">
            <w:pPr>
              <w:spacing w:before="60" w:after="60"/>
            </w:pPr>
            <w:r w:rsidRPr="001E05F5">
              <w:t>WRAP: HWRC shops overview 2016:</w:t>
            </w:r>
          </w:p>
          <w:p w14:paraId="0BCF8DDC" w14:textId="77777777" w:rsidR="009E5BB6" w:rsidRPr="001E05F5" w:rsidRDefault="009E5BB6" w:rsidP="009E5BB6">
            <w:pPr>
              <w:spacing w:before="60" w:after="60"/>
            </w:pPr>
            <w:r w:rsidRPr="001E05F5">
              <w:rPr>
                <w:i/>
              </w:rPr>
              <w:lastRenderedPageBreak/>
              <w:t>‘Smaller shops cost an average of £12,000 to set up (approximately £200 per sq. metre). Larger shops cost an average of £135,000, or £380 per sq. metre, to set up’</w:t>
            </w:r>
            <w:r w:rsidRPr="001E05F5">
              <w:t>.</w:t>
            </w:r>
          </w:p>
          <w:p w14:paraId="3481EB11" w14:textId="77777777" w:rsidR="009E5BB6" w:rsidRPr="001E05F5" w:rsidRDefault="009E5BB6" w:rsidP="009E5BB6">
            <w:pPr>
              <w:spacing w:before="60" w:after="60"/>
            </w:pPr>
            <w:r w:rsidRPr="001E05F5">
              <w:t>‘</w:t>
            </w:r>
            <w:r w:rsidRPr="001E05F5">
              <w:rPr>
                <w:i/>
              </w:rPr>
              <w:t>Most shops cover their running costs and larger shops can generate substantial tonnage and profit returns.’</w:t>
            </w:r>
          </w:p>
          <w:p w14:paraId="7723C337" w14:textId="77777777" w:rsidR="009E5BB6" w:rsidRPr="001E05F5" w:rsidRDefault="009E5BB6" w:rsidP="009E5BB6">
            <w:pPr>
              <w:spacing w:before="60" w:after="60"/>
            </w:pPr>
            <w:r w:rsidRPr="001E05F5">
              <w:t>Modelling assumption: One off set up cost of £50,000 per site and cost neutral running costs.</w:t>
            </w:r>
          </w:p>
          <w:p w14:paraId="3204FF3B" w14:textId="77777777" w:rsidR="009E5BB6" w:rsidRPr="001E05F5" w:rsidRDefault="009E5BB6" w:rsidP="009E5BB6">
            <w:pPr>
              <w:spacing w:before="60" w:after="60"/>
            </w:pPr>
            <w:r w:rsidRPr="001E05F5">
              <w:t>Modelling assumption: £25,000 per annum per additional staff member, assume one per site (4 in total)</w:t>
            </w:r>
          </w:p>
          <w:p w14:paraId="04C043CB" w14:textId="77777777" w:rsidR="009E5BB6" w:rsidRPr="001E05F5" w:rsidRDefault="009E5BB6" w:rsidP="009E5BB6">
            <w:pPr>
              <w:spacing w:before="60" w:after="60"/>
            </w:pPr>
            <w:r w:rsidRPr="001E05F5">
              <w:rPr>
                <w:rFonts w:eastAsia="Calibri" w:cs="Arial"/>
                <w:color w:val="000000"/>
                <w:szCs w:val="20"/>
              </w:rPr>
              <w:t>Communications costs covered as part of overall waste awareness and education campaigns options.</w:t>
            </w:r>
          </w:p>
        </w:tc>
      </w:tr>
      <w:tr w:rsidR="009E5BB6" w:rsidRPr="001E05F5" w14:paraId="17E2A45D" w14:textId="77777777" w:rsidTr="009E5BB6">
        <w:tc>
          <w:tcPr>
            <w:tcW w:w="9242" w:type="dxa"/>
            <w:gridSpan w:val="2"/>
          </w:tcPr>
          <w:p w14:paraId="08C565E4" w14:textId="77777777" w:rsidR="009E5BB6" w:rsidRPr="001E05F5" w:rsidRDefault="009E5BB6" w:rsidP="00D17D3B">
            <w:pPr>
              <w:pStyle w:val="ListParagraph"/>
              <w:numPr>
                <w:ilvl w:val="0"/>
                <w:numId w:val="15"/>
              </w:numPr>
              <w:spacing w:before="60" w:after="60" w:line="264" w:lineRule="auto"/>
              <w:jc w:val="both"/>
            </w:pPr>
            <w:r w:rsidRPr="001E05F5">
              <w:lastRenderedPageBreak/>
              <w:t>WRAP HWRC Toolkit (May 2017)</w:t>
            </w:r>
          </w:p>
        </w:tc>
      </w:tr>
    </w:tbl>
    <w:p w14:paraId="6CC830AA" w14:textId="77777777" w:rsidR="009E5BB6" w:rsidRPr="001E05F5" w:rsidRDefault="009E5BB6" w:rsidP="009E5BB6"/>
    <w:tbl>
      <w:tblPr>
        <w:tblStyle w:val="TableGrid"/>
        <w:tblW w:w="0" w:type="auto"/>
        <w:tblCellMar>
          <w:right w:w="28" w:type="dxa"/>
        </w:tblCellMar>
        <w:tblLook w:val="00A0" w:firstRow="1" w:lastRow="0" w:firstColumn="1" w:lastColumn="0" w:noHBand="0" w:noVBand="0"/>
      </w:tblPr>
      <w:tblGrid>
        <w:gridCol w:w="1652"/>
        <w:gridCol w:w="7364"/>
      </w:tblGrid>
      <w:tr w:rsidR="009E5BB6" w:rsidRPr="001E05F5" w14:paraId="6F45D5CE" w14:textId="77777777" w:rsidTr="009E5BB6">
        <w:tc>
          <w:tcPr>
            <w:tcW w:w="1668" w:type="dxa"/>
            <w:shd w:val="clear" w:color="auto" w:fill="D9D9D9" w:themeFill="background1" w:themeFillShade="D9"/>
          </w:tcPr>
          <w:p w14:paraId="56FFE264" w14:textId="77777777" w:rsidR="009E5BB6" w:rsidRPr="001E05F5" w:rsidRDefault="009E5BB6" w:rsidP="009E5BB6">
            <w:pPr>
              <w:spacing w:before="60" w:after="60"/>
              <w:rPr>
                <w:b/>
              </w:rPr>
            </w:pPr>
            <w:r w:rsidRPr="001E05F5">
              <w:rPr>
                <w:b/>
              </w:rPr>
              <w:t xml:space="preserve">Option </w:t>
            </w:r>
          </w:p>
        </w:tc>
        <w:tc>
          <w:tcPr>
            <w:tcW w:w="7574" w:type="dxa"/>
            <w:shd w:val="clear" w:color="auto" w:fill="D9D9D9" w:themeFill="background1" w:themeFillShade="D9"/>
          </w:tcPr>
          <w:p w14:paraId="319D0141" w14:textId="77777777" w:rsidR="009E5BB6" w:rsidRPr="001E05F5" w:rsidRDefault="009E5BB6" w:rsidP="009E5BB6">
            <w:pPr>
              <w:spacing w:before="60" w:after="60"/>
              <w:rPr>
                <w:b/>
              </w:rPr>
            </w:pPr>
            <w:r w:rsidRPr="001E05F5">
              <w:rPr>
                <w:rFonts w:eastAsia="Calibri" w:cs="Arial"/>
                <w:b/>
                <w:color w:val="000000"/>
                <w:szCs w:val="20"/>
              </w:rPr>
              <w:t>Bulky waste collection reuse and recycling</w:t>
            </w:r>
          </w:p>
        </w:tc>
      </w:tr>
      <w:tr w:rsidR="009E5BB6" w:rsidRPr="001E05F5" w14:paraId="0648FE39" w14:textId="77777777" w:rsidTr="009E5BB6">
        <w:tc>
          <w:tcPr>
            <w:tcW w:w="1668" w:type="dxa"/>
          </w:tcPr>
          <w:p w14:paraId="65282CB4" w14:textId="77777777" w:rsidR="009E5BB6" w:rsidRPr="001E05F5" w:rsidRDefault="009E5BB6" w:rsidP="009E5BB6">
            <w:pPr>
              <w:spacing w:before="60" w:after="60"/>
            </w:pPr>
            <w:r w:rsidRPr="001E05F5">
              <w:t xml:space="preserve">Current Activity </w:t>
            </w:r>
          </w:p>
        </w:tc>
        <w:tc>
          <w:tcPr>
            <w:tcW w:w="7574" w:type="dxa"/>
          </w:tcPr>
          <w:p w14:paraId="5147F2BF" w14:textId="77777777" w:rsidR="009E5BB6" w:rsidRPr="001E05F5" w:rsidRDefault="009E5BB6" w:rsidP="009E5BB6">
            <w:pPr>
              <w:spacing w:before="60" w:after="60"/>
              <w:rPr>
                <w:rFonts w:eastAsia="Calibri" w:cs="Arial"/>
                <w:color w:val="000000"/>
                <w:szCs w:val="20"/>
              </w:rPr>
            </w:pPr>
            <w:r w:rsidRPr="001E05F5">
              <w:t>There is limited information on the extent of b</w:t>
            </w:r>
            <w:r w:rsidRPr="001E05F5">
              <w:rPr>
                <w:rFonts w:eastAsia="Calibri" w:cs="Arial"/>
                <w:color w:val="000000"/>
                <w:szCs w:val="20"/>
              </w:rPr>
              <w:t xml:space="preserve">ulky waste collection reuse and recycling.  </w:t>
            </w:r>
          </w:p>
          <w:p w14:paraId="50385ECE" w14:textId="77777777" w:rsidR="009E5BB6" w:rsidRPr="001E05F5" w:rsidRDefault="009E5BB6" w:rsidP="00D17D3B">
            <w:pPr>
              <w:pStyle w:val="ListParagraph"/>
              <w:numPr>
                <w:ilvl w:val="0"/>
                <w:numId w:val="18"/>
              </w:numPr>
              <w:tabs>
                <w:tab w:val="left" w:pos="1568"/>
              </w:tabs>
              <w:spacing w:before="60" w:after="60" w:line="264" w:lineRule="auto"/>
              <w:ind w:left="175" w:hanging="175"/>
            </w:pPr>
            <w:r w:rsidRPr="001E05F5">
              <w:t xml:space="preserve">Darlington: </w:t>
            </w:r>
            <w:r w:rsidRPr="001E05F5">
              <w:tab/>
            </w:r>
            <w:r w:rsidRPr="001E05F5">
              <w:rPr>
                <w:rFonts w:eastAsia="Calibri"/>
                <w:color w:val="000000"/>
                <w:szCs w:val="20"/>
              </w:rPr>
              <w:t>Charged (£16.83 for 6 items)</w:t>
            </w:r>
            <w:r w:rsidRPr="001E05F5">
              <w:rPr>
                <w:rFonts w:eastAsia="Calibri"/>
                <w:color w:val="000000"/>
                <w:szCs w:val="20"/>
              </w:rPr>
              <w:br/>
            </w:r>
            <w:r w:rsidRPr="001E05F5">
              <w:rPr>
                <w:rFonts w:eastAsia="Calibri"/>
                <w:color w:val="000000"/>
                <w:szCs w:val="20"/>
              </w:rPr>
              <w:tab/>
              <w:t>472 tonnes collected, from 4,577 collections</w:t>
            </w:r>
            <w:r w:rsidRPr="001E05F5">
              <w:rPr>
                <w:rFonts w:eastAsia="Calibri"/>
                <w:color w:val="000000"/>
                <w:szCs w:val="20"/>
              </w:rPr>
              <w:br/>
            </w:r>
            <w:r w:rsidRPr="001E05F5">
              <w:rPr>
                <w:rFonts w:eastAsia="Calibri"/>
                <w:color w:val="000000"/>
                <w:szCs w:val="20"/>
              </w:rPr>
              <w:tab/>
              <w:t xml:space="preserve">Recycled, reuse and resale – Not known </w:t>
            </w:r>
            <w:r w:rsidRPr="001E05F5">
              <w:rPr>
                <w:rFonts w:eastAsia="Calibri"/>
                <w:color w:val="000000"/>
                <w:szCs w:val="20"/>
              </w:rPr>
              <w:br/>
            </w:r>
            <w:r w:rsidRPr="001E05F5">
              <w:rPr>
                <w:rFonts w:eastAsia="Calibri"/>
                <w:color w:val="000000"/>
                <w:szCs w:val="20"/>
              </w:rPr>
              <w:tab/>
              <w:t>Cost of service £74.6k, Income ~£77k (based on collections)</w:t>
            </w:r>
          </w:p>
          <w:p w14:paraId="1D99E160" w14:textId="77777777" w:rsidR="009E5BB6" w:rsidRPr="001E05F5" w:rsidRDefault="009E5BB6" w:rsidP="00D17D3B">
            <w:pPr>
              <w:pStyle w:val="ListParagraph"/>
              <w:numPr>
                <w:ilvl w:val="0"/>
                <w:numId w:val="18"/>
              </w:numPr>
              <w:tabs>
                <w:tab w:val="left" w:pos="1568"/>
              </w:tabs>
              <w:spacing w:before="60" w:after="60" w:line="264" w:lineRule="auto"/>
              <w:ind w:left="175" w:hanging="175"/>
            </w:pPr>
            <w:r w:rsidRPr="001E05F5">
              <w:rPr>
                <w:rFonts w:eastAsia="Calibri"/>
                <w:color w:val="000000"/>
                <w:szCs w:val="20"/>
              </w:rPr>
              <w:t>Hartlepool:</w:t>
            </w:r>
            <w:r w:rsidRPr="001E05F5">
              <w:rPr>
                <w:rFonts w:eastAsia="Calibri"/>
                <w:color w:val="000000"/>
                <w:szCs w:val="20"/>
              </w:rPr>
              <w:tab/>
              <w:t>Charged (£20 for 3 items)</w:t>
            </w:r>
            <w:r w:rsidRPr="001E05F5">
              <w:rPr>
                <w:rFonts w:eastAsia="Calibri"/>
                <w:color w:val="000000"/>
                <w:szCs w:val="20"/>
              </w:rPr>
              <w:br/>
            </w:r>
            <w:r w:rsidRPr="001E05F5">
              <w:rPr>
                <w:rFonts w:eastAsia="Calibri"/>
                <w:color w:val="000000"/>
                <w:szCs w:val="20"/>
              </w:rPr>
              <w:tab/>
              <w:t>243 tonnes collected</w:t>
            </w:r>
            <w:r w:rsidRPr="001E05F5">
              <w:rPr>
                <w:rFonts w:eastAsia="Calibri"/>
                <w:color w:val="000000"/>
                <w:szCs w:val="20"/>
              </w:rPr>
              <w:br/>
            </w:r>
            <w:r w:rsidRPr="001E05F5">
              <w:rPr>
                <w:rFonts w:eastAsia="Calibri"/>
                <w:color w:val="000000"/>
                <w:szCs w:val="20"/>
              </w:rPr>
              <w:tab/>
              <w:t>12% recycled (scrap metal, wood, WEEE), no reuse and resale</w:t>
            </w:r>
            <w:r w:rsidRPr="001E05F5">
              <w:rPr>
                <w:rFonts w:eastAsia="Calibri"/>
                <w:color w:val="000000"/>
                <w:szCs w:val="20"/>
              </w:rPr>
              <w:br/>
            </w:r>
            <w:r w:rsidRPr="001E05F5">
              <w:rPr>
                <w:rFonts w:eastAsia="Calibri"/>
                <w:color w:val="000000"/>
                <w:szCs w:val="20"/>
              </w:rPr>
              <w:tab/>
              <w:t>Cost of service £25k, Income £31.6k</w:t>
            </w:r>
          </w:p>
          <w:p w14:paraId="3367DFDD" w14:textId="77777777" w:rsidR="009E5BB6" w:rsidRPr="001E05F5" w:rsidRDefault="009E5BB6" w:rsidP="00D17D3B">
            <w:pPr>
              <w:pStyle w:val="ListParagraph"/>
              <w:numPr>
                <w:ilvl w:val="0"/>
                <w:numId w:val="18"/>
              </w:numPr>
              <w:tabs>
                <w:tab w:val="left" w:pos="1568"/>
              </w:tabs>
              <w:spacing w:before="60" w:after="60" w:line="264" w:lineRule="auto"/>
              <w:ind w:left="175" w:hanging="175"/>
            </w:pPr>
            <w:r w:rsidRPr="001E05F5">
              <w:t>Middlesbrough:</w:t>
            </w:r>
            <w:r w:rsidRPr="001E05F5">
              <w:tab/>
            </w:r>
            <w:r w:rsidRPr="001E05F5">
              <w:rPr>
                <w:rFonts w:eastAsia="Calibri"/>
                <w:color w:val="000000"/>
                <w:szCs w:val="20"/>
              </w:rPr>
              <w:t>Charged (£10 for up to 5 Items)</w:t>
            </w:r>
            <w:r w:rsidRPr="001E05F5">
              <w:rPr>
                <w:rFonts w:eastAsia="Calibri"/>
                <w:color w:val="000000"/>
                <w:szCs w:val="20"/>
              </w:rPr>
              <w:br/>
            </w:r>
            <w:r w:rsidRPr="001E05F5">
              <w:tab/>
            </w:r>
            <w:r w:rsidRPr="001E05F5">
              <w:rPr>
                <w:rFonts w:eastAsia="Calibri"/>
                <w:color w:val="000000"/>
                <w:szCs w:val="20"/>
              </w:rPr>
              <w:t>500 tonnes collected (estimated)</w:t>
            </w:r>
            <w:r w:rsidRPr="001E05F5">
              <w:rPr>
                <w:rFonts w:eastAsia="Calibri"/>
                <w:color w:val="000000"/>
                <w:szCs w:val="20"/>
              </w:rPr>
              <w:br/>
            </w:r>
            <w:r w:rsidRPr="001E05F5">
              <w:rPr>
                <w:rFonts w:eastAsia="Calibri"/>
                <w:color w:val="000000"/>
                <w:szCs w:val="20"/>
              </w:rPr>
              <w:tab/>
              <w:t>20% recycled, no reuse and resale</w:t>
            </w:r>
            <w:r w:rsidRPr="001E05F5">
              <w:rPr>
                <w:rFonts w:eastAsia="Calibri"/>
                <w:color w:val="000000"/>
                <w:szCs w:val="20"/>
              </w:rPr>
              <w:br/>
            </w:r>
            <w:r w:rsidRPr="001E05F5">
              <w:rPr>
                <w:rFonts w:eastAsia="Calibri"/>
                <w:color w:val="000000"/>
                <w:szCs w:val="20"/>
              </w:rPr>
              <w:tab/>
              <w:t>No separate cost information</w:t>
            </w:r>
          </w:p>
          <w:p w14:paraId="3303FFC5" w14:textId="77777777" w:rsidR="009E5BB6" w:rsidRPr="001E05F5" w:rsidRDefault="009E5BB6" w:rsidP="00D17D3B">
            <w:pPr>
              <w:pStyle w:val="ListParagraph"/>
              <w:numPr>
                <w:ilvl w:val="0"/>
                <w:numId w:val="18"/>
              </w:numPr>
              <w:tabs>
                <w:tab w:val="left" w:pos="1568"/>
              </w:tabs>
              <w:spacing w:before="60" w:after="60" w:line="264" w:lineRule="auto"/>
              <w:ind w:left="175" w:hanging="175"/>
            </w:pPr>
            <w:r w:rsidRPr="001E05F5">
              <w:t>Redcar &amp;:</w:t>
            </w:r>
            <w:r w:rsidRPr="001E05F5">
              <w:rPr>
                <w:rFonts w:eastAsia="Calibri"/>
                <w:color w:val="000000"/>
                <w:szCs w:val="20"/>
              </w:rPr>
              <w:t xml:space="preserve"> </w:t>
            </w:r>
            <w:r w:rsidRPr="001E05F5">
              <w:rPr>
                <w:rFonts w:eastAsia="Calibri"/>
                <w:color w:val="000000"/>
                <w:szCs w:val="20"/>
              </w:rPr>
              <w:tab/>
              <w:t>Charged (£18/6 items; £29/7-12 items; £39/13-18 items)</w:t>
            </w:r>
            <w:r w:rsidRPr="001E05F5">
              <w:rPr>
                <w:rFonts w:eastAsia="Calibri"/>
                <w:color w:val="000000"/>
                <w:szCs w:val="20"/>
              </w:rPr>
              <w:br/>
            </w:r>
            <w:r w:rsidRPr="001E05F5">
              <w:t>Cleveland</w:t>
            </w:r>
            <w:r w:rsidRPr="001E05F5">
              <w:tab/>
            </w:r>
            <w:r w:rsidRPr="001E05F5">
              <w:rPr>
                <w:rFonts w:eastAsia="Calibri"/>
                <w:color w:val="000000"/>
                <w:szCs w:val="20"/>
              </w:rPr>
              <w:t>291 tonnes collected (budgeted)</w:t>
            </w:r>
            <w:r w:rsidRPr="001E05F5">
              <w:rPr>
                <w:rFonts w:eastAsia="Calibri"/>
                <w:color w:val="000000"/>
                <w:szCs w:val="20"/>
              </w:rPr>
              <w:br/>
            </w:r>
            <w:r w:rsidRPr="001E05F5">
              <w:rPr>
                <w:rFonts w:eastAsia="Calibri"/>
                <w:color w:val="000000"/>
                <w:szCs w:val="20"/>
              </w:rPr>
              <w:tab/>
              <w:t>Recycled, reuse and resale – Not known</w:t>
            </w:r>
            <w:r w:rsidRPr="001E05F5">
              <w:rPr>
                <w:rFonts w:eastAsia="Calibri"/>
                <w:color w:val="000000"/>
                <w:szCs w:val="20"/>
              </w:rPr>
              <w:br/>
            </w:r>
            <w:r w:rsidRPr="001E05F5">
              <w:rPr>
                <w:rFonts w:eastAsia="Calibri"/>
                <w:color w:val="000000"/>
                <w:szCs w:val="20"/>
              </w:rPr>
              <w:tab/>
              <w:t>No separate cost information, Income £80k</w:t>
            </w:r>
          </w:p>
          <w:p w14:paraId="3B780447" w14:textId="77777777" w:rsidR="009E5BB6" w:rsidRPr="001E05F5" w:rsidRDefault="009E5BB6" w:rsidP="00D17D3B">
            <w:pPr>
              <w:pStyle w:val="ListParagraph"/>
              <w:numPr>
                <w:ilvl w:val="0"/>
                <w:numId w:val="18"/>
              </w:numPr>
              <w:tabs>
                <w:tab w:val="left" w:pos="1568"/>
              </w:tabs>
              <w:spacing w:before="60" w:after="60" w:line="264" w:lineRule="auto"/>
              <w:ind w:left="175" w:hanging="175"/>
            </w:pPr>
            <w:r w:rsidRPr="001E05F5">
              <w:t>Stockton</w:t>
            </w:r>
            <w:r w:rsidRPr="001E05F5">
              <w:tab/>
            </w:r>
            <w:r w:rsidRPr="001E05F5">
              <w:rPr>
                <w:rFonts w:eastAsia="Calibri"/>
                <w:color w:val="000000"/>
                <w:szCs w:val="20"/>
              </w:rPr>
              <w:t>Charged (£15 for 6 items)</w:t>
            </w:r>
            <w:r w:rsidRPr="001E05F5">
              <w:rPr>
                <w:rFonts w:eastAsia="Calibri"/>
                <w:color w:val="000000"/>
                <w:szCs w:val="20"/>
              </w:rPr>
              <w:br/>
            </w:r>
            <w:r w:rsidRPr="001E05F5">
              <w:tab/>
            </w:r>
            <w:r w:rsidRPr="001E05F5">
              <w:rPr>
                <w:rFonts w:eastAsia="Calibri"/>
                <w:color w:val="000000"/>
                <w:szCs w:val="20"/>
              </w:rPr>
              <w:t>749 tonnes collected</w:t>
            </w:r>
            <w:r w:rsidRPr="001E05F5">
              <w:rPr>
                <w:rFonts w:eastAsia="Calibri"/>
                <w:color w:val="000000"/>
                <w:szCs w:val="20"/>
              </w:rPr>
              <w:br/>
            </w:r>
            <w:r w:rsidRPr="001E05F5">
              <w:rPr>
                <w:rFonts w:eastAsia="Calibri"/>
                <w:color w:val="000000"/>
                <w:szCs w:val="20"/>
              </w:rPr>
              <w:tab/>
              <w:t>36% recycled, no reuse and resale</w:t>
            </w:r>
            <w:r w:rsidRPr="001E05F5">
              <w:rPr>
                <w:rFonts w:eastAsia="Calibri"/>
                <w:color w:val="000000"/>
                <w:szCs w:val="20"/>
              </w:rPr>
              <w:br/>
            </w:r>
            <w:r w:rsidRPr="001E05F5">
              <w:rPr>
                <w:rFonts w:eastAsia="Calibri"/>
                <w:color w:val="000000"/>
                <w:szCs w:val="20"/>
              </w:rPr>
              <w:tab/>
              <w:t>No separate cost information</w:t>
            </w:r>
          </w:p>
        </w:tc>
      </w:tr>
      <w:tr w:rsidR="009E5BB6" w:rsidRPr="001E05F5" w14:paraId="5CFB25D4" w14:textId="77777777" w:rsidTr="009E5BB6">
        <w:tc>
          <w:tcPr>
            <w:tcW w:w="1668" w:type="dxa"/>
          </w:tcPr>
          <w:p w14:paraId="394D8FCC" w14:textId="77777777" w:rsidR="009E5BB6" w:rsidRPr="001E05F5" w:rsidRDefault="009E5BB6" w:rsidP="009E5BB6">
            <w:pPr>
              <w:spacing w:before="60" w:after="60"/>
            </w:pPr>
            <w:r w:rsidRPr="001E05F5">
              <w:t xml:space="preserve">Description </w:t>
            </w:r>
          </w:p>
        </w:tc>
        <w:tc>
          <w:tcPr>
            <w:tcW w:w="7574" w:type="dxa"/>
          </w:tcPr>
          <w:p w14:paraId="6F925CB3" w14:textId="77777777" w:rsidR="009E5BB6" w:rsidRPr="001E05F5" w:rsidRDefault="009E5BB6" w:rsidP="009E5BB6">
            <w:pPr>
              <w:autoSpaceDE w:val="0"/>
              <w:autoSpaceDN w:val="0"/>
              <w:adjustRightInd w:val="0"/>
              <w:spacing w:before="60" w:after="60" w:line="240" w:lineRule="auto"/>
            </w:pPr>
            <w:r w:rsidRPr="001E05F5">
              <w:rPr>
                <w:rFonts w:eastAsia="Calibri" w:cs="Arial"/>
                <w:color w:val="000000"/>
                <w:szCs w:val="20"/>
              </w:rPr>
              <w:t>Sort bulky waste collections to extract reusable goods with a view to refurbishment, reuse and resale either by 3</w:t>
            </w:r>
            <w:r w:rsidRPr="001E05F5">
              <w:rPr>
                <w:rFonts w:eastAsia="Calibri" w:cs="Arial"/>
                <w:color w:val="000000"/>
                <w:szCs w:val="20"/>
                <w:vertAlign w:val="superscript"/>
              </w:rPr>
              <w:t>rd</w:t>
            </w:r>
            <w:r w:rsidRPr="001E05F5">
              <w:rPr>
                <w:rFonts w:eastAsia="Calibri" w:cs="Arial"/>
                <w:color w:val="000000"/>
                <w:szCs w:val="20"/>
              </w:rPr>
              <w:t xml:space="preserve"> sector organisations or via </w:t>
            </w:r>
            <w:r w:rsidRPr="001E05F5">
              <w:t>re-use shops at HWRCs</w:t>
            </w:r>
            <w:r w:rsidRPr="001E05F5">
              <w:rPr>
                <w:rFonts w:eastAsia="Calibri" w:cs="Arial"/>
                <w:color w:val="000000"/>
                <w:szCs w:val="20"/>
              </w:rPr>
              <w:t>. Awareness and promotional campaigns to support this option would be included as part of the overall waste awareness and education campaigns options.</w:t>
            </w:r>
          </w:p>
        </w:tc>
      </w:tr>
      <w:tr w:rsidR="009E5BB6" w:rsidRPr="001E05F5" w14:paraId="65C678C6" w14:textId="77777777" w:rsidTr="009E5BB6">
        <w:tc>
          <w:tcPr>
            <w:tcW w:w="1668" w:type="dxa"/>
          </w:tcPr>
          <w:p w14:paraId="29E717F3" w14:textId="77777777" w:rsidR="009E5BB6" w:rsidRPr="001E05F5" w:rsidRDefault="009E5BB6" w:rsidP="009E5BB6">
            <w:pPr>
              <w:spacing w:before="60" w:after="60"/>
            </w:pPr>
            <w:r w:rsidRPr="001E05F5">
              <w:t>Performance Assumptions</w:t>
            </w:r>
          </w:p>
        </w:tc>
        <w:tc>
          <w:tcPr>
            <w:tcW w:w="7574" w:type="dxa"/>
          </w:tcPr>
          <w:p w14:paraId="218E8844" w14:textId="77777777" w:rsidR="009E5BB6" w:rsidRPr="001E05F5" w:rsidRDefault="009E5BB6" w:rsidP="009E5BB6">
            <w:pPr>
              <w:spacing w:before="60" w:after="60"/>
            </w:pPr>
            <w:r w:rsidRPr="001E05F5">
              <w:t>WRAP - Composition and reuse potential of household bulky waste in the UK (2012): “</w:t>
            </w:r>
            <w:r w:rsidRPr="001E05F5">
              <w:rPr>
                <w:i/>
              </w:rPr>
              <w:t>For items collected via bulky waste collections, surveyors estimated that across all types of items 24% of bulky items were re-usable, with a further 16% assessed as re-usable with slight repair</w:t>
            </w:r>
            <w:r w:rsidRPr="001E05F5">
              <w:t>”.</w:t>
            </w:r>
          </w:p>
          <w:p w14:paraId="740E5B03" w14:textId="77777777" w:rsidR="009E5BB6" w:rsidRPr="001E05F5" w:rsidRDefault="009E5BB6" w:rsidP="009E5BB6">
            <w:pPr>
              <w:spacing w:before="60" w:after="60"/>
            </w:pPr>
            <w:r w:rsidRPr="001E05F5">
              <w:t>Modelling assumption 25% of collected bulky is diverted to reuse.</w:t>
            </w:r>
          </w:p>
        </w:tc>
      </w:tr>
      <w:tr w:rsidR="009E5BB6" w:rsidRPr="001E05F5" w14:paraId="0D107753" w14:textId="77777777" w:rsidTr="009E5BB6">
        <w:tc>
          <w:tcPr>
            <w:tcW w:w="1668" w:type="dxa"/>
          </w:tcPr>
          <w:p w14:paraId="0A143959" w14:textId="77777777" w:rsidR="009E5BB6" w:rsidRPr="001E05F5" w:rsidRDefault="009E5BB6" w:rsidP="009E5BB6">
            <w:pPr>
              <w:spacing w:before="60" w:after="60"/>
            </w:pPr>
            <w:r w:rsidRPr="001E05F5">
              <w:lastRenderedPageBreak/>
              <w:t xml:space="preserve">Cost Assumptions </w:t>
            </w:r>
          </w:p>
        </w:tc>
        <w:tc>
          <w:tcPr>
            <w:tcW w:w="7574" w:type="dxa"/>
          </w:tcPr>
          <w:p w14:paraId="44E8B0A5" w14:textId="77777777" w:rsidR="009E5BB6" w:rsidRPr="001E05F5" w:rsidRDefault="009E5BB6" w:rsidP="009E5BB6">
            <w:pPr>
              <w:spacing w:before="60" w:after="60"/>
            </w:pPr>
            <w:r w:rsidRPr="001E05F5">
              <w:rPr>
                <w:rFonts w:eastAsia="Calibri" w:cs="Arial"/>
                <w:color w:val="000000"/>
                <w:szCs w:val="20"/>
              </w:rPr>
              <w:t>Awareness and education costs covered as part of overall waste awareness and education campaigns options.</w:t>
            </w:r>
          </w:p>
          <w:p w14:paraId="2DCD9551" w14:textId="77777777" w:rsidR="009E5BB6" w:rsidRPr="001E05F5" w:rsidRDefault="009E5BB6" w:rsidP="009E5BB6">
            <w:pPr>
              <w:spacing w:before="60" w:after="60"/>
            </w:pPr>
            <w:r w:rsidRPr="001E05F5">
              <w:t>No net changes in service delivery costs as assumed that any additional costs would be reflected in charges.</w:t>
            </w:r>
          </w:p>
          <w:p w14:paraId="42E60311" w14:textId="77777777" w:rsidR="009E5BB6" w:rsidRPr="001E05F5" w:rsidRDefault="009E5BB6" w:rsidP="009E5BB6">
            <w:pPr>
              <w:spacing w:before="60" w:after="60"/>
            </w:pPr>
            <w:r w:rsidRPr="001E05F5">
              <w:t>Cost saving from avoided treatment disposal costs of material reused.</w:t>
            </w:r>
          </w:p>
        </w:tc>
      </w:tr>
    </w:tbl>
    <w:p w14:paraId="4BBE5DF4" w14:textId="77777777" w:rsidR="009E5BB6" w:rsidRPr="001E05F5" w:rsidRDefault="009E5BB6" w:rsidP="009E5BB6"/>
    <w:tbl>
      <w:tblPr>
        <w:tblStyle w:val="TableGrid"/>
        <w:tblW w:w="0" w:type="auto"/>
        <w:tblLook w:val="00A0" w:firstRow="1" w:lastRow="0" w:firstColumn="1" w:lastColumn="0" w:noHBand="0" w:noVBand="0"/>
      </w:tblPr>
      <w:tblGrid>
        <w:gridCol w:w="1652"/>
        <w:gridCol w:w="7364"/>
      </w:tblGrid>
      <w:tr w:rsidR="009E5BB6" w:rsidRPr="001E05F5" w14:paraId="77D70AEB" w14:textId="77777777" w:rsidTr="00302D0E">
        <w:tc>
          <w:tcPr>
            <w:tcW w:w="1668" w:type="dxa"/>
            <w:shd w:val="clear" w:color="auto" w:fill="D9D9D9" w:themeFill="background1" w:themeFillShade="D9"/>
          </w:tcPr>
          <w:p w14:paraId="61273953" w14:textId="77777777" w:rsidR="009E5BB6" w:rsidRPr="001E05F5" w:rsidRDefault="009E5BB6" w:rsidP="009E5BB6">
            <w:pPr>
              <w:spacing w:before="60" w:after="60"/>
              <w:rPr>
                <w:b/>
              </w:rPr>
            </w:pPr>
            <w:r w:rsidRPr="001E05F5">
              <w:rPr>
                <w:b/>
              </w:rPr>
              <w:t xml:space="preserve">Option </w:t>
            </w:r>
          </w:p>
        </w:tc>
        <w:tc>
          <w:tcPr>
            <w:tcW w:w="7574" w:type="dxa"/>
            <w:shd w:val="clear" w:color="auto" w:fill="D9D9D9"/>
          </w:tcPr>
          <w:p w14:paraId="38CEFD45" w14:textId="77777777" w:rsidR="009E5BB6" w:rsidRPr="001E05F5" w:rsidRDefault="009E5BB6" w:rsidP="009E5BB6">
            <w:pPr>
              <w:spacing w:before="60" w:after="60"/>
              <w:rPr>
                <w:b/>
              </w:rPr>
            </w:pPr>
            <w:r w:rsidRPr="001E05F5">
              <w:rPr>
                <w:b/>
              </w:rPr>
              <w:t>Reducing contamination</w:t>
            </w:r>
          </w:p>
        </w:tc>
      </w:tr>
      <w:tr w:rsidR="009E5BB6" w:rsidRPr="001E05F5" w14:paraId="5EAD76CF" w14:textId="77777777" w:rsidTr="009E5BB6">
        <w:tc>
          <w:tcPr>
            <w:tcW w:w="1668" w:type="dxa"/>
          </w:tcPr>
          <w:p w14:paraId="0FCAC4D2" w14:textId="77777777" w:rsidR="009E5BB6" w:rsidRPr="001E05F5" w:rsidRDefault="009E5BB6" w:rsidP="009E5BB6">
            <w:pPr>
              <w:spacing w:before="60" w:after="60"/>
            </w:pPr>
            <w:r w:rsidRPr="001E05F5">
              <w:t xml:space="preserve">Current Activity </w:t>
            </w:r>
          </w:p>
        </w:tc>
        <w:tc>
          <w:tcPr>
            <w:tcW w:w="7574" w:type="dxa"/>
          </w:tcPr>
          <w:p w14:paraId="70ED720B" w14:textId="77777777" w:rsidR="009E5BB6" w:rsidRPr="001E05F5" w:rsidRDefault="009E5BB6" w:rsidP="009E5BB6">
            <w:pPr>
              <w:spacing w:before="60" w:after="60"/>
              <w:rPr>
                <w:rFonts w:eastAsia="Calibri" w:cs="Arial"/>
                <w:color w:val="000000"/>
                <w:szCs w:val="20"/>
              </w:rPr>
            </w:pPr>
            <w:r w:rsidRPr="001E05F5">
              <w:t>There is limited information on the extent of b</w:t>
            </w:r>
            <w:r w:rsidRPr="001E05F5">
              <w:rPr>
                <w:rFonts w:eastAsia="Calibri" w:cs="Arial"/>
                <w:color w:val="000000"/>
                <w:szCs w:val="20"/>
              </w:rPr>
              <w:t xml:space="preserve">ulky waste collection reuse and recycling.  </w:t>
            </w:r>
          </w:p>
          <w:p w14:paraId="603D1451" w14:textId="77777777" w:rsidR="009E5BB6" w:rsidRPr="001E05F5" w:rsidRDefault="009E5BB6" w:rsidP="00D17D3B">
            <w:pPr>
              <w:numPr>
                <w:ilvl w:val="0"/>
                <w:numId w:val="18"/>
              </w:numPr>
              <w:tabs>
                <w:tab w:val="left" w:pos="2431"/>
              </w:tabs>
              <w:spacing w:after="60" w:line="240" w:lineRule="auto"/>
              <w:ind w:left="357" w:hanging="357"/>
            </w:pPr>
            <w:r w:rsidRPr="001E05F5">
              <w:t>Hartlepool</w:t>
            </w:r>
            <w:r w:rsidRPr="001E05F5">
              <w:tab/>
              <w:t>22%</w:t>
            </w:r>
          </w:p>
          <w:p w14:paraId="22415F3D" w14:textId="77777777" w:rsidR="009E5BB6" w:rsidRPr="001E05F5" w:rsidRDefault="009E5BB6" w:rsidP="00D17D3B">
            <w:pPr>
              <w:numPr>
                <w:ilvl w:val="0"/>
                <w:numId w:val="18"/>
              </w:numPr>
              <w:tabs>
                <w:tab w:val="left" w:pos="2431"/>
              </w:tabs>
              <w:spacing w:after="60" w:line="240" w:lineRule="auto"/>
              <w:ind w:left="357" w:hanging="357"/>
            </w:pPr>
            <w:r w:rsidRPr="001E05F5">
              <w:t xml:space="preserve">Darlington </w:t>
            </w:r>
            <w:r w:rsidRPr="001E05F5">
              <w:tab/>
              <w:t>15%</w:t>
            </w:r>
          </w:p>
          <w:p w14:paraId="40EF6BA5" w14:textId="77777777" w:rsidR="009E5BB6" w:rsidRPr="001E05F5" w:rsidRDefault="009E5BB6" w:rsidP="00D17D3B">
            <w:pPr>
              <w:numPr>
                <w:ilvl w:val="0"/>
                <w:numId w:val="18"/>
              </w:numPr>
              <w:tabs>
                <w:tab w:val="left" w:pos="2431"/>
              </w:tabs>
              <w:spacing w:after="60" w:line="240" w:lineRule="auto"/>
              <w:ind w:left="357" w:hanging="357"/>
            </w:pPr>
            <w:r w:rsidRPr="001E05F5">
              <w:t xml:space="preserve">Middlesbrough </w:t>
            </w:r>
            <w:r w:rsidRPr="001E05F5">
              <w:tab/>
              <w:t>12.2% - 14% (KAT modelling used the 12.2%)</w:t>
            </w:r>
          </w:p>
          <w:p w14:paraId="3C017388" w14:textId="77777777" w:rsidR="009E5BB6" w:rsidRPr="001E05F5" w:rsidRDefault="009E5BB6" w:rsidP="00D17D3B">
            <w:pPr>
              <w:numPr>
                <w:ilvl w:val="0"/>
                <w:numId w:val="18"/>
              </w:numPr>
              <w:tabs>
                <w:tab w:val="left" w:pos="2431"/>
              </w:tabs>
              <w:spacing w:after="60" w:line="240" w:lineRule="auto"/>
              <w:ind w:left="357" w:hanging="357"/>
            </w:pPr>
            <w:r w:rsidRPr="001E05F5">
              <w:t xml:space="preserve">Redcar &amp; Cleveland </w:t>
            </w:r>
            <w:r w:rsidRPr="001E05F5">
              <w:tab/>
              <w:t>25.1%</w:t>
            </w:r>
          </w:p>
          <w:p w14:paraId="1EB9F30A" w14:textId="77777777" w:rsidR="009E5BB6" w:rsidRPr="001E05F5" w:rsidRDefault="009E5BB6" w:rsidP="00D17D3B">
            <w:pPr>
              <w:numPr>
                <w:ilvl w:val="0"/>
                <w:numId w:val="18"/>
              </w:numPr>
              <w:tabs>
                <w:tab w:val="left" w:pos="2431"/>
              </w:tabs>
              <w:spacing w:after="60" w:line="240" w:lineRule="auto"/>
              <w:ind w:left="357" w:hanging="357"/>
            </w:pPr>
            <w:r w:rsidRPr="001E05F5">
              <w:t xml:space="preserve">Stockton on Tees </w:t>
            </w:r>
            <w:r w:rsidRPr="001E05F5">
              <w:tab/>
              <w:t>2.8%</w:t>
            </w:r>
            <w:r w:rsidRPr="001E05F5">
              <w:tab/>
            </w:r>
          </w:p>
        </w:tc>
      </w:tr>
      <w:tr w:rsidR="009E5BB6" w:rsidRPr="001E05F5" w14:paraId="1AECB53A" w14:textId="77777777" w:rsidTr="009E5BB6">
        <w:tc>
          <w:tcPr>
            <w:tcW w:w="1668" w:type="dxa"/>
          </w:tcPr>
          <w:p w14:paraId="3FB3DB89" w14:textId="77777777" w:rsidR="009E5BB6" w:rsidRPr="001E05F5" w:rsidRDefault="009E5BB6" w:rsidP="009E5BB6">
            <w:pPr>
              <w:spacing w:before="60" w:after="60"/>
            </w:pPr>
            <w:r w:rsidRPr="001E05F5">
              <w:t xml:space="preserve">Description </w:t>
            </w:r>
          </w:p>
        </w:tc>
        <w:tc>
          <w:tcPr>
            <w:tcW w:w="7574" w:type="dxa"/>
          </w:tcPr>
          <w:p w14:paraId="71F9E5AB" w14:textId="077A5016" w:rsidR="009E5BB6" w:rsidRPr="001E05F5" w:rsidRDefault="009E5BB6" w:rsidP="00E356FE">
            <w:pPr>
              <w:autoSpaceDE w:val="0"/>
              <w:autoSpaceDN w:val="0"/>
              <w:adjustRightInd w:val="0"/>
              <w:spacing w:before="60" w:after="60" w:line="240" w:lineRule="auto"/>
              <w:jc w:val="both"/>
            </w:pPr>
            <w:r w:rsidRPr="001E05F5">
              <w:rPr>
                <w:rFonts w:eastAsia="Calibri" w:cs="Arial"/>
                <w:color w:val="000000"/>
                <w:szCs w:val="20"/>
              </w:rPr>
              <w:t xml:space="preserve">A combination of communication and enforcement reduce the contamination levels in the dry recycling </w:t>
            </w:r>
            <w:r w:rsidR="0049243A" w:rsidRPr="001E05F5">
              <w:rPr>
                <w:rFonts w:eastAsia="Calibri" w:cs="Arial"/>
                <w:color w:val="000000"/>
                <w:szCs w:val="20"/>
              </w:rPr>
              <w:t>collection. Awareness</w:t>
            </w:r>
            <w:r w:rsidRPr="001E05F5">
              <w:rPr>
                <w:rFonts w:eastAsia="Calibri" w:cs="Arial"/>
                <w:color w:val="000000"/>
                <w:szCs w:val="20"/>
              </w:rPr>
              <w:t xml:space="preserve"> and promotional campaigns to support this option would be included as part of the overall waste awareness and education campaigns options.</w:t>
            </w:r>
          </w:p>
        </w:tc>
      </w:tr>
      <w:tr w:rsidR="009E5BB6" w:rsidRPr="001E05F5" w14:paraId="4A281D16" w14:textId="77777777" w:rsidTr="009E5BB6">
        <w:tc>
          <w:tcPr>
            <w:tcW w:w="1668" w:type="dxa"/>
          </w:tcPr>
          <w:p w14:paraId="05F13F53" w14:textId="77777777" w:rsidR="009E5BB6" w:rsidRPr="001E05F5" w:rsidRDefault="009E5BB6" w:rsidP="009E5BB6">
            <w:pPr>
              <w:spacing w:before="60" w:after="60"/>
            </w:pPr>
            <w:r w:rsidRPr="001E05F5">
              <w:t>Performance Assumptions</w:t>
            </w:r>
          </w:p>
        </w:tc>
        <w:tc>
          <w:tcPr>
            <w:tcW w:w="7574" w:type="dxa"/>
          </w:tcPr>
          <w:p w14:paraId="1317110C" w14:textId="77777777" w:rsidR="009E5BB6" w:rsidRPr="001E05F5" w:rsidRDefault="009E5BB6" w:rsidP="009E5BB6">
            <w:pPr>
              <w:spacing w:before="60" w:after="60"/>
            </w:pPr>
            <w:r w:rsidRPr="001E05F5">
              <w:t>There is no definitive evidence base on the impact of communications campaigns and enforcement on reducing the level of contamination due to the range of variables related to the impacts.</w:t>
            </w:r>
          </w:p>
          <w:p w14:paraId="76F5AE2E" w14:textId="77777777" w:rsidR="009E5BB6" w:rsidRPr="001E05F5" w:rsidRDefault="009E5BB6" w:rsidP="009E5BB6">
            <w:pPr>
              <w:spacing w:before="60" w:after="60"/>
              <w:ind w:left="2160" w:hanging="2160"/>
            </w:pPr>
            <w:r w:rsidRPr="001E05F5">
              <w:t xml:space="preserve">Modelling assumption: </w:t>
            </w:r>
            <w:r w:rsidRPr="001E05F5">
              <w:tab/>
              <w:t xml:space="preserve">A reduction of one third in the level of contamination of the single and two stream collection of recycling, which is correctly place in the residual waste stream </w:t>
            </w:r>
          </w:p>
        </w:tc>
      </w:tr>
      <w:tr w:rsidR="009E5BB6" w:rsidRPr="001E05F5" w14:paraId="3D6F1FB5" w14:textId="77777777" w:rsidTr="009E5BB6">
        <w:tc>
          <w:tcPr>
            <w:tcW w:w="1668" w:type="dxa"/>
          </w:tcPr>
          <w:p w14:paraId="7FF0B0ED" w14:textId="77777777" w:rsidR="009E5BB6" w:rsidRPr="001E05F5" w:rsidRDefault="009E5BB6" w:rsidP="009E5BB6">
            <w:pPr>
              <w:spacing w:before="60" w:after="60"/>
            </w:pPr>
            <w:r w:rsidRPr="001E05F5">
              <w:t xml:space="preserve">Cost Assumptions </w:t>
            </w:r>
          </w:p>
        </w:tc>
        <w:tc>
          <w:tcPr>
            <w:tcW w:w="7574" w:type="dxa"/>
          </w:tcPr>
          <w:p w14:paraId="4FC06F6E" w14:textId="77777777" w:rsidR="009E5BB6" w:rsidRPr="001E05F5" w:rsidRDefault="009E5BB6" w:rsidP="009E5BB6">
            <w:pPr>
              <w:spacing w:before="60" w:after="60"/>
            </w:pPr>
            <w:r w:rsidRPr="001E05F5">
              <w:rPr>
                <w:rFonts w:eastAsia="Calibri" w:cs="Arial"/>
                <w:color w:val="000000"/>
                <w:szCs w:val="20"/>
              </w:rPr>
              <w:t>Awareness and education costs covered as part of overall waste awareness and education campaigns options.</w:t>
            </w:r>
          </w:p>
          <w:p w14:paraId="247FA834" w14:textId="77777777" w:rsidR="009E5BB6" w:rsidRPr="001E05F5" w:rsidRDefault="009E5BB6" w:rsidP="009E5BB6">
            <w:pPr>
              <w:spacing w:before="60" w:after="60"/>
            </w:pPr>
            <w:r w:rsidRPr="001E05F5">
              <w:t xml:space="preserve">Modelling assumption: £30,000 per annum per add additional staff member, assume one per Council collecting dry recycling co-mingled </w:t>
            </w:r>
          </w:p>
          <w:p w14:paraId="5064932E" w14:textId="77777777" w:rsidR="009E5BB6" w:rsidRPr="001E05F5" w:rsidRDefault="009E5BB6" w:rsidP="009E5BB6">
            <w:pPr>
              <w:spacing w:before="60" w:after="60"/>
            </w:pPr>
            <w:r w:rsidRPr="001E05F5">
              <w:t>Cost saving on tonnage entering the MRF</w:t>
            </w:r>
          </w:p>
        </w:tc>
      </w:tr>
    </w:tbl>
    <w:p w14:paraId="6B202DFB" w14:textId="77777777" w:rsidR="009E5BB6" w:rsidRPr="001E05F5" w:rsidRDefault="009E5BB6" w:rsidP="009E5BB6"/>
    <w:p w14:paraId="4C90DE1C" w14:textId="77777777" w:rsidR="00A6210C" w:rsidRPr="001E05F5" w:rsidRDefault="00A6210C" w:rsidP="00A6210C">
      <w:pPr>
        <w:pStyle w:val="Heading1"/>
        <w:numPr>
          <w:ilvl w:val="0"/>
          <w:numId w:val="0"/>
        </w:numPr>
        <w:ind w:left="850" w:hanging="850"/>
      </w:pPr>
      <w:bookmarkStart w:id="32" w:name="_Toc521426513"/>
      <w:r w:rsidRPr="001E05F5">
        <w:lastRenderedPageBreak/>
        <w:t xml:space="preserve">Appendix C: </w:t>
      </w:r>
      <w:r w:rsidR="006B0C5B" w:rsidRPr="001E05F5">
        <w:t xml:space="preserve">Tees Valley </w:t>
      </w:r>
      <w:r w:rsidRPr="001E05F5">
        <w:t>Waste Flow Model</w:t>
      </w:r>
      <w:bookmarkEnd w:id="32"/>
    </w:p>
    <w:p w14:paraId="6CA5AF9C" w14:textId="77777777" w:rsidR="006B0C5B" w:rsidRPr="001E05F5" w:rsidRDefault="006B0C5B" w:rsidP="006B0C5B">
      <w:pPr>
        <w:rPr>
          <w:b/>
        </w:rPr>
      </w:pPr>
      <w:r w:rsidRPr="001E05F5">
        <w:rPr>
          <w:b/>
        </w:rPr>
        <w:t>Overview</w:t>
      </w:r>
    </w:p>
    <w:p w14:paraId="2B4EF2E7" w14:textId="0042E8A3" w:rsidR="006B0C5B" w:rsidRPr="001E05F5" w:rsidRDefault="006B0C5B" w:rsidP="006B0C5B">
      <w:r w:rsidRPr="001E05F5">
        <w:t>The waste flow model for this project has been developed to allow the quick evaluation of changes to the ways waste is managed</w:t>
      </w:r>
      <w:r w:rsidR="00196947" w:rsidRPr="001E05F5">
        <w:t xml:space="preserve"> over time</w:t>
      </w:r>
      <w:r w:rsidRPr="001E05F5">
        <w:t xml:space="preserve">.  The model allows the impacts of alternative collection </w:t>
      </w:r>
      <w:r w:rsidR="00196947" w:rsidRPr="001E05F5">
        <w:t xml:space="preserve">scenarios </w:t>
      </w:r>
      <w:r w:rsidRPr="001E05F5">
        <w:t>and treatment process</w:t>
      </w:r>
      <w:r w:rsidR="00CB3AEB" w:rsidRPr="001E05F5">
        <w:t>es thought</w:t>
      </w:r>
      <w:r w:rsidRPr="001E05F5">
        <w:t xml:space="preserve"> to the end disposal points or markets</w:t>
      </w:r>
      <w:r w:rsidR="00CB3AEB" w:rsidRPr="001E05F5">
        <w:t xml:space="preserve"> to be determined</w:t>
      </w:r>
      <w:r w:rsidRPr="001E05F5">
        <w:t>.  In addition, it is possible to model alternative disposal arrangements so that the scale of facilities that might be considered can be determined and the resultant costs evaluated.</w:t>
      </w:r>
    </w:p>
    <w:p w14:paraId="0EC94BE2" w14:textId="69F99BEB" w:rsidR="006B0C5B" w:rsidRPr="001E05F5" w:rsidRDefault="006B0C5B" w:rsidP="006B0C5B">
      <w:r w:rsidRPr="001E05F5">
        <w:t xml:space="preserve">The model also captures the costs associated with the various treatment operations and the different collection schemes.  This is carried out in a simple method of applying gate fee type calculations to the tonnages processed or a cost per household to the collection costs.  </w:t>
      </w:r>
      <w:r w:rsidR="00D33FE3" w:rsidRPr="001E05F5">
        <w:t>T</w:t>
      </w:r>
      <w:r w:rsidRPr="001E05F5">
        <w:t xml:space="preserve">his provides a consistent methodology for comparing the cost impacts </w:t>
      </w:r>
      <w:r w:rsidR="00CB3AEB" w:rsidRPr="001E05F5">
        <w:t xml:space="preserve">resulting </w:t>
      </w:r>
      <w:r w:rsidRPr="001E05F5">
        <w:t xml:space="preserve">from the alternative waste management </w:t>
      </w:r>
      <w:r w:rsidR="00CB3AEB" w:rsidRPr="001E05F5">
        <w:t xml:space="preserve">systems </w:t>
      </w:r>
      <w:r w:rsidRPr="001E05F5">
        <w:t>considered.</w:t>
      </w:r>
    </w:p>
    <w:p w14:paraId="1FC3A39E" w14:textId="77777777" w:rsidR="00A6210C" w:rsidRPr="001E05F5" w:rsidRDefault="00A6210C" w:rsidP="00A6210C"/>
    <w:p w14:paraId="2F68B7A5" w14:textId="77777777" w:rsidR="007836E7" w:rsidRPr="001E05F5" w:rsidRDefault="00A6210C" w:rsidP="00A6210C">
      <w:pPr>
        <w:pStyle w:val="Heading1"/>
        <w:numPr>
          <w:ilvl w:val="0"/>
          <w:numId w:val="0"/>
        </w:numPr>
        <w:ind w:left="850" w:hanging="850"/>
      </w:pPr>
      <w:bookmarkStart w:id="33" w:name="_Toc521426514"/>
      <w:r w:rsidRPr="001E05F5">
        <w:lastRenderedPageBreak/>
        <w:t xml:space="preserve">Appendix D: Summary of KAT </w:t>
      </w:r>
      <w:r w:rsidR="0052445E" w:rsidRPr="001E05F5">
        <w:t>Modelling Assumptions</w:t>
      </w:r>
      <w:bookmarkEnd w:id="33"/>
    </w:p>
    <w:p w14:paraId="5F5A0736" w14:textId="77777777" w:rsidR="0052445E" w:rsidRPr="001E05F5" w:rsidRDefault="0052445E" w:rsidP="00E7613F">
      <w:pPr>
        <w:pStyle w:val="Heading2"/>
        <w:numPr>
          <w:ilvl w:val="0"/>
          <w:numId w:val="0"/>
        </w:numPr>
        <w:ind w:left="567" w:hanging="567"/>
      </w:pPr>
      <w:bookmarkStart w:id="34" w:name="_Toc521426515"/>
      <w:r w:rsidRPr="001E05F5">
        <w:t>High efficiency collection scenario</w:t>
      </w:r>
      <w:bookmarkEnd w:id="34"/>
    </w:p>
    <w:p w14:paraId="1BD38D64" w14:textId="0D85F919" w:rsidR="0052445E" w:rsidRPr="001E05F5" w:rsidRDefault="0052445E" w:rsidP="0052445E">
      <w:r w:rsidRPr="001E05F5">
        <w:t>This represents a ‘high efficiency’ option incorporating a charged garden waste service and a fortnightly residual waste collection using 140</w:t>
      </w:r>
      <w:r w:rsidR="004710A6" w:rsidRPr="001E05F5">
        <w:t xml:space="preserve"> </w:t>
      </w:r>
      <w:r w:rsidRPr="001E05F5">
        <w:t>litre wheeled bins. Dry recycling remains as per the current systems, albeit with higher performance due to the restricted residual capacity</w:t>
      </w:r>
      <w:r w:rsidRPr="001E05F5">
        <w:rPr>
          <w:rStyle w:val="FootnoteReference"/>
        </w:rPr>
        <w:footnoteReference w:id="11"/>
      </w:r>
      <w:r w:rsidRPr="001E05F5">
        <w:t xml:space="preserve">. The assumptions used for the garden waste service can be found within </w:t>
      </w:r>
      <w:r w:rsidRPr="001E05F5">
        <w:fldChar w:fldCharType="begin"/>
      </w:r>
      <w:r w:rsidRPr="001E05F5">
        <w:instrText xml:space="preserve"> REF _Ref518999556 \h </w:instrText>
      </w:r>
      <w:r w:rsidR="00E356FE" w:rsidRPr="001E05F5">
        <w:instrText xml:space="preserve"> \* MERGEFORMAT </w:instrText>
      </w:r>
      <w:r w:rsidRPr="001E05F5">
        <w:fldChar w:fldCharType="separate"/>
      </w:r>
      <w:r w:rsidR="00EA3A66" w:rsidRPr="001E05F5">
        <w:t>Table D</w:t>
      </w:r>
      <w:r w:rsidR="00EA3A66" w:rsidRPr="001E05F5">
        <w:rPr>
          <w:noProof/>
        </w:rPr>
        <w:t>1</w:t>
      </w:r>
      <w:r w:rsidRPr="001E05F5">
        <w:fldChar w:fldCharType="end"/>
      </w:r>
      <w:r w:rsidRPr="001E05F5">
        <w:t>.  Due to the restricted residual service it was assumed that only 20% of the garden waste no longer collected via the charged system would be put into the residual stream and 30% would be sent to HWRC’s. The remaining 50% of ‘</w:t>
      </w:r>
      <w:r w:rsidR="006D564C" w:rsidRPr="001E05F5">
        <w:t>non-collected</w:t>
      </w:r>
      <w:r w:rsidRPr="001E05F5">
        <w:t xml:space="preserve">’ garden waste is assumed to be prevented / home composted. It was also assumed that as the service is a charged service, garden waste contamination would be 0%. </w:t>
      </w:r>
    </w:p>
    <w:p w14:paraId="1DE408F3" w14:textId="77777777" w:rsidR="0052445E" w:rsidRPr="001E05F5" w:rsidRDefault="0052445E" w:rsidP="00E7613F">
      <w:pPr>
        <w:rPr>
          <w:b/>
        </w:rPr>
      </w:pPr>
      <w:bookmarkStart w:id="35" w:name="_Ref518999556"/>
      <w:r w:rsidRPr="001E05F5">
        <w:rPr>
          <w:b/>
        </w:rPr>
        <w:t xml:space="preserve">Table </w:t>
      </w:r>
      <w:r w:rsidR="00E7613F" w:rsidRPr="001E05F5">
        <w:rPr>
          <w:b/>
        </w:rPr>
        <w:t>D</w:t>
      </w:r>
      <w:r w:rsidRPr="001E05F5">
        <w:rPr>
          <w:b/>
        </w:rPr>
        <w:fldChar w:fldCharType="begin"/>
      </w:r>
      <w:r w:rsidRPr="001E05F5">
        <w:rPr>
          <w:b/>
        </w:rPr>
        <w:instrText xml:space="preserve"> SEQ Table \* ARABIC </w:instrText>
      </w:r>
      <w:r w:rsidRPr="001E05F5">
        <w:rPr>
          <w:b/>
        </w:rPr>
        <w:fldChar w:fldCharType="separate"/>
      </w:r>
      <w:r w:rsidR="00EA3A66" w:rsidRPr="001E05F5">
        <w:rPr>
          <w:b/>
          <w:noProof/>
        </w:rPr>
        <w:t>1</w:t>
      </w:r>
      <w:r w:rsidRPr="001E05F5">
        <w:rPr>
          <w:b/>
        </w:rPr>
        <w:fldChar w:fldCharType="end"/>
      </w:r>
      <w:bookmarkEnd w:id="35"/>
      <w:r w:rsidRPr="001E05F5">
        <w:rPr>
          <w:b/>
        </w:rPr>
        <w:t>: Assumptions used for the modelling of High Efficiency scenario</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531"/>
        <w:gridCol w:w="1985"/>
      </w:tblGrid>
      <w:tr w:rsidR="00E7613F" w:rsidRPr="001E05F5" w14:paraId="1457DFB7" w14:textId="77777777" w:rsidTr="00E7613F">
        <w:trPr>
          <w:trHeight w:val="322"/>
        </w:trPr>
        <w:tc>
          <w:tcPr>
            <w:tcW w:w="6516" w:type="dxa"/>
            <w:gridSpan w:val="2"/>
            <w:shd w:val="clear" w:color="auto" w:fill="D9D9D9" w:themeFill="background1" w:themeFillShade="D9"/>
          </w:tcPr>
          <w:p w14:paraId="50382107" w14:textId="77777777" w:rsidR="0052445E" w:rsidRPr="001E05F5" w:rsidRDefault="0052445E" w:rsidP="00E7613F">
            <w:pPr>
              <w:spacing w:before="60" w:after="60" w:line="264" w:lineRule="auto"/>
              <w:rPr>
                <w:rFonts w:eastAsiaTheme="minorEastAsia" w:cstheme="minorHAnsi"/>
                <w:b/>
                <w:bCs/>
                <w:color w:val="000000" w:themeColor="text1"/>
                <w:kern w:val="24"/>
              </w:rPr>
            </w:pPr>
            <w:r w:rsidRPr="001E05F5">
              <w:rPr>
                <w:rFonts w:eastAsiaTheme="minorEastAsia" w:cstheme="minorHAnsi"/>
                <w:b/>
                <w:bCs/>
                <w:color w:val="000000" w:themeColor="text1"/>
                <w:kern w:val="24"/>
              </w:rPr>
              <w:t xml:space="preserve">Assumptions </w:t>
            </w:r>
          </w:p>
        </w:tc>
      </w:tr>
      <w:tr w:rsidR="0052445E" w:rsidRPr="001E05F5" w14:paraId="45B3E294" w14:textId="77777777" w:rsidTr="0052445E">
        <w:trPr>
          <w:trHeight w:val="322"/>
        </w:trPr>
        <w:tc>
          <w:tcPr>
            <w:tcW w:w="4531" w:type="dxa"/>
          </w:tcPr>
          <w:p w14:paraId="0A2E1E9D" w14:textId="77777777" w:rsidR="0052445E" w:rsidRPr="001E05F5" w:rsidRDefault="0052445E" w:rsidP="00E7613F">
            <w:pPr>
              <w:spacing w:before="60" w:after="60" w:line="264" w:lineRule="auto"/>
              <w:rPr>
                <w:rFonts w:cstheme="minorHAnsi"/>
                <w:bCs/>
                <w:kern w:val="24"/>
              </w:rPr>
            </w:pPr>
            <w:r w:rsidRPr="001E05F5">
              <w:rPr>
                <w:rFonts w:cstheme="minorHAnsi"/>
                <w:bCs/>
                <w:kern w:val="24"/>
              </w:rPr>
              <w:t xml:space="preserve">Subscription fee </w:t>
            </w:r>
          </w:p>
        </w:tc>
        <w:tc>
          <w:tcPr>
            <w:tcW w:w="1985" w:type="dxa"/>
          </w:tcPr>
          <w:p w14:paraId="26592A2E" w14:textId="77777777" w:rsidR="0052445E" w:rsidRPr="001E05F5" w:rsidRDefault="0052445E" w:rsidP="00E7613F">
            <w:pPr>
              <w:spacing w:before="60" w:after="60" w:line="264" w:lineRule="auto"/>
              <w:jc w:val="center"/>
              <w:rPr>
                <w:rFonts w:cstheme="minorHAnsi"/>
                <w:bCs/>
                <w:kern w:val="24"/>
              </w:rPr>
            </w:pPr>
            <w:r w:rsidRPr="001E05F5">
              <w:rPr>
                <w:rFonts w:cstheme="minorHAnsi"/>
                <w:bCs/>
                <w:kern w:val="24"/>
              </w:rPr>
              <w:t>£35/</w:t>
            </w:r>
            <w:proofErr w:type="spellStart"/>
            <w:r w:rsidRPr="001E05F5">
              <w:rPr>
                <w:rFonts w:cstheme="minorHAnsi"/>
                <w:bCs/>
                <w:kern w:val="24"/>
              </w:rPr>
              <w:t>hh</w:t>
            </w:r>
            <w:proofErr w:type="spellEnd"/>
          </w:p>
        </w:tc>
      </w:tr>
      <w:tr w:rsidR="0052445E" w:rsidRPr="001E05F5" w14:paraId="3C19153F" w14:textId="77777777" w:rsidTr="0052445E">
        <w:trPr>
          <w:trHeight w:val="322"/>
        </w:trPr>
        <w:tc>
          <w:tcPr>
            <w:tcW w:w="4531" w:type="dxa"/>
            <w:hideMark/>
          </w:tcPr>
          <w:p w14:paraId="210826A1" w14:textId="77777777" w:rsidR="0052445E" w:rsidRPr="001E05F5" w:rsidRDefault="0052445E" w:rsidP="00E7613F">
            <w:pPr>
              <w:spacing w:before="60" w:after="60" w:line="264" w:lineRule="auto"/>
              <w:rPr>
                <w:rFonts w:cstheme="minorHAnsi"/>
              </w:rPr>
            </w:pPr>
            <w:r w:rsidRPr="001E05F5">
              <w:rPr>
                <w:rFonts w:cstheme="minorHAnsi"/>
                <w:bCs/>
                <w:kern w:val="24"/>
              </w:rPr>
              <w:t>Take up (of those that received the free garden waste collection)</w:t>
            </w:r>
          </w:p>
        </w:tc>
        <w:tc>
          <w:tcPr>
            <w:tcW w:w="1985" w:type="dxa"/>
            <w:hideMark/>
          </w:tcPr>
          <w:p w14:paraId="50BEA051" w14:textId="77777777" w:rsidR="0052445E" w:rsidRPr="001E05F5" w:rsidRDefault="0052445E" w:rsidP="00E7613F">
            <w:pPr>
              <w:spacing w:before="60" w:after="60" w:line="264" w:lineRule="auto"/>
              <w:jc w:val="center"/>
              <w:rPr>
                <w:rFonts w:cstheme="minorHAnsi"/>
              </w:rPr>
            </w:pPr>
            <w:r w:rsidRPr="001E05F5">
              <w:rPr>
                <w:rFonts w:cstheme="minorHAnsi"/>
                <w:bCs/>
                <w:kern w:val="24"/>
              </w:rPr>
              <w:t xml:space="preserve">30% </w:t>
            </w:r>
          </w:p>
        </w:tc>
      </w:tr>
      <w:tr w:rsidR="0052445E" w:rsidRPr="001E05F5" w14:paraId="0FAE683C" w14:textId="77777777" w:rsidTr="0052445E">
        <w:trPr>
          <w:trHeight w:val="354"/>
        </w:trPr>
        <w:tc>
          <w:tcPr>
            <w:tcW w:w="4531" w:type="dxa"/>
            <w:hideMark/>
          </w:tcPr>
          <w:p w14:paraId="2950F937" w14:textId="77777777" w:rsidR="0052445E" w:rsidRPr="001E05F5" w:rsidRDefault="0052445E" w:rsidP="00E7613F">
            <w:pPr>
              <w:spacing w:before="60" w:after="60" w:line="264" w:lineRule="auto"/>
              <w:rPr>
                <w:rFonts w:cstheme="minorHAnsi"/>
              </w:rPr>
            </w:pPr>
            <w:r w:rsidRPr="001E05F5">
              <w:rPr>
                <w:rFonts w:cstheme="minorHAnsi"/>
                <w:bCs/>
                <w:kern w:val="24"/>
              </w:rPr>
              <w:t xml:space="preserve">Set out amongst subscribers </w:t>
            </w:r>
          </w:p>
        </w:tc>
        <w:tc>
          <w:tcPr>
            <w:tcW w:w="1985" w:type="dxa"/>
            <w:hideMark/>
          </w:tcPr>
          <w:p w14:paraId="227578F7" w14:textId="77777777" w:rsidR="0052445E" w:rsidRPr="001E05F5" w:rsidRDefault="0052445E" w:rsidP="00E7613F">
            <w:pPr>
              <w:spacing w:before="60" w:after="60" w:line="264" w:lineRule="auto"/>
              <w:jc w:val="center"/>
              <w:rPr>
                <w:rFonts w:cstheme="minorHAnsi"/>
              </w:rPr>
            </w:pPr>
            <w:r w:rsidRPr="001E05F5">
              <w:rPr>
                <w:rFonts w:cstheme="minorHAnsi"/>
                <w:bCs/>
                <w:kern w:val="24"/>
              </w:rPr>
              <w:t>95%</w:t>
            </w:r>
          </w:p>
        </w:tc>
      </w:tr>
      <w:tr w:rsidR="0052445E" w:rsidRPr="001E05F5" w14:paraId="64B5D35B" w14:textId="77777777" w:rsidTr="0052445E">
        <w:trPr>
          <w:trHeight w:val="424"/>
        </w:trPr>
        <w:tc>
          <w:tcPr>
            <w:tcW w:w="4531" w:type="dxa"/>
            <w:hideMark/>
          </w:tcPr>
          <w:p w14:paraId="30E18ABB" w14:textId="77777777" w:rsidR="0052445E" w:rsidRPr="001E05F5" w:rsidRDefault="0052445E" w:rsidP="00E7613F">
            <w:pPr>
              <w:spacing w:before="60" w:after="60" w:line="264" w:lineRule="auto"/>
              <w:rPr>
                <w:rFonts w:cstheme="minorHAnsi"/>
              </w:rPr>
            </w:pPr>
            <w:r w:rsidRPr="001E05F5">
              <w:rPr>
                <w:rFonts w:cstheme="minorHAnsi"/>
                <w:bCs/>
                <w:kern w:val="24"/>
              </w:rPr>
              <w:t xml:space="preserve">Participation amongst subscribers </w:t>
            </w:r>
          </w:p>
        </w:tc>
        <w:tc>
          <w:tcPr>
            <w:tcW w:w="1985" w:type="dxa"/>
            <w:hideMark/>
          </w:tcPr>
          <w:p w14:paraId="579405F8" w14:textId="77777777" w:rsidR="0052445E" w:rsidRPr="001E05F5" w:rsidRDefault="0052445E" w:rsidP="00E7613F">
            <w:pPr>
              <w:spacing w:before="60" w:after="60" w:line="264" w:lineRule="auto"/>
              <w:jc w:val="center"/>
              <w:rPr>
                <w:rFonts w:cstheme="minorHAnsi"/>
              </w:rPr>
            </w:pPr>
            <w:r w:rsidRPr="001E05F5">
              <w:rPr>
                <w:rFonts w:cstheme="minorHAnsi"/>
                <w:bCs/>
                <w:kern w:val="24"/>
              </w:rPr>
              <w:t>100%</w:t>
            </w:r>
          </w:p>
        </w:tc>
      </w:tr>
      <w:tr w:rsidR="0052445E" w:rsidRPr="001E05F5" w14:paraId="4BCF8802" w14:textId="77777777" w:rsidTr="0052445E">
        <w:trPr>
          <w:trHeight w:val="424"/>
        </w:trPr>
        <w:tc>
          <w:tcPr>
            <w:tcW w:w="4531" w:type="dxa"/>
            <w:hideMark/>
          </w:tcPr>
          <w:p w14:paraId="2E7A4937" w14:textId="77777777" w:rsidR="0052445E" w:rsidRPr="001E05F5" w:rsidRDefault="0052445E" w:rsidP="00E7613F">
            <w:pPr>
              <w:spacing w:before="60" w:after="60" w:line="264" w:lineRule="auto"/>
              <w:rPr>
                <w:rFonts w:cstheme="minorHAnsi"/>
              </w:rPr>
            </w:pPr>
            <w:r w:rsidRPr="001E05F5">
              <w:rPr>
                <w:rFonts w:cstheme="minorHAnsi"/>
                <w:bCs/>
                <w:kern w:val="24"/>
              </w:rPr>
              <w:t>Proportion of GW Tonnage collected</w:t>
            </w:r>
            <w:r w:rsidRPr="001E05F5">
              <w:rPr>
                <w:rStyle w:val="FootnoteReference"/>
                <w:rFonts w:cstheme="minorHAnsi"/>
                <w:bCs/>
                <w:kern w:val="24"/>
              </w:rPr>
              <w:footnoteReference w:id="12"/>
            </w:r>
          </w:p>
        </w:tc>
        <w:tc>
          <w:tcPr>
            <w:tcW w:w="1985" w:type="dxa"/>
            <w:hideMark/>
          </w:tcPr>
          <w:p w14:paraId="24577FD3" w14:textId="77777777" w:rsidR="0052445E" w:rsidRPr="001E05F5" w:rsidRDefault="0052445E" w:rsidP="00E7613F">
            <w:pPr>
              <w:spacing w:before="60" w:after="60" w:line="264" w:lineRule="auto"/>
              <w:jc w:val="center"/>
              <w:rPr>
                <w:rFonts w:cstheme="minorHAnsi"/>
              </w:rPr>
            </w:pPr>
            <w:r w:rsidRPr="001E05F5">
              <w:rPr>
                <w:rFonts w:cstheme="minorHAnsi"/>
                <w:bCs/>
                <w:kern w:val="24"/>
              </w:rPr>
              <w:t>45%</w:t>
            </w:r>
          </w:p>
        </w:tc>
      </w:tr>
    </w:tbl>
    <w:p w14:paraId="1B201D3C" w14:textId="77777777" w:rsidR="0052445E" w:rsidRPr="001E05F5" w:rsidRDefault="0052445E" w:rsidP="00E7613F">
      <w:pPr>
        <w:pStyle w:val="Heading2"/>
        <w:numPr>
          <w:ilvl w:val="0"/>
          <w:numId w:val="0"/>
        </w:numPr>
        <w:ind w:left="567" w:hanging="567"/>
      </w:pPr>
      <w:bookmarkStart w:id="36" w:name="_Toc521426516"/>
      <w:r w:rsidRPr="001E05F5">
        <w:t>High recycling collection scenario</w:t>
      </w:r>
      <w:bookmarkEnd w:id="36"/>
    </w:p>
    <w:p w14:paraId="3A0E406B" w14:textId="2E08C6B5" w:rsidR="0052445E" w:rsidRPr="001E05F5" w:rsidRDefault="0052445E" w:rsidP="0052445E">
      <w:r w:rsidRPr="001E05F5">
        <w:t xml:space="preserve">This scenario models a ‘high recycling performance option’. It applies a charged garden waste service (as outlined in the High Efficiency Scenario), a separate weekly food waste collection, a fortnightly 2 stream dry recycling collection and a three-weekly residual collection in 240l wheeled bins. A restricted residual waste service combined with regular recycling collections was modelled to maximise the amount of material segregated for recycling. The assumptions used for the increase in recycling performance are outlined in </w:t>
      </w:r>
      <w:r w:rsidRPr="001E05F5">
        <w:fldChar w:fldCharType="begin"/>
      </w:r>
      <w:r w:rsidRPr="001E05F5">
        <w:instrText xml:space="preserve"> REF _Ref519000154 \h </w:instrText>
      </w:r>
      <w:r w:rsidR="00E356FE" w:rsidRPr="001E05F5">
        <w:instrText xml:space="preserve"> \* MERGEFORMAT </w:instrText>
      </w:r>
      <w:r w:rsidRPr="001E05F5">
        <w:fldChar w:fldCharType="separate"/>
      </w:r>
      <w:r w:rsidR="00EA3A66" w:rsidRPr="001E05F5">
        <w:t>Table D</w:t>
      </w:r>
      <w:r w:rsidR="00EA3A66" w:rsidRPr="001E05F5">
        <w:rPr>
          <w:noProof/>
        </w:rPr>
        <w:t>2</w:t>
      </w:r>
      <w:r w:rsidRPr="001E05F5">
        <w:fldChar w:fldCharType="end"/>
      </w:r>
      <w:r w:rsidRPr="001E05F5">
        <w:t xml:space="preserve">. </w:t>
      </w:r>
    </w:p>
    <w:p w14:paraId="4FCA167F" w14:textId="77777777" w:rsidR="0052445E" w:rsidRPr="001E05F5" w:rsidRDefault="0052445E" w:rsidP="00E7613F">
      <w:pPr>
        <w:rPr>
          <w:b/>
        </w:rPr>
      </w:pPr>
      <w:bookmarkStart w:id="37" w:name="_Ref519000154"/>
      <w:r w:rsidRPr="001E05F5">
        <w:rPr>
          <w:b/>
        </w:rPr>
        <w:t xml:space="preserve">Table </w:t>
      </w:r>
      <w:r w:rsidR="00E7613F" w:rsidRPr="001E05F5">
        <w:rPr>
          <w:b/>
        </w:rPr>
        <w:t>D</w:t>
      </w:r>
      <w:r w:rsidRPr="001E05F5">
        <w:rPr>
          <w:b/>
        </w:rPr>
        <w:fldChar w:fldCharType="begin"/>
      </w:r>
      <w:r w:rsidRPr="001E05F5">
        <w:rPr>
          <w:b/>
        </w:rPr>
        <w:instrText xml:space="preserve"> SEQ Table \* ARABIC </w:instrText>
      </w:r>
      <w:r w:rsidRPr="001E05F5">
        <w:rPr>
          <w:b/>
        </w:rPr>
        <w:fldChar w:fldCharType="separate"/>
      </w:r>
      <w:r w:rsidR="00EA3A66" w:rsidRPr="001E05F5">
        <w:rPr>
          <w:b/>
          <w:noProof/>
        </w:rPr>
        <w:t>2</w:t>
      </w:r>
      <w:r w:rsidRPr="001E05F5">
        <w:rPr>
          <w:b/>
        </w:rPr>
        <w:fldChar w:fldCharType="end"/>
      </w:r>
      <w:bookmarkEnd w:id="37"/>
      <w:r w:rsidRPr="001E05F5">
        <w:rPr>
          <w:b/>
        </w:rPr>
        <w:t>: Assumptions used for the modelling of the enhanced dry recycling</w:t>
      </w:r>
    </w:p>
    <w:tbl>
      <w:tblPr>
        <w:tblStyle w:val="TableGrid1"/>
        <w:tblW w:w="3964" w:type="dxa"/>
        <w:tblLook w:val="04A0" w:firstRow="1" w:lastRow="0" w:firstColumn="1" w:lastColumn="0" w:noHBand="0" w:noVBand="1"/>
      </w:tblPr>
      <w:tblGrid>
        <w:gridCol w:w="2122"/>
        <w:gridCol w:w="1842"/>
      </w:tblGrid>
      <w:tr w:rsidR="00E7613F" w:rsidRPr="001E05F5" w14:paraId="741EBF97" w14:textId="77777777" w:rsidTr="00E7613F">
        <w:trPr>
          <w:trHeight w:val="195"/>
        </w:trPr>
        <w:tc>
          <w:tcPr>
            <w:tcW w:w="39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DE6DF" w14:textId="77777777" w:rsidR="0052445E" w:rsidRPr="001E05F5" w:rsidRDefault="0052445E" w:rsidP="00E7613F">
            <w:pPr>
              <w:spacing w:before="60" w:after="60" w:line="264" w:lineRule="auto"/>
              <w:rPr>
                <w:rFonts w:ascii="Arial" w:hAnsi="Arial" w:cs="Arial"/>
                <w:color w:val="000000" w:themeColor="text1"/>
                <w:kern w:val="24"/>
              </w:rPr>
            </w:pPr>
            <w:r w:rsidRPr="001E05F5">
              <w:rPr>
                <w:rFonts w:ascii="Arial" w:hAnsi="Arial" w:cs="Arial"/>
                <w:b/>
                <w:bCs/>
                <w:color w:val="000000" w:themeColor="text1"/>
                <w:kern w:val="24"/>
              </w:rPr>
              <w:t xml:space="preserve">Assumptions- dry recycling stream </w:t>
            </w:r>
          </w:p>
        </w:tc>
      </w:tr>
      <w:tr w:rsidR="0052445E" w:rsidRPr="001E05F5" w14:paraId="6196059E" w14:textId="77777777" w:rsidTr="0052445E">
        <w:trPr>
          <w:trHeight w:val="385"/>
        </w:trPr>
        <w:tc>
          <w:tcPr>
            <w:tcW w:w="2122" w:type="dxa"/>
            <w:tcBorders>
              <w:top w:val="single" w:sz="4" w:space="0" w:color="auto"/>
              <w:left w:val="single" w:sz="4" w:space="0" w:color="auto"/>
              <w:bottom w:val="single" w:sz="4" w:space="0" w:color="auto"/>
              <w:right w:val="single" w:sz="4" w:space="0" w:color="auto"/>
            </w:tcBorders>
            <w:hideMark/>
          </w:tcPr>
          <w:p w14:paraId="5AA9081A" w14:textId="77777777" w:rsidR="0052445E" w:rsidRPr="001E05F5" w:rsidRDefault="0052445E" w:rsidP="00E7613F">
            <w:pPr>
              <w:spacing w:before="60" w:after="60" w:line="264" w:lineRule="auto"/>
              <w:rPr>
                <w:rFonts w:ascii="Arial" w:hAnsi="Arial" w:cs="Arial"/>
              </w:rPr>
            </w:pPr>
            <w:r w:rsidRPr="001E05F5">
              <w:rPr>
                <w:rFonts w:ascii="Arial" w:hAnsi="Arial" w:cs="Arial"/>
                <w:bCs/>
                <w:kern w:val="24"/>
              </w:rPr>
              <w:t xml:space="preserve">Participation </w:t>
            </w:r>
          </w:p>
        </w:tc>
        <w:tc>
          <w:tcPr>
            <w:tcW w:w="1842" w:type="dxa"/>
            <w:tcBorders>
              <w:top w:val="single" w:sz="4" w:space="0" w:color="auto"/>
              <w:left w:val="single" w:sz="4" w:space="0" w:color="auto"/>
              <w:bottom w:val="single" w:sz="4" w:space="0" w:color="auto"/>
              <w:right w:val="single" w:sz="4" w:space="0" w:color="auto"/>
            </w:tcBorders>
            <w:hideMark/>
          </w:tcPr>
          <w:p w14:paraId="21A8BE37" w14:textId="77777777" w:rsidR="0052445E" w:rsidRPr="001E05F5" w:rsidRDefault="0052445E" w:rsidP="00E7613F">
            <w:pPr>
              <w:spacing w:before="60" w:after="60" w:line="264" w:lineRule="auto"/>
              <w:rPr>
                <w:rFonts w:ascii="Arial" w:hAnsi="Arial" w:cs="Arial"/>
              </w:rPr>
            </w:pPr>
            <w:r w:rsidRPr="001E05F5">
              <w:rPr>
                <w:rFonts w:ascii="Arial" w:hAnsi="Arial" w:cs="Arial"/>
                <w:kern w:val="24"/>
              </w:rPr>
              <w:t xml:space="preserve">+ 7.5% </w:t>
            </w:r>
          </w:p>
        </w:tc>
      </w:tr>
      <w:tr w:rsidR="0052445E" w:rsidRPr="001E05F5" w14:paraId="4834AF35" w14:textId="77777777" w:rsidTr="0052445E">
        <w:trPr>
          <w:trHeight w:val="420"/>
        </w:trPr>
        <w:tc>
          <w:tcPr>
            <w:tcW w:w="2122" w:type="dxa"/>
            <w:tcBorders>
              <w:top w:val="single" w:sz="4" w:space="0" w:color="auto"/>
              <w:left w:val="single" w:sz="4" w:space="0" w:color="auto"/>
              <w:bottom w:val="single" w:sz="4" w:space="0" w:color="auto"/>
              <w:right w:val="single" w:sz="4" w:space="0" w:color="auto"/>
            </w:tcBorders>
            <w:hideMark/>
          </w:tcPr>
          <w:p w14:paraId="53625CBB" w14:textId="77777777" w:rsidR="0052445E" w:rsidRPr="001E05F5" w:rsidRDefault="0052445E" w:rsidP="00E7613F">
            <w:pPr>
              <w:spacing w:before="60" w:after="60" w:line="264" w:lineRule="auto"/>
              <w:rPr>
                <w:rFonts w:ascii="Arial" w:hAnsi="Arial" w:cs="Arial"/>
              </w:rPr>
            </w:pPr>
            <w:r w:rsidRPr="001E05F5">
              <w:rPr>
                <w:rFonts w:ascii="Arial" w:hAnsi="Arial" w:cs="Arial"/>
                <w:bCs/>
                <w:kern w:val="24"/>
              </w:rPr>
              <w:t xml:space="preserve">Set out </w:t>
            </w:r>
          </w:p>
        </w:tc>
        <w:tc>
          <w:tcPr>
            <w:tcW w:w="1842" w:type="dxa"/>
            <w:tcBorders>
              <w:top w:val="single" w:sz="4" w:space="0" w:color="auto"/>
              <w:left w:val="single" w:sz="4" w:space="0" w:color="auto"/>
              <w:bottom w:val="single" w:sz="4" w:space="0" w:color="auto"/>
              <w:right w:val="single" w:sz="4" w:space="0" w:color="auto"/>
            </w:tcBorders>
            <w:hideMark/>
          </w:tcPr>
          <w:p w14:paraId="7F8C6612" w14:textId="77777777" w:rsidR="0052445E" w:rsidRPr="001E05F5" w:rsidRDefault="0052445E" w:rsidP="00E7613F">
            <w:pPr>
              <w:spacing w:before="60" w:after="60" w:line="264" w:lineRule="auto"/>
              <w:rPr>
                <w:rFonts w:ascii="Arial" w:hAnsi="Arial" w:cs="Arial"/>
              </w:rPr>
            </w:pPr>
            <w:r w:rsidRPr="001E05F5">
              <w:rPr>
                <w:rFonts w:ascii="Arial" w:hAnsi="Arial" w:cs="Arial"/>
                <w:kern w:val="24"/>
              </w:rPr>
              <w:t xml:space="preserve">+ 5% </w:t>
            </w:r>
          </w:p>
        </w:tc>
      </w:tr>
      <w:tr w:rsidR="0052445E" w:rsidRPr="001E05F5" w14:paraId="24E889C2" w14:textId="77777777" w:rsidTr="0052445E">
        <w:trPr>
          <w:trHeight w:val="412"/>
        </w:trPr>
        <w:tc>
          <w:tcPr>
            <w:tcW w:w="2122" w:type="dxa"/>
            <w:tcBorders>
              <w:top w:val="single" w:sz="4" w:space="0" w:color="auto"/>
              <w:left w:val="single" w:sz="4" w:space="0" w:color="auto"/>
              <w:bottom w:val="single" w:sz="4" w:space="0" w:color="auto"/>
              <w:right w:val="single" w:sz="4" w:space="0" w:color="auto"/>
            </w:tcBorders>
            <w:hideMark/>
          </w:tcPr>
          <w:p w14:paraId="28326909" w14:textId="77777777" w:rsidR="0052445E" w:rsidRPr="001E05F5" w:rsidRDefault="0052445E" w:rsidP="00E7613F">
            <w:pPr>
              <w:spacing w:before="60" w:after="60" w:line="264" w:lineRule="auto"/>
              <w:rPr>
                <w:rFonts w:ascii="Arial" w:hAnsi="Arial" w:cs="Arial"/>
              </w:rPr>
            </w:pPr>
            <w:r w:rsidRPr="001E05F5">
              <w:rPr>
                <w:rFonts w:ascii="Arial" w:hAnsi="Arial" w:cs="Arial"/>
                <w:bCs/>
                <w:kern w:val="24"/>
              </w:rPr>
              <w:t xml:space="preserve">Capture </w:t>
            </w:r>
          </w:p>
        </w:tc>
        <w:tc>
          <w:tcPr>
            <w:tcW w:w="1842" w:type="dxa"/>
            <w:tcBorders>
              <w:top w:val="single" w:sz="4" w:space="0" w:color="auto"/>
              <w:left w:val="single" w:sz="4" w:space="0" w:color="auto"/>
              <w:bottom w:val="single" w:sz="4" w:space="0" w:color="auto"/>
              <w:right w:val="single" w:sz="4" w:space="0" w:color="auto"/>
            </w:tcBorders>
            <w:hideMark/>
          </w:tcPr>
          <w:p w14:paraId="30F43D83" w14:textId="77777777" w:rsidR="0052445E" w:rsidRPr="001E05F5" w:rsidRDefault="0052445E" w:rsidP="00E7613F">
            <w:pPr>
              <w:spacing w:before="60" w:after="60" w:line="264" w:lineRule="auto"/>
              <w:rPr>
                <w:rFonts w:ascii="Arial" w:hAnsi="Arial" w:cs="Arial"/>
              </w:rPr>
            </w:pPr>
            <w:r w:rsidRPr="001E05F5">
              <w:rPr>
                <w:rFonts w:ascii="Arial" w:hAnsi="Arial" w:cs="Arial"/>
                <w:kern w:val="24"/>
              </w:rPr>
              <w:t>+ 2.5%</w:t>
            </w:r>
          </w:p>
        </w:tc>
      </w:tr>
      <w:tr w:rsidR="0052445E" w:rsidRPr="001E05F5" w14:paraId="67B8D990" w14:textId="77777777" w:rsidTr="0052445E">
        <w:trPr>
          <w:trHeight w:val="275"/>
        </w:trPr>
        <w:tc>
          <w:tcPr>
            <w:tcW w:w="2122" w:type="dxa"/>
            <w:tcBorders>
              <w:top w:val="single" w:sz="4" w:space="0" w:color="auto"/>
              <w:left w:val="single" w:sz="4" w:space="0" w:color="auto"/>
              <w:bottom w:val="single" w:sz="4" w:space="0" w:color="auto"/>
              <w:right w:val="single" w:sz="4" w:space="0" w:color="auto"/>
            </w:tcBorders>
            <w:hideMark/>
          </w:tcPr>
          <w:p w14:paraId="07F98FAD" w14:textId="77777777" w:rsidR="0052445E" w:rsidRPr="001E05F5" w:rsidRDefault="0052445E" w:rsidP="00E7613F">
            <w:pPr>
              <w:spacing w:before="60" w:after="60" w:line="264" w:lineRule="auto"/>
              <w:rPr>
                <w:rFonts w:ascii="Arial" w:hAnsi="Arial" w:cs="Arial"/>
              </w:rPr>
            </w:pPr>
            <w:r w:rsidRPr="001E05F5">
              <w:rPr>
                <w:rFonts w:ascii="Arial" w:hAnsi="Arial" w:cs="Arial"/>
                <w:bCs/>
                <w:kern w:val="24"/>
              </w:rPr>
              <w:t xml:space="preserve">Contamination </w:t>
            </w:r>
          </w:p>
        </w:tc>
        <w:tc>
          <w:tcPr>
            <w:tcW w:w="1842" w:type="dxa"/>
            <w:tcBorders>
              <w:top w:val="single" w:sz="4" w:space="0" w:color="auto"/>
              <w:left w:val="single" w:sz="4" w:space="0" w:color="auto"/>
              <w:bottom w:val="single" w:sz="4" w:space="0" w:color="auto"/>
              <w:right w:val="single" w:sz="4" w:space="0" w:color="auto"/>
            </w:tcBorders>
            <w:hideMark/>
          </w:tcPr>
          <w:p w14:paraId="0C099C2B" w14:textId="77777777" w:rsidR="0052445E" w:rsidRPr="001E05F5" w:rsidRDefault="0052445E" w:rsidP="00E7613F">
            <w:pPr>
              <w:spacing w:before="60" w:after="60" w:line="264" w:lineRule="auto"/>
              <w:rPr>
                <w:rFonts w:ascii="Arial" w:hAnsi="Arial" w:cs="Arial"/>
              </w:rPr>
            </w:pPr>
            <w:r w:rsidRPr="001E05F5">
              <w:rPr>
                <w:rFonts w:ascii="Arial" w:hAnsi="Arial" w:cs="Arial"/>
                <w:kern w:val="24"/>
              </w:rPr>
              <w:t xml:space="preserve">+ 2% </w:t>
            </w:r>
          </w:p>
        </w:tc>
      </w:tr>
    </w:tbl>
    <w:p w14:paraId="640BEC25" w14:textId="77777777" w:rsidR="0052445E" w:rsidRPr="001E05F5" w:rsidRDefault="0052445E" w:rsidP="00302D0E">
      <w:pPr>
        <w:spacing w:before="240"/>
      </w:pPr>
      <w:r w:rsidRPr="001E05F5">
        <w:t xml:space="preserve">In addition, the food waste collection was modelled to deliver a high yield of food waste via the weekly service. The data was sourced from the WRAP ‘Ready Reckoner’ formula and assuming a 60% participation rate. </w:t>
      </w:r>
    </w:p>
    <w:p w14:paraId="386F4000" w14:textId="69D46C85" w:rsidR="00FC2AED" w:rsidRPr="001E05F5" w:rsidRDefault="00FC2AED" w:rsidP="00FC2AED">
      <w:pPr>
        <w:pStyle w:val="Heading1"/>
        <w:numPr>
          <w:ilvl w:val="0"/>
          <w:numId w:val="0"/>
        </w:numPr>
        <w:ind w:left="850" w:hanging="850"/>
      </w:pPr>
      <w:bookmarkStart w:id="38" w:name="_Toc521426517"/>
      <w:r w:rsidRPr="001E05F5">
        <w:lastRenderedPageBreak/>
        <w:t>Appendix E: Summary of KAT model outputs</w:t>
      </w:r>
      <w:bookmarkEnd w:id="38"/>
    </w:p>
    <w:p w14:paraId="64C0C0FC" w14:textId="05F026A9" w:rsidR="00302D0E" w:rsidRPr="001E05F5" w:rsidRDefault="00302D0E" w:rsidP="00302D0E">
      <w:pPr>
        <w:rPr>
          <w:b/>
        </w:rPr>
      </w:pPr>
      <w:r w:rsidRPr="001E05F5">
        <w:rPr>
          <w:b/>
        </w:rPr>
        <w:t>Table E</w:t>
      </w:r>
      <w:r w:rsidRPr="001E05F5">
        <w:rPr>
          <w:b/>
        </w:rPr>
        <w:fldChar w:fldCharType="begin"/>
      </w:r>
      <w:r w:rsidRPr="001E05F5">
        <w:rPr>
          <w:b/>
        </w:rPr>
        <w:instrText xml:space="preserve"> SEQ Table \* ARABIC </w:instrText>
      </w:r>
      <w:r w:rsidRPr="001E05F5">
        <w:rPr>
          <w:b/>
        </w:rPr>
        <w:fldChar w:fldCharType="separate"/>
      </w:r>
      <w:r w:rsidRPr="001E05F5">
        <w:rPr>
          <w:b/>
        </w:rPr>
        <w:t>1</w:t>
      </w:r>
      <w:r w:rsidRPr="001E05F5">
        <w:rPr>
          <w:b/>
        </w:rPr>
        <w:fldChar w:fldCharType="end"/>
      </w:r>
      <w:r w:rsidRPr="001E05F5">
        <w:rPr>
          <w:b/>
        </w:rPr>
        <w:t>: Indicative annualised collection costs and kerbside recycling performance for all Councils</w:t>
      </w:r>
    </w:p>
    <w:tbl>
      <w:tblPr>
        <w:tblStyle w:val="TableGrid1"/>
        <w:tblW w:w="8936" w:type="dxa"/>
        <w:tblLayout w:type="fixed"/>
        <w:tblLook w:val="0420" w:firstRow="1" w:lastRow="0" w:firstColumn="0" w:lastColumn="0" w:noHBand="0" w:noVBand="1"/>
      </w:tblPr>
      <w:tblGrid>
        <w:gridCol w:w="1885"/>
        <w:gridCol w:w="1371"/>
        <w:gridCol w:w="709"/>
        <w:gridCol w:w="1560"/>
        <w:gridCol w:w="991"/>
        <w:gridCol w:w="1559"/>
        <w:gridCol w:w="855"/>
        <w:gridCol w:w="6"/>
      </w:tblGrid>
      <w:tr w:rsidR="00302D0E" w:rsidRPr="001E05F5" w14:paraId="42068808" w14:textId="77777777" w:rsidTr="00000E6E">
        <w:trPr>
          <w:trHeight w:val="432"/>
        </w:trPr>
        <w:tc>
          <w:tcPr>
            <w:tcW w:w="893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A2E01C4" w14:textId="21E2DE09" w:rsidR="00302D0E" w:rsidRPr="001E05F5" w:rsidRDefault="00302D0E" w:rsidP="00302D0E">
            <w:pPr>
              <w:spacing w:after="0" w:line="240" w:lineRule="auto"/>
              <w:jc w:val="center"/>
              <w:rPr>
                <w:rFonts w:ascii="Arial" w:hAnsi="Arial" w:cs="Arial"/>
                <w:b/>
                <w:bCs/>
                <w:kern w:val="24"/>
              </w:rPr>
            </w:pPr>
            <w:r w:rsidRPr="001E05F5">
              <w:rPr>
                <w:rFonts w:ascii="Arial" w:hAnsi="Arial" w:cs="Arial"/>
                <w:b/>
                <w:bCs/>
                <w:kern w:val="24"/>
              </w:rPr>
              <w:t>Gross annualised collection costs/kerbside recycling performance (%)</w:t>
            </w:r>
          </w:p>
        </w:tc>
      </w:tr>
      <w:tr w:rsidR="00302D0E" w:rsidRPr="001E05F5" w14:paraId="376C11AF" w14:textId="77777777" w:rsidTr="00000E6E">
        <w:trPr>
          <w:gridAfter w:val="1"/>
          <w:wAfter w:w="6" w:type="dxa"/>
          <w:trHeight w:val="432"/>
        </w:trPr>
        <w:tc>
          <w:tcPr>
            <w:tcW w:w="18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9D6DDB" w14:textId="7FCEA7A0" w:rsidR="00302D0E" w:rsidRPr="001E05F5" w:rsidRDefault="00302D0E" w:rsidP="00302D0E">
            <w:pPr>
              <w:rPr>
                <w:rFonts w:ascii="Arial" w:hAnsi="Arial" w:cs="Arial"/>
                <w:b/>
                <w:bCs/>
                <w:kern w:val="24"/>
              </w:rPr>
            </w:pPr>
            <w:bookmarkStart w:id="39" w:name="_Hlk516584671"/>
            <w:r w:rsidRPr="001E05F5">
              <w:rPr>
                <w:rFonts w:ascii="Arial" w:hAnsi="Arial" w:cs="Arial"/>
                <w:b/>
                <w:bCs/>
                <w:kern w:val="24"/>
              </w:rPr>
              <w:t>Council</w:t>
            </w:r>
          </w:p>
        </w:tc>
        <w:tc>
          <w:tcPr>
            <w:tcW w:w="2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8C20F5" w14:textId="77777777" w:rsidR="00302D0E" w:rsidRPr="001E05F5" w:rsidRDefault="00302D0E" w:rsidP="00302D0E">
            <w:pPr>
              <w:spacing w:after="0" w:line="240" w:lineRule="auto"/>
              <w:jc w:val="center"/>
              <w:rPr>
                <w:rFonts w:ascii="Arial" w:eastAsia="MS Mincho" w:hAnsi="Arial" w:cs="Arial"/>
                <w:b/>
                <w:sz w:val="22"/>
              </w:rPr>
            </w:pPr>
            <w:r w:rsidRPr="001E05F5">
              <w:rPr>
                <w:rFonts w:ascii="Arial" w:hAnsi="Arial" w:cs="Arial"/>
                <w:b/>
                <w:bCs/>
                <w:kern w:val="24"/>
              </w:rPr>
              <w:t>Baseline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BD92BE7" w14:textId="77777777" w:rsidR="00302D0E" w:rsidRPr="001E05F5" w:rsidRDefault="00302D0E" w:rsidP="00302D0E">
            <w:pPr>
              <w:spacing w:after="0" w:line="240" w:lineRule="auto"/>
              <w:jc w:val="center"/>
              <w:rPr>
                <w:rFonts w:ascii="Arial" w:hAnsi="Arial" w:cs="Arial"/>
                <w:b/>
                <w:bCs/>
                <w:kern w:val="24"/>
              </w:rPr>
            </w:pPr>
            <w:r w:rsidRPr="001E05F5">
              <w:rPr>
                <w:rFonts w:ascii="Arial" w:hAnsi="Arial" w:cs="Arial"/>
                <w:b/>
                <w:bCs/>
                <w:kern w:val="24"/>
              </w:rPr>
              <w:t>High efficiency option</w:t>
            </w:r>
          </w:p>
        </w:tc>
        <w:tc>
          <w:tcPr>
            <w:tcW w:w="24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75E8AE" w14:textId="77777777" w:rsidR="00302D0E" w:rsidRPr="001E05F5" w:rsidRDefault="00302D0E" w:rsidP="00302D0E">
            <w:pPr>
              <w:spacing w:after="0" w:line="240" w:lineRule="auto"/>
              <w:jc w:val="center"/>
              <w:rPr>
                <w:rFonts w:ascii="Arial" w:hAnsi="Arial" w:cs="Arial"/>
                <w:b/>
                <w:bCs/>
                <w:kern w:val="24"/>
              </w:rPr>
            </w:pPr>
            <w:r w:rsidRPr="001E05F5">
              <w:rPr>
                <w:rFonts w:ascii="Arial" w:hAnsi="Arial" w:cs="Arial"/>
                <w:b/>
                <w:bCs/>
                <w:kern w:val="24"/>
              </w:rPr>
              <w:t>High recycling option</w:t>
            </w:r>
          </w:p>
        </w:tc>
      </w:tr>
      <w:tr w:rsidR="00302D0E" w:rsidRPr="001E05F5" w14:paraId="2F18801B" w14:textId="77777777" w:rsidTr="00000E6E">
        <w:trPr>
          <w:gridAfter w:val="1"/>
          <w:wAfter w:w="6" w:type="dxa"/>
        </w:trPr>
        <w:tc>
          <w:tcPr>
            <w:tcW w:w="1885" w:type="dxa"/>
            <w:tcBorders>
              <w:top w:val="single" w:sz="4" w:space="0" w:color="auto"/>
              <w:left w:val="single" w:sz="4" w:space="0" w:color="auto"/>
              <w:bottom w:val="single" w:sz="4" w:space="0" w:color="auto"/>
              <w:right w:val="single" w:sz="4" w:space="0" w:color="auto"/>
            </w:tcBorders>
            <w:vAlign w:val="center"/>
            <w:hideMark/>
          </w:tcPr>
          <w:p w14:paraId="47EF4270" w14:textId="77777777" w:rsidR="00302D0E" w:rsidRPr="001E05F5" w:rsidRDefault="00302D0E" w:rsidP="007B1086">
            <w:pPr>
              <w:spacing w:before="60" w:after="60" w:line="240" w:lineRule="auto"/>
              <w:rPr>
                <w:rFonts w:ascii="Arial" w:hAnsi="Arial" w:cs="Arial"/>
              </w:rPr>
            </w:pPr>
            <w:r w:rsidRPr="001E05F5">
              <w:rPr>
                <w:rFonts w:ascii="Arial" w:hAnsi="Arial" w:cs="Arial"/>
                <w:kern w:val="24"/>
              </w:rPr>
              <w:t xml:space="preserve">Darlington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40D490B0"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kern w:val="24"/>
              </w:rPr>
              <w:t>£3,068,664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BF8D26"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96C326"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£3,248,679</w:t>
            </w:r>
          </w:p>
        </w:tc>
        <w:tc>
          <w:tcPr>
            <w:tcW w:w="991" w:type="dxa"/>
            <w:tcBorders>
              <w:top w:val="single" w:sz="4" w:space="0" w:color="auto"/>
              <w:left w:val="single" w:sz="4" w:space="0" w:color="auto"/>
              <w:bottom w:val="single" w:sz="4" w:space="0" w:color="auto"/>
              <w:right w:val="single" w:sz="4" w:space="0" w:color="auto"/>
            </w:tcBorders>
            <w:vAlign w:val="center"/>
            <w:hideMark/>
          </w:tcPr>
          <w:p w14:paraId="02C94234"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FD7D9C"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£3,615,253</w:t>
            </w:r>
          </w:p>
        </w:tc>
        <w:tc>
          <w:tcPr>
            <w:tcW w:w="855" w:type="dxa"/>
            <w:tcBorders>
              <w:top w:val="single" w:sz="4" w:space="0" w:color="auto"/>
              <w:left w:val="single" w:sz="4" w:space="0" w:color="auto"/>
              <w:bottom w:val="single" w:sz="4" w:space="0" w:color="auto"/>
              <w:right w:val="single" w:sz="4" w:space="0" w:color="auto"/>
            </w:tcBorders>
            <w:vAlign w:val="center"/>
            <w:hideMark/>
          </w:tcPr>
          <w:p w14:paraId="00C8B6C6"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45%</w:t>
            </w:r>
          </w:p>
        </w:tc>
      </w:tr>
      <w:tr w:rsidR="00302D0E" w:rsidRPr="001E05F5" w14:paraId="459E0CB7" w14:textId="77777777" w:rsidTr="00000E6E">
        <w:trPr>
          <w:gridAfter w:val="1"/>
          <w:wAfter w:w="6" w:type="dxa"/>
        </w:trPr>
        <w:tc>
          <w:tcPr>
            <w:tcW w:w="1885" w:type="dxa"/>
            <w:tcBorders>
              <w:top w:val="single" w:sz="4" w:space="0" w:color="auto"/>
              <w:left w:val="single" w:sz="4" w:space="0" w:color="auto"/>
              <w:bottom w:val="single" w:sz="4" w:space="0" w:color="auto"/>
              <w:right w:val="single" w:sz="4" w:space="0" w:color="auto"/>
            </w:tcBorders>
            <w:vAlign w:val="center"/>
            <w:hideMark/>
          </w:tcPr>
          <w:p w14:paraId="59F74BCC" w14:textId="77777777" w:rsidR="00302D0E" w:rsidRPr="001E05F5" w:rsidRDefault="00302D0E" w:rsidP="007B1086">
            <w:pPr>
              <w:spacing w:before="60" w:after="60" w:line="240" w:lineRule="auto"/>
              <w:rPr>
                <w:rFonts w:ascii="Arial" w:hAnsi="Arial" w:cs="Arial"/>
              </w:rPr>
            </w:pPr>
            <w:r w:rsidRPr="001E05F5">
              <w:rPr>
                <w:rFonts w:ascii="Arial" w:hAnsi="Arial" w:cs="Arial"/>
                <w:kern w:val="24"/>
              </w:rPr>
              <w:t xml:space="preserve">Hartlepool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7F23BB18"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kern w:val="24"/>
              </w:rPr>
              <w:t>£3,478,372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CD721F"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32%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9FC00B"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£2,533,937</w:t>
            </w:r>
          </w:p>
        </w:tc>
        <w:tc>
          <w:tcPr>
            <w:tcW w:w="991" w:type="dxa"/>
            <w:tcBorders>
              <w:top w:val="single" w:sz="4" w:space="0" w:color="auto"/>
              <w:left w:val="single" w:sz="4" w:space="0" w:color="auto"/>
              <w:bottom w:val="single" w:sz="4" w:space="0" w:color="auto"/>
              <w:right w:val="single" w:sz="4" w:space="0" w:color="auto"/>
            </w:tcBorders>
            <w:vAlign w:val="center"/>
            <w:hideMark/>
          </w:tcPr>
          <w:p w14:paraId="379722FD"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27%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261834"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£3,370,668</w:t>
            </w:r>
          </w:p>
        </w:tc>
        <w:tc>
          <w:tcPr>
            <w:tcW w:w="855" w:type="dxa"/>
            <w:tcBorders>
              <w:top w:val="single" w:sz="4" w:space="0" w:color="auto"/>
              <w:left w:val="single" w:sz="4" w:space="0" w:color="auto"/>
              <w:bottom w:val="single" w:sz="4" w:space="0" w:color="auto"/>
              <w:right w:val="single" w:sz="4" w:space="0" w:color="auto"/>
            </w:tcBorders>
            <w:vAlign w:val="center"/>
            <w:hideMark/>
          </w:tcPr>
          <w:p w14:paraId="1C7B69FF"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41%</w:t>
            </w:r>
          </w:p>
        </w:tc>
      </w:tr>
      <w:tr w:rsidR="00302D0E" w:rsidRPr="001E05F5" w14:paraId="4BADE414" w14:textId="77777777" w:rsidTr="00000E6E">
        <w:trPr>
          <w:gridAfter w:val="1"/>
          <w:wAfter w:w="6" w:type="dxa"/>
        </w:trPr>
        <w:tc>
          <w:tcPr>
            <w:tcW w:w="1885" w:type="dxa"/>
            <w:tcBorders>
              <w:top w:val="single" w:sz="4" w:space="0" w:color="auto"/>
              <w:left w:val="single" w:sz="4" w:space="0" w:color="auto"/>
              <w:bottom w:val="single" w:sz="4" w:space="0" w:color="auto"/>
              <w:right w:val="single" w:sz="4" w:space="0" w:color="auto"/>
            </w:tcBorders>
            <w:vAlign w:val="center"/>
            <w:hideMark/>
          </w:tcPr>
          <w:p w14:paraId="5B5AA158" w14:textId="77777777" w:rsidR="00302D0E" w:rsidRPr="001E05F5" w:rsidRDefault="00302D0E" w:rsidP="007B1086">
            <w:pPr>
              <w:spacing w:before="60" w:after="60" w:line="240" w:lineRule="auto"/>
              <w:rPr>
                <w:rFonts w:ascii="Arial" w:hAnsi="Arial" w:cs="Arial"/>
              </w:rPr>
            </w:pPr>
            <w:r w:rsidRPr="001E05F5">
              <w:rPr>
                <w:rFonts w:ascii="Arial" w:hAnsi="Arial" w:cs="Arial"/>
                <w:kern w:val="24"/>
              </w:rPr>
              <w:t xml:space="preserve">Middlesbrough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3EEC9724"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kern w:val="24"/>
              </w:rPr>
              <w:t>£4,455,631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6F28AE"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31%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786490"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£3,163,232</w:t>
            </w:r>
          </w:p>
        </w:tc>
        <w:tc>
          <w:tcPr>
            <w:tcW w:w="991" w:type="dxa"/>
            <w:tcBorders>
              <w:top w:val="single" w:sz="4" w:space="0" w:color="auto"/>
              <w:left w:val="single" w:sz="4" w:space="0" w:color="auto"/>
              <w:bottom w:val="single" w:sz="4" w:space="0" w:color="auto"/>
              <w:right w:val="single" w:sz="4" w:space="0" w:color="auto"/>
            </w:tcBorders>
            <w:vAlign w:val="center"/>
            <w:hideMark/>
          </w:tcPr>
          <w:p w14:paraId="79B6E1D8"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28%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030D22"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£3,869,119</w:t>
            </w:r>
          </w:p>
        </w:tc>
        <w:tc>
          <w:tcPr>
            <w:tcW w:w="855" w:type="dxa"/>
            <w:tcBorders>
              <w:top w:val="single" w:sz="4" w:space="0" w:color="auto"/>
              <w:left w:val="single" w:sz="4" w:space="0" w:color="auto"/>
              <w:bottom w:val="single" w:sz="4" w:space="0" w:color="auto"/>
              <w:right w:val="single" w:sz="4" w:space="0" w:color="auto"/>
            </w:tcBorders>
            <w:vAlign w:val="center"/>
            <w:hideMark/>
          </w:tcPr>
          <w:p w14:paraId="281BC052"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36%</w:t>
            </w:r>
          </w:p>
        </w:tc>
      </w:tr>
      <w:tr w:rsidR="00302D0E" w:rsidRPr="001E05F5" w14:paraId="72A00755" w14:textId="77777777" w:rsidTr="00000E6E">
        <w:trPr>
          <w:gridAfter w:val="1"/>
          <w:wAfter w:w="6" w:type="dxa"/>
        </w:trPr>
        <w:tc>
          <w:tcPr>
            <w:tcW w:w="1885" w:type="dxa"/>
            <w:tcBorders>
              <w:top w:val="single" w:sz="4" w:space="0" w:color="auto"/>
              <w:left w:val="single" w:sz="4" w:space="0" w:color="auto"/>
              <w:bottom w:val="single" w:sz="4" w:space="0" w:color="auto"/>
              <w:right w:val="single" w:sz="4" w:space="0" w:color="auto"/>
            </w:tcBorders>
            <w:vAlign w:val="center"/>
            <w:hideMark/>
          </w:tcPr>
          <w:p w14:paraId="6913A862" w14:textId="77777777" w:rsidR="00302D0E" w:rsidRPr="001E05F5" w:rsidRDefault="00302D0E" w:rsidP="007B1086">
            <w:pPr>
              <w:spacing w:before="60" w:after="60" w:line="240" w:lineRule="auto"/>
              <w:rPr>
                <w:rFonts w:ascii="Arial" w:hAnsi="Arial" w:cs="Arial"/>
              </w:rPr>
            </w:pPr>
            <w:r w:rsidRPr="001E05F5">
              <w:rPr>
                <w:rFonts w:ascii="Arial" w:hAnsi="Arial" w:cs="Arial"/>
                <w:kern w:val="24"/>
              </w:rPr>
              <w:t xml:space="preserve">Redcar &amp; Cleveland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322F9EA1"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kern w:val="24"/>
              </w:rPr>
              <w:t>£5,281,723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E556F6"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43%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45F85A"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£4,461,639</w:t>
            </w:r>
          </w:p>
        </w:tc>
        <w:tc>
          <w:tcPr>
            <w:tcW w:w="991" w:type="dxa"/>
            <w:tcBorders>
              <w:top w:val="single" w:sz="4" w:space="0" w:color="auto"/>
              <w:left w:val="single" w:sz="4" w:space="0" w:color="auto"/>
              <w:bottom w:val="single" w:sz="4" w:space="0" w:color="auto"/>
              <w:right w:val="single" w:sz="4" w:space="0" w:color="auto"/>
            </w:tcBorders>
            <w:vAlign w:val="center"/>
            <w:hideMark/>
          </w:tcPr>
          <w:p w14:paraId="6B557E7E"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39%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E293E5"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£5,169,295</w:t>
            </w:r>
          </w:p>
        </w:tc>
        <w:tc>
          <w:tcPr>
            <w:tcW w:w="855" w:type="dxa"/>
            <w:tcBorders>
              <w:top w:val="single" w:sz="4" w:space="0" w:color="auto"/>
              <w:left w:val="single" w:sz="4" w:space="0" w:color="auto"/>
              <w:bottom w:val="single" w:sz="4" w:space="0" w:color="auto"/>
              <w:right w:val="single" w:sz="4" w:space="0" w:color="auto"/>
            </w:tcBorders>
            <w:vAlign w:val="center"/>
            <w:hideMark/>
          </w:tcPr>
          <w:p w14:paraId="1450963B"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52%</w:t>
            </w:r>
          </w:p>
        </w:tc>
      </w:tr>
      <w:tr w:rsidR="00302D0E" w:rsidRPr="001E05F5" w14:paraId="504D6435" w14:textId="77777777" w:rsidTr="00000E6E">
        <w:trPr>
          <w:gridAfter w:val="1"/>
          <w:wAfter w:w="6" w:type="dxa"/>
        </w:trPr>
        <w:tc>
          <w:tcPr>
            <w:tcW w:w="1885" w:type="dxa"/>
            <w:tcBorders>
              <w:top w:val="single" w:sz="4" w:space="0" w:color="auto"/>
              <w:left w:val="single" w:sz="4" w:space="0" w:color="auto"/>
              <w:bottom w:val="single" w:sz="4" w:space="0" w:color="auto"/>
              <w:right w:val="single" w:sz="4" w:space="0" w:color="auto"/>
            </w:tcBorders>
            <w:vAlign w:val="center"/>
            <w:hideMark/>
          </w:tcPr>
          <w:p w14:paraId="00464709" w14:textId="77777777" w:rsidR="00302D0E" w:rsidRPr="001E05F5" w:rsidRDefault="00302D0E" w:rsidP="007B1086">
            <w:pPr>
              <w:spacing w:before="60" w:after="60" w:line="240" w:lineRule="auto"/>
              <w:rPr>
                <w:rFonts w:ascii="Arial" w:hAnsi="Arial" w:cs="Arial"/>
              </w:rPr>
            </w:pPr>
            <w:r w:rsidRPr="001E05F5">
              <w:rPr>
                <w:rFonts w:ascii="Arial" w:hAnsi="Arial" w:cs="Arial"/>
                <w:kern w:val="24"/>
              </w:rPr>
              <w:t xml:space="preserve">Stockton-on-Tees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31FE130"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kern w:val="24"/>
              </w:rPr>
              <w:t>£6,236,458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0EBBC5"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462172"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£6,015,219</w:t>
            </w:r>
          </w:p>
        </w:tc>
        <w:tc>
          <w:tcPr>
            <w:tcW w:w="991" w:type="dxa"/>
            <w:tcBorders>
              <w:top w:val="single" w:sz="4" w:space="0" w:color="auto"/>
              <w:left w:val="single" w:sz="4" w:space="0" w:color="auto"/>
              <w:bottom w:val="single" w:sz="4" w:space="0" w:color="auto"/>
              <w:right w:val="single" w:sz="4" w:space="0" w:color="auto"/>
            </w:tcBorders>
            <w:vAlign w:val="center"/>
            <w:hideMark/>
          </w:tcPr>
          <w:p w14:paraId="4E7E0B0C"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7AB622"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kern w:val="24"/>
              </w:rPr>
              <w:t>£6,806,005</w:t>
            </w:r>
          </w:p>
        </w:tc>
        <w:tc>
          <w:tcPr>
            <w:tcW w:w="855" w:type="dxa"/>
            <w:tcBorders>
              <w:top w:val="single" w:sz="4" w:space="0" w:color="auto"/>
              <w:left w:val="single" w:sz="4" w:space="0" w:color="auto"/>
              <w:bottom w:val="single" w:sz="4" w:space="0" w:color="auto"/>
              <w:right w:val="single" w:sz="4" w:space="0" w:color="auto"/>
            </w:tcBorders>
            <w:vAlign w:val="center"/>
            <w:hideMark/>
          </w:tcPr>
          <w:p w14:paraId="02AA09FA" w14:textId="77777777" w:rsidR="00302D0E" w:rsidRPr="001E05F5" w:rsidRDefault="00302D0E" w:rsidP="007B1086">
            <w:pPr>
              <w:spacing w:before="60" w:after="60" w:line="240" w:lineRule="auto"/>
              <w:jc w:val="center"/>
              <w:rPr>
                <w:rFonts w:ascii="Arial" w:hAnsi="Arial" w:cs="Arial"/>
                <w:kern w:val="24"/>
              </w:rPr>
            </w:pPr>
            <w:r w:rsidRPr="001E05F5">
              <w:rPr>
                <w:rFonts w:ascii="Arial" w:hAnsi="Arial" w:cs="Arial"/>
              </w:rPr>
              <w:t>31%</w:t>
            </w:r>
          </w:p>
        </w:tc>
      </w:tr>
      <w:tr w:rsidR="00302D0E" w:rsidRPr="001E05F5" w14:paraId="1C85E274" w14:textId="77777777" w:rsidTr="00000E6E">
        <w:trPr>
          <w:gridAfter w:val="1"/>
          <w:wAfter w:w="6" w:type="dxa"/>
          <w:trHeight w:val="568"/>
        </w:trPr>
        <w:tc>
          <w:tcPr>
            <w:tcW w:w="1885" w:type="dxa"/>
            <w:tcBorders>
              <w:top w:val="single" w:sz="4" w:space="0" w:color="auto"/>
              <w:left w:val="single" w:sz="4" w:space="0" w:color="auto"/>
              <w:bottom w:val="single" w:sz="4" w:space="0" w:color="auto"/>
              <w:right w:val="single" w:sz="4" w:space="0" w:color="auto"/>
            </w:tcBorders>
            <w:vAlign w:val="center"/>
            <w:hideMark/>
          </w:tcPr>
          <w:p w14:paraId="440A1B6D" w14:textId="77777777" w:rsidR="00302D0E" w:rsidRPr="001E05F5" w:rsidRDefault="00302D0E" w:rsidP="00302D0E">
            <w:pPr>
              <w:spacing w:after="0" w:line="240" w:lineRule="auto"/>
              <w:rPr>
                <w:rFonts w:ascii="Arial" w:hAnsi="Arial" w:cs="Arial"/>
                <w:b/>
              </w:rPr>
            </w:pPr>
            <w:r w:rsidRPr="001E05F5">
              <w:rPr>
                <w:rFonts w:ascii="Arial" w:hAnsi="Arial" w:cs="Arial"/>
                <w:b/>
                <w:kern w:val="24"/>
              </w:rPr>
              <w:t xml:space="preserve">Tees Valley </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2CAEABB" w14:textId="77777777" w:rsidR="00302D0E" w:rsidRPr="001E05F5" w:rsidRDefault="00302D0E" w:rsidP="00302D0E">
            <w:pPr>
              <w:spacing w:after="0" w:line="240" w:lineRule="auto"/>
              <w:jc w:val="center"/>
              <w:rPr>
                <w:rFonts w:ascii="Arial" w:hAnsi="Arial" w:cs="Arial"/>
                <w:b/>
              </w:rPr>
            </w:pPr>
            <w:r w:rsidRPr="001E05F5">
              <w:rPr>
                <w:rFonts w:ascii="Arial" w:hAnsi="Arial" w:cs="Arial"/>
                <w:b/>
                <w:bCs/>
                <w:kern w:val="24"/>
              </w:rPr>
              <w:t>£22,520,848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9BE25F" w14:textId="77777777" w:rsidR="00302D0E" w:rsidRPr="001E05F5" w:rsidRDefault="00302D0E" w:rsidP="00302D0E">
            <w:pPr>
              <w:spacing w:after="0" w:line="240" w:lineRule="auto"/>
              <w:jc w:val="center"/>
              <w:rPr>
                <w:rFonts w:ascii="Arial" w:hAnsi="Arial" w:cs="Arial"/>
                <w:b/>
              </w:rPr>
            </w:pPr>
            <w:r w:rsidRPr="001E05F5">
              <w:rPr>
                <w:rFonts w:ascii="Arial" w:hAnsi="Arial" w:cs="Arial"/>
                <w:b/>
                <w:bCs/>
              </w:rPr>
              <w:t>29%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483990" w14:textId="77777777" w:rsidR="00302D0E" w:rsidRPr="001E05F5" w:rsidRDefault="00302D0E" w:rsidP="00302D0E">
            <w:pPr>
              <w:spacing w:after="0" w:line="240" w:lineRule="auto"/>
              <w:jc w:val="center"/>
              <w:rPr>
                <w:rFonts w:ascii="Arial" w:hAnsi="Arial" w:cs="Arial"/>
                <w:b/>
                <w:bCs/>
                <w:kern w:val="24"/>
              </w:rPr>
            </w:pPr>
            <w:r w:rsidRPr="001E05F5">
              <w:rPr>
                <w:rFonts w:ascii="Arial" w:hAnsi="Arial" w:cs="Arial"/>
                <w:b/>
                <w:bCs/>
                <w:kern w:val="24"/>
              </w:rPr>
              <w:t>£19,422,706 [£17,383,088*]</w:t>
            </w:r>
          </w:p>
        </w:tc>
        <w:tc>
          <w:tcPr>
            <w:tcW w:w="991" w:type="dxa"/>
            <w:tcBorders>
              <w:top w:val="single" w:sz="4" w:space="0" w:color="auto"/>
              <w:left w:val="single" w:sz="4" w:space="0" w:color="auto"/>
              <w:bottom w:val="single" w:sz="4" w:space="0" w:color="auto"/>
              <w:right w:val="single" w:sz="4" w:space="0" w:color="auto"/>
            </w:tcBorders>
            <w:vAlign w:val="center"/>
            <w:hideMark/>
          </w:tcPr>
          <w:p w14:paraId="1DD54E76" w14:textId="77777777" w:rsidR="00302D0E" w:rsidRPr="001E05F5" w:rsidRDefault="00302D0E" w:rsidP="00302D0E">
            <w:pPr>
              <w:spacing w:after="0" w:line="240" w:lineRule="auto"/>
              <w:jc w:val="center"/>
              <w:rPr>
                <w:rFonts w:ascii="Arial" w:hAnsi="Arial" w:cs="Arial"/>
                <w:b/>
                <w:bCs/>
                <w:kern w:val="24"/>
              </w:rPr>
            </w:pPr>
            <w:r w:rsidRPr="001E05F5">
              <w:rPr>
                <w:rFonts w:ascii="Arial" w:hAnsi="Arial" w:cs="Arial"/>
                <w:b/>
                <w:bCs/>
              </w:rPr>
              <w:t>28%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2FD62B" w14:textId="77777777" w:rsidR="00302D0E" w:rsidRPr="001E05F5" w:rsidRDefault="00302D0E" w:rsidP="00302D0E">
            <w:pPr>
              <w:spacing w:after="0" w:line="240" w:lineRule="auto"/>
              <w:jc w:val="center"/>
              <w:rPr>
                <w:rFonts w:ascii="Arial" w:hAnsi="Arial" w:cs="Arial"/>
                <w:b/>
                <w:bCs/>
                <w:kern w:val="24"/>
              </w:rPr>
            </w:pPr>
            <w:r w:rsidRPr="001E05F5">
              <w:rPr>
                <w:rFonts w:ascii="Arial" w:hAnsi="Arial" w:cs="Arial"/>
                <w:b/>
                <w:bCs/>
                <w:kern w:val="24"/>
              </w:rPr>
              <w:t>£22,830,340 [£20,790,722*]</w:t>
            </w:r>
          </w:p>
        </w:tc>
        <w:tc>
          <w:tcPr>
            <w:tcW w:w="855" w:type="dxa"/>
            <w:tcBorders>
              <w:top w:val="single" w:sz="4" w:space="0" w:color="auto"/>
              <w:left w:val="single" w:sz="4" w:space="0" w:color="auto"/>
              <w:bottom w:val="single" w:sz="4" w:space="0" w:color="auto"/>
              <w:right w:val="single" w:sz="4" w:space="0" w:color="auto"/>
            </w:tcBorders>
            <w:vAlign w:val="center"/>
            <w:hideMark/>
          </w:tcPr>
          <w:p w14:paraId="1537E62C" w14:textId="77777777" w:rsidR="00302D0E" w:rsidRPr="001E05F5" w:rsidRDefault="00302D0E" w:rsidP="00302D0E">
            <w:pPr>
              <w:spacing w:after="0" w:line="240" w:lineRule="auto"/>
              <w:jc w:val="center"/>
              <w:rPr>
                <w:rFonts w:ascii="Arial" w:hAnsi="Arial" w:cs="Arial"/>
                <w:b/>
                <w:bCs/>
                <w:kern w:val="24"/>
              </w:rPr>
            </w:pPr>
            <w:r w:rsidRPr="001E05F5">
              <w:rPr>
                <w:rFonts w:ascii="Arial" w:hAnsi="Arial" w:cs="Arial"/>
                <w:b/>
                <w:bCs/>
              </w:rPr>
              <w:t>40%</w:t>
            </w:r>
          </w:p>
        </w:tc>
      </w:tr>
      <w:tr w:rsidR="00000E6E" w:rsidRPr="00000E6E" w14:paraId="5FDB4414" w14:textId="77777777" w:rsidTr="00000E6E">
        <w:tc>
          <w:tcPr>
            <w:tcW w:w="8936" w:type="dxa"/>
            <w:gridSpan w:val="8"/>
            <w:tcBorders>
              <w:top w:val="single" w:sz="4" w:space="0" w:color="auto"/>
              <w:left w:val="single" w:sz="4" w:space="0" w:color="auto"/>
              <w:bottom w:val="single" w:sz="4" w:space="0" w:color="auto"/>
              <w:right w:val="single" w:sz="4" w:space="0" w:color="auto"/>
            </w:tcBorders>
            <w:vAlign w:val="center"/>
          </w:tcPr>
          <w:p w14:paraId="4AA2BA8B" w14:textId="363F1D6F" w:rsidR="00000E6E" w:rsidRPr="00000E6E" w:rsidRDefault="00000E6E" w:rsidP="00000E6E">
            <w:pPr>
              <w:spacing w:after="0" w:line="240" w:lineRule="auto"/>
              <w:rPr>
                <w:rFonts w:ascii="Arial" w:hAnsi="Arial" w:cs="Arial"/>
                <w:b/>
                <w:bCs/>
                <w:szCs w:val="20"/>
              </w:rPr>
            </w:pPr>
            <w:r w:rsidRPr="00000E6E">
              <w:rPr>
                <w:rFonts w:ascii="Arial" w:hAnsi="Arial" w:cs="Arial"/>
                <w:b/>
                <w:szCs w:val="20"/>
              </w:rPr>
              <w:t xml:space="preserve">* </w:t>
            </w:r>
            <w:r w:rsidRPr="00000E6E">
              <w:rPr>
                <w:rFonts w:ascii="Arial" w:hAnsi="Arial" w:cs="Arial"/>
                <w:szCs w:val="20"/>
              </w:rPr>
              <w:t>includes Garden waste service subscription net revenue</w:t>
            </w:r>
          </w:p>
        </w:tc>
      </w:tr>
    </w:tbl>
    <w:bookmarkEnd w:id="39"/>
    <w:p w14:paraId="574D4605" w14:textId="3CA770C3" w:rsidR="00302D0E" w:rsidRPr="001E05F5" w:rsidRDefault="00302D0E" w:rsidP="00302D0E">
      <w:pPr>
        <w:spacing w:before="240"/>
        <w:rPr>
          <w:b/>
        </w:rPr>
      </w:pPr>
      <w:r w:rsidRPr="001E05F5">
        <w:rPr>
          <w:b/>
        </w:rPr>
        <w:t>Table E</w:t>
      </w:r>
      <w:r w:rsidRPr="001E05F5">
        <w:rPr>
          <w:b/>
        </w:rPr>
        <w:fldChar w:fldCharType="begin"/>
      </w:r>
      <w:r w:rsidRPr="001E05F5">
        <w:rPr>
          <w:b/>
        </w:rPr>
        <w:instrText xml:space="preserve"> SEQ Table \* ARABIC </w:instrText>
      </w:r>
      <w:r w:rsidRPr="001E05F5">
        <w:rPr>
          <w:b/>
        </w:rPr>
        <w:fldChar w:fldCharType="separate"/>
      </w:r>
      <w:r w:rsidRPr="001E05F5">
        <w:rPr>
          <w:b/>
        </w:rPr>
        <w:t>2</w:t>
      </w:r>
      <w:r w:rsidRPr="001E05F5">
        <w:rPr>
          <w:b/>
        </w:rPr>
        <w:fldChar w:fldCharType="end"/>
      </w:r>
      <w:r w:rsidRPr="001E05F5">
        <w:rPr>
          <w:b/>
        </w:rPr>
        <w:t>: Number of front line roles required to operate collection service for all Councils</w:t>
      </w:r>
    </w:p>
    <w:tbl>
      <w:tblPr>
        <w:tblStyle w:val="TableGrid1"/>
        <w:tblW w:w="8217" w:type="dxa"/>
        <w:tblLook w:val="0420" w:firstRow="1" w:lastRow="0" w:firstColumn="0" w:lastColumn="0" w:noHBand="0" w:noVBand="1"/>
      </w:tblPr>
      <w:tblGrid>
        <w:gridCol w:w="1980"/>
        <w:gridCol w:w="1554"/>
        <w:gridCol w:w="2415"/>
        <w:gridCol w:w="2268"/>
      </w:tblGrid>
      <w:tr w:rsidR="00302D0E" w:rsidRPr="001E05F5" w14:paraId="699D374D" w14:textId="77777777" w:rsidTr="00571F2D">
        <w:trPr>
          <w:trHeight w:val="411"/>
          <w:tblHead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840B67" w14:textId="769DEB5D" w:rsidR="00302D0E" w:rsidRPr="001E05F5" w:rsidRDefault="00302D0E" w:rsidP="00302D0E">
            <w:pPr>
              <w:spacing w:after="0" w:line="240" w:lineRule="auto"/>
              <w:rPr>
                <w:rFonts w:ascii="Arial" w:hAnsi="Arial" w:cs="Arial"/>
              </w:rPr>
            </w:pPr>
            <w:bookmarkStart w:id="40" w:name="_Hlk516582779"/>
            <w:r w:rsidRPr="001E05F5">
              <w:rPr>
                <w:rFonts w:ascii="Arial" w:hAnsi="Arial" w:cs="Arial"/>
                <w:b/>
                <w:bCs/>
              </w:rPr>
              <w:t>Council</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B6433D" w14:textId="235B5702" w:rsidR="00302D0E" w:rsidRPr="001E05F5" w:rsidRDefault="00302D0E" w:rsidP="00302D0E">
            <w:pPr>
              <w:spacing w:after="0" w:line="240" w:lineRule="auto"/>
              <w:jc w:val="center"/>
              <w:rPr>
                <w:rFonts w:ascii="Arial" w:eastAsia="MS Mincho" w:hAnsi="Arial" w:cs="Arial"/>
                <w:b/>
                <w:sz w:val="22"/>
              </w:rPr>
            </w:pPr>
            <w:r w:rsidRPr="001E05F5">
              <w:rPr>
                <w:rFonts w:ascii="Arial" w:hAnsi="Arial" w:cs="Arial"/>
                <w:b/>
                <w:bCs/>
              </w:rPr>
              <w:t>Baseline</w:t>
            </w:r>
          </w:p>
        </w:tc>
        <w:tc>
          <w:tcPr>
            <w:tcW w:w="24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3E4650" w14:textId="77777777" w:rsidR="00302D0E" w:rsidRPr="001E05F5" w:rsidRDefault="00302D0E" w:rsidP="00302D0E">
            <w:pPr>
              <w:spacing w:after="0" w:line="240" w:lineRule="auto"/>
              <w:jc w:val="center"/>
              <w:rPr>
                <w:rFonts w:ascii="Arial" w:hAnsi="Arial" w:cs="Arial"/>
                <w:b/>
                <w:bCs/>
              </w:rPr>
            </w:pPr>
            <w:r w:rsidRPr="001E05F5">
              <w:rPr>
                <w:rFonts w:ascii="Arial" w:hAnsi="Arial" w:cs="Arial"/>
                <w:b/>
                <w:bCs/>
              </w:rPr>
              <w:t>High efficiency option</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1C4C05" w14:textId="0225A3E6" w:rsidR="00302D0E" w:rsidRPr="001E05F5" w:rsidRDefault="00302D0E" w:rsidP="00302D0E">
            <w:pPr>
              <w:spacing w:after="0" w:line="240" w:lineRule="auto"/>
              <w:jc w:val="center"/>
              <w:rPr>
                <w:rFonts w:ascii="Arial" w:hAnsi="Arial" w:cs="Arial"/>
                <w:b/>
                <w:bCs/>
              </w:rPr>
            </w:pPr>
            <w:r w:rsidRPr="001E05F5">
              <w:rPr>
                <w:rFonts w:ascii="Arial" w:hAnsi="Arial" w:cs="Arial"/>
                <w:b/>
                <w:bCs/>
              </w:rPr>
              <w:t>High recycling option</w:t>
            </w:r>
          </w:p>
        </w:tc>
      </w:tr>
      <w:tr w:rsidR="00302D0E" w:rsidRPr="001E05F5" w14:paraId="7047C17A"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4F5F7CDB" w14:textId="43D28018" w:rsidR="00302D0E" w:rsidRPr="001E05F5" w:rsidRDefault="00302D0E" w:rsidP="007B1086">
            <w:pPr>
              <w:spacing w:before="60" w:after="60" w:line="240" w:lineRule="auto"/>
              <w:rPr>
                <w:rFonts w:ascii="Arial" w:hAnsi="Arial" w:cs="Arial"/>
              </w:rPr>
            </w:pPr>
            <w:r w:rsidRPr="001E05F5">
              <w:rPr>
                <w:rFonts w:ascii="Arial" w:hAnsi="Arial" w:cs="Arial"/>
              </w:rPr>
              <w:t>Darlington</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D45CF61"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39</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A316C58"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42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1636F8"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53</w:t>
            </w:r>
          </w:p>
        </w:tc>
      </w:tr>
      <w:tr w:rsidR="00302D0E" w:rsidRPr="001E05F5" w14:paraId="3D82BB15"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0BD6490E" w14:textId="7D88E2AB" w:rsidR="00302D0E" w:rsidRPr="001E05F5" w:rsidRDefault="00302D0E" w:rsidP="007B1086">
            <w:pPr>
              <w:spacing w:before="60" w:after="60" w:line="240" w:lineRule="auto"/>
              <w:rPr>
                <w:rFonts w:ascii="Arial" w:hAnsi="Arial" w:cs="Arial"/>
              </w:rPr>
            </w:pPr>
            <w:r w:rsidRPr="001E05F5">
              <w:rPr>
                <w:rFonts w:ascii="Arial" w:hAnsi="Arial" w:cs="Arial"/>
              </w:rPr>
              <w:t>Hartlepool</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6BD4892"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36</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695E282"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1F440F"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46</w:t>
            </w:r>
          </w:p>
        </w:tc>
      </w:tr>
      <w:tr w:rsidR="00302D0E" w:rsidRPr="001E05F5" w14:paraId="7770D83F"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5B4FE0FB" w14:textId="076CC50B" w:rsidR="00302D0E" w:rsidRPr="001E05F5" w:rsidRDefault="00302D0E" w:rsidP="007B1086">
            <w:pPr>
              <w:spacing w:before="60" w:after="60" w:line="240" w:lineRule="auto"/>
              <w:rPr>
                <w:rFonts w:ascii="Arial" w:hAnsi="Arial" w:cs="Arial"/>
              </w:rPr>
            </w:pPr>
            <w:r w:rsidRPr="001E05F5">
              <w:rPr>
                <w:rFonts w:ascii="Arial" w:hAnsi="Arial" w:cs="Arial"/>
              </w:rPr>
              <w:t>Middlesbrough</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276DA8C"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57</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4AAECC6"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39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4A3F72"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54</w:t>
            </w:r>
          </w:p>
        </w:tc>
      </w:tr>
      <w:tr w:rsidR="00302D0E" w:rsidRPr="001E05F5" w14:paraId="5E467E45"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3F24CF04" w14:textId="72CFE17A" w:rsidR="00302D0E" w:rsidRPr="001E05F5" w:rsidRDefault="00302D0E" w:rsidP="007B1086">
            <w:pPr>
              <w:spacing w:before="60" w:after="60" w:line="240" w:lineRule="auto"/>
              <w:rPr>
                <w:rFonts w:ascii="Arial" w:hAnsi="Arial" w:cs="Arial"/>
              </w:rPr>
            </w:pPr>
            <w:r w:rsidRPr="001E05F5">
              <w:rPr>
                <w:rFonts w:ascii="Arial" w:hAnsi="Arial" w:cs="Arial"/>
              </w:rPr>
              <w:t>Redcar &amp; Cleveland</w:t>
            </w:r>
          </w:p>
        </w:tc>
        <w:tc>
          <w:tcPr>
            <w:tcW w:w="1554" w:type="dxa"/>
            <w:tcBorders>
              <w:top w:val="single" w:sz="4" w:space="0" w:color="auto"/>
              <w:left w:val="single" w:sz="4" w:space="0" w:color="auto"/>
              <w:bottom w:val="single" w:sz="4" w:space="0" w:color="auto"/>
              <w:right w:val="single" w:sz="4" w:space="0" w:color="auto"/>
            </w:tcBorders>
            <w:vAlign w:val="center"/>
            <w:hideMark/>
          </w:tcPr>
          <w:p w14:paraId="0226961D"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76</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D5978DB"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64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7E2462"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78</w:t>
            </w:r>
          </w:p>
        </w:tc>
      </w:tr>
      <w:tr w:rsidR="00302D0E" w:rsidRPr="001E05F5" w14:paraId="0DFBF98B"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5166FF85" w14:textId="2C0A0526" w:rsidR="00302D0E" w:rsidRPr="001E05F5" w:rsidRDefault="00302D0E" w:rsidP="007B1086">
            <w:pPr>
              <w:spacing w:before="60" w:after="60" w:line="240" w:lineRule="auto"/>
              <w:rPr>
                <w:rFonts w:ascii="Arial" w:hAnsi="Arial" w:cs="Arial"/>
              </w:rPr>
            </w:pPr>
            <w:r w:rsidRPr="001E05F5">
              <w:rPr>
                <w:rFonts w:ascii="Arial" w:hAnsi="Arial" w:cs="Arial"/>
              </w:rPr>
              <w:t>Stockton-on-Tees</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7658514"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91</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CAF4276"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78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955573"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98</w:t>
            </w:r>
          </w:p>
        </w:tc>
      </w:tr>
      <w:tr w:rsidR="00302D0E" w:rsidRPr="001E05F5" w14:paraId="1DB37EA2"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16A0F808" w14:textId="17745827" w:rsidR="00302D0E" w:rsidRPr="001E05F5" w:rsidRDefault="00302D0E" w:rsidP="007B1086">
            <w:pPr>
              <w:spacing w:before="60" w:after="60" w:line="240" w:lineRule="auto"/>
              <w:rPr>
                <w:rFonts w:ascii="Arial" w:hAnsi="Arial" w:cs="Arial"/>
                <w:b/>
              </w:rPr>
            </w:pPr>
            <w:r w:rsidRPr="001E05F5">
              <w:rPr>
                <w:rFonts w:ascii="Arial" w:hAnsi="Arial" w:cs="Arial"/>
                <w:b/>
              </w:rPr>
              <w:t>Tees Valley</w:t>
            </w:r>
          </w:p>
        </w:tc>
        <w:tc>
          <w:tcPr>
            <w:tcW w:w="1554" w:type="dxa"/>
            <w:tcBorders>
              <w:top w:val="single" w:sz="4" w:space="0" w:color="auto"/>
              <w:left w:val="single" w:sz="4" w:space="0" w:color="auto"/>
              <w:bottom w:val="single" w:sz="4" w:space="0" w:color="auto"/>
              <w:right w:val="single" w:sz="4" w:space="0" w:color="auto"/>
            </w:tcBorders>
            <w:vAlign w:val="center"/>
            <w:hideMark/>
          </w:tcPr>
          <w:p w14:paraId="3857F6AA" w14:textId="77777777" w:rsidR="00302D0E" w:rsidRPr="001E05F5" w:rsidRDefault="00302D0E" w:rsidP="007B1086">
            <w:pPr>
              <w:spacing w:before="60" w:after="60" w:line="240" w:lineRule="auto"/>
              <w:jc w:val="center"/>
              <w:rPr>
                <w:rFonts w:ascii="Arial" w:hAnsi="Arial" w:cs="Arial"/>
                <w:b/>
              </w:rPr>
            </w:pPr>
            <w:r w:rsidRPr="001E05F5">
              <w:rPr>
                <w:rFonts w:ascii="Arial" w:hAnsi="Arial" w:cs="Arial"/>
                <w:b/>
              </w:rPr>
              <w:t>299</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19EB499" w14:textId="77777777" w:rsidR="00302D0E" w:rsidRPr="001E05F5" w:rsidRDefault="00302D0E" w:rsidP="007B1086">
            <w:pPr>
              <w:spacing w:before="60" w:after="60" w:line="240" w:lineRule="auto"/>
              <w:jc w:val="center"/>
              <w:rPr>
                <w:rFonts w:ascii="Arial" w:hAnsi="Arial" w:cs="Arial"/>
                <w:b/>
                <w:bCs/>
              </w:rPr>
            </w:pPr>
            <w:r w:rsidRPr="001E05F5">
              <w:rPr>
                <w:rFonts w:ascii="Arial" w:hAnsi="Arial" w:cs="Arial"/>
                <w:b/>
                <w:bCs/>
              </w:rPr>
              <w:t>253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830714" w14:textId="77777777" w:rsidR="00302D0E" w:rsidRPr="001E05F5" w:rsidRDefault="00302D0E" w:rsidP="007B1086">
            <w:pPr>
              <w:spacing w:before="60" w:after="60" w:line="240" w:lineRule="auto"/>
              <w:jc w:val="center"/>
              <w:rPr>
                <w:rFonts w:ascii="Arial" w:hAnsi="Arial" w:cs="Arial"/>
                <w:b/>
                <w:bCs/>
              </w:rPr>
            </w:pPr>
            <w:r w:rsidRPr="001E05F5">
              <w:rPr>
                <w:rFonts w:ascii="Arial" w:hAnsi="Arial" w:cs="Arial"/>
                <w:b/>
                <w:bCs/>
              </w:rPr>
              <w:t>329</w:t>
            </w:r>
          </w:p>
        </w:tc>
      </w:tr>
    </w:tbl>
    <w:bookmarkEnd w:id="40"/>
    <w:p w14:paraId="4D19825E" w14:textId="520007EB" w:rsidR="00302D0E" w:rsidRPr="001E05F5" w:rsidRDefault="00302D0E" w:rsidP="00302D0E">
      <w:pPr>
        <w:spacing w:before="240"/>
        <w:rPr>
          <w:b/>
        </w:rPr>
      </w:pPr>
      <w:r w:rsidRPr="001E05F5">
        <w:rPr>
          <w:b/>
        </w:rPr>
        <w:t>Table E</w:t>
      </w:r>
      <w:r w:rsidRPr="001E05F5">
        <w:rPr>
          <w:b/>
        </w:rPr>
        <w:fldChar w:fldCharType="begin"/>
      </w:r>
      <w:r w:rsidRPr="001E05F5">
        <w:rPr>
          <w:b/>
        </w:rPr>
        <w:instrText xml:space="preserve"> SEQ Table \* ARABIC </w:instrText>
      </w:r>
      <w:r w:rsidRPr="001E05F5">
        <w:rPr>
          <w:b/>
        </w:rPr>
        <w:fldChar w:fldCharType="separate"/>
      </w:r>
      <w:r w:rsidRPr="001E05F5">
        <w:rPr>
          <w:b/>
        </w:rPr>
        <w:t>3</w:t>
      </w:r>
      <w:r w:rsidRPr="001E05F5">
        <w:rPr>
          <w:b/>
        </w:rPr>
        <w:fldChar w:fldCharType="end"/>
      </w:r>
      <w:r w:rsidRPr="001E05F5">
        <w:rPr>
          <w:b/>
        </w:rPr>
        <w:t xml:space="preserve"> Collection mileage, derived from KAT and inflated to 2027 projection (km)</w:t>
      </w:r>
    </w:p>
    <w:tbl>
      <w:tblPr>
        <w:tblStyle w:val="TableGrid1"/>
        <w:tblW w:w="8217" w:type="dxa"/>
        <w:tblLook w:val="0420" w:firstRow="1" w:lastRow="0" w:firstColumn="0" w:lastColumn="0" w:noHBand="0" w:noVBand="1"/>
      </w:tblPr>
      <w:tblGrid>
        <w:gridCol w:w="1980"/>
        <w:gridCol w:w="1554"/>
        <w:gridCol w:w="2415"/>
        <w:gridCol w:w="2268"/>
      </w:tblGrid>
      <w:tr w:rsidR="00302D0E" w:rsidRPr="001E05F5" w14:paraId="51B8D766" w14:textId="77777777" w:rsidTr="00571F2D">
        <w:trPr>
          <w:trHeight w:val="422"/>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AB2FE8" w14:textId="2DB14A9B" w:rsidR="00302D0E" w:rsidRPr="001E05F5" w:rsidRDefault="00302D0E" w:rsidP="00302D0E">
            <w:pPr>
              <w:spacing w:after="0" w:line="240" w:lineRule="auto"/>
              <w:rPr>
                <w:rFonts w:ascii="Arial" w:hAnsi="Arial" w:cs="Arial"/>
                <w:b/>
              </w:rPr>
            </w:pPr>
            <w:r w:rsidRPr="001E05F5">
              <w:rPr>
                <w:rFonts w:ascii="Arial" w:hAnsi="Arial" w:cs="Arial"/>
                <w:b/>
                <w:bCs/>
              </w:rPr>
              <w:t>Council</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59B65D" w14:textId="0587DC4D" w:rsidR="00302D0E" w:rsidRPr="001E05F5" w:rsidRDefault="00302D0E" w:rsidP="00302D0E">
            <w:pPr>
              <w:spacing w:after="0" w:line="240" w:lineRule="auto"/>
              <w:jc w:val="center"/>
              <w:rPr>
                <w:rFonts w:ascii="Arial" w:eastAsia="MS Mincho" w:hAnsi="Arial" w:cs="Arial"/>
                <w:b/>
                <w:sz w:val="22"/>
              </w:rPr>
            </w:pPr>
            <w:r w:rsidRPr="001E05F5">
              <w:rPr>
                <w:rFonts w:ascii="Arial" w:hAnsi="Arial" w:cs="Arial"/>
                <w:b/>
                <w:bCs/>
              </w:rPr>
              <w:t>Baseline</w:t>
            </w:r>
          </w:p>
        </w:tc>
        <w:tc>
          <w:tcPr>
            <w:tcW w:w="24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B5FAE2" w14:textId="77777777" w:rsidR="00302D0E" w:rsidRPr="001E05F5" w:rsidRDefault="00302D0E" w:rsidP="00302D0E">
            <w:pPr>
              <w:spacing w:after="0" w:line="240" w:lineRule="auto"/>
              <w:jc w:val="center"/>
              <w:rPr>
                <w:rFonts w:ascii="Arial" w:hAnsi="Arial" w:cs="Arial"/>
                <w:b/>
                <w:bCs/>
              </w:rPr>
            </w:pPr>
            <w:r w:rsidRPr="001E05F5">
              <w:rPr>
                <w:rFonts w:ascii="Arial" w:hAnsi="Arial" w:cs="Arial"/>
                <w:b/>
                <w:bCs/>
              </w:rPr>
              <w:t>High efficiency option</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667590" w14:textId="481B2E18" w:rsidR="00302D0E" w:rsidRPr="001E05F5" w:rsidRDefault="00302D0E" w:rsidP="00302D0E">
            <w:pPr>
              <w:spacing w:after="0" w:line="240" w:lineRule="auto"/>
              <w:jc w:val="center"/>
              <w:rPr>
                <w:rFonts w:ascii="Arial" w:hAnsi="Arial" w:cs="Arial"/>
                <w:b/>
                <w:bCs/>
              </w:rPr>
            </w:pPr>
            <w:r w:rsidRPr="001E05F5">
              <w:rPr>
                <w:rFonts w:ascii="Arial" w:hAnsi="Arial" w:cs="Arial"/>
                <w:b/>
                <w:bCs/>
              </w:rPr>
              <w:t>High recycling option</w:t>
            </w:r>
          </w:p>
        </w:tc>
      </w:tr>
      <w:tr w:rsidR="00302D0E" w:rsidRPr="001E05F5" w14:paraId="221326C5"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3B2C45D6" w14:textId="77777777" w:rsidR="00302D0E" w:rsidRPr="001E05F5" w:rsidRDefault="00302D0E" w:rsidP="007B1086">
            <w:pPr>
              <w:spacing w:before="60" w:after="60" w:line="240" w:lineRule="auto"/>
              <w:rPr>
                <w:rFonts w:ascii="Arial" w:hAnsi="Arial" w:cs="Arial"/>
              </w:rPr>
            </w:pPr>
            <w:r w:rsidRPr="001E05F5">
              <w:rPr>
                <w:rFonts w:ascii="Arial" w:hAnsi="Arial" w:cs="Arial"/>
              </w:rPr>
              <w:t xml:space="preserve">Darlington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C7FFE28"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342,029</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5460F16"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359,292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BD8E91"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492,353</w:t>
            </w:r>
          </w:p>
        </w:tc>
      </w:tr>
      <w:tr w:rsidR="00302D0E" w:rsidRPr="001E05F5" w14:paraId="4217EFA1"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53C32217" w14:textId="77777777" w:rsidR="00302D0E" w:rsidRPr="001E05F5" w:rsidRDefault="00302D0E" w:rsidP="007B1086">
            <w:pPr>
              <w:spacing w:before="60" w:after="60" w:line="240" w:lineRule="auto"/>
              <w:rPr>
                <w:rFonts w:ascii="Arial" w:hAnsi="Arial" w:cs="Arial"/>
              </w:rPr>
            </w:pPr>
            <w:r w:rsidRPr="001E05F5">
              <w:rPr>
                <w:rFonts w:ascii="Arial" w:hAnsi="Arial" w:cs="Arial"/>
              </w:rPr>
              <w:t xml:space="preserve">Hartlepool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FFFB3FA"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623,680</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FA8860B"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309,909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2B102A"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474,569</w:t>
            </w:r>
          </w:p>
        </w:tc>
      </w:tr>
      <w:tr w:rsidR="00302D0E" w:rsidRPr="001E05F5" w14:paraId="705D24FA"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2B50BB32" w14:textId="77777777" w:rsidR="00302D0E" w:rsidRPr="001E05F5" w:rsidRDefault="00302D0E" w:rsidP="007B1086">
            <w:pPr>
              <w:spacing w:before="60" w:after="60" w:line="240" w:lineRule="auto"/>
              <w:rPr>
                <w:rFonts w:ascii="Arial" w:hAnsi="Arial" w:cs="Arial"/>
              </w:rPr>
            </w:pPr>
            <w:r w:rsidRPr="001E05F5">
              <w:rPr>
                <w:rFonts w:ascii="Arial" w:hAnsi="Arial" w:cs="Arial"/>
              </w:rPr>
              <w:t xml:space="preserve">Middlesbrough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32A407C"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250,001</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6F8AE4A"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199,404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430D2B"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259,744</w:t>
            </w:r>
          </w:p>
        </w:tc>
      </w:tr>
      <w:tr w:rsidR="00302D0E" w:rsidRPr="001E05F5" w14:paraId="6E512BA4"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40607C69" w14:textId="77777777" w:rsidR="00302D0E" w:rsidRPr="001E05F5" w:rsidRDefault="00302D0E" w:rsidP="007B1086">
            <w:pPr>
              <w:spacing w:before="60" w:after="60" w:line="240" w:lineRule="auto"/>
              <w:rPr>
                <w:rFonts w:ascii="Arial" w:hAnsi="Arial" w:cs="Arial"/>
              </w:rPr>
            </w:pPr>
            <w:r w:rsidRPr="001E05F5">
              <w:rPr>
                <w:rFonts w:ascii="Arial" w:hAnsi="Arial" w:cs="Arial"/>
              </w:rPr>
              <w:t xml:space="preserve">Redcar &amp; Cleveland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091B012"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1,041,667</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01C79E9"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884,785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7D8B2D"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1,386,169</w:t>
            </w:r>
          </w:p>
        </w:tc>
      </w:tr>
      <w:tr w:rsidR="00302D0E" w:rsidRPr="001E05F5" w14:paraId="2F10DD07"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3B042931" w14:textId="77777777" w:rsidR="00302D0E" w:rsidRPr="001E05F5" w:rsidRDefault="00302D0E" w:rsidP="007B1086">
            <w:pPr>
              <w:spacing w:before="60" w:after="60" w:line="240" w:lineRule="auto"/>
              <w:rPr>
                <w:rFonts w:ascii="Arial" w:hAnsi="Arial" w:cs="Arial"/>
              </w:rPr>
            </w:pPr>
            <w:r w:rsidRPr="001E05F5">
              <w:rPr>
                <w:rFonts w:ascii="Arial" w:hAnsi="Arial" w:cs="Arial"/>
              </w:rPr>
              <w:t xml:space="preserve">Stockton-on-Tees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29AD04F5"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591,697</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DA401C5"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587,813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E4C971" w14:textId="77777777" w:rsidR="00302D0E" w:rsidRPr="001E05F5" w:rsidRDefault="00302D0E" w:rsidP="007B1086">
            <w:pPr>
              <w:spacing w:before="60" w:after="60" w:line="240" w:lineRule="auto"/>
              <w:jc w:val="center"/>
              <w:rPr>
                <w:rFonts w:ascii="Arial" w:hAnsi="Arial" w:cs="Arial"/>
              </w:rPr>
            </w:pPr>
            <w:r w:rsidRPr="001E05F5">
              <w:rPr>
                <w:rFonts w:ascii="Arial" w:hAnsi="Arial" w:cs="Arial"/>
              </w:rPr>
              <w:t>794,664</w:t>
            </w:r>
          </w:p>
        </w:tc>
      </w:tr>
      <w:tr w:rsidR="00302D0E" w:rsidRPr="001E05F5" w14:paraId="3CC6CC2F" w14:textId="77777777" w:rsidTr="00571F2D">
        <w:tc>
          <w:tcPr>
            <w:tcW w:w="1980" w:type="dxa"/>
            <w:tcBorders>
              <w:top w:val="single" w:sz="4" w:space="0" w:color="auto"/>
              <w:left w:val="single" w:sz="4" w:space="0" w:color="auto"/>
              <w:bottom w:val="single" w:sz="4" w:space="0" w:color="auto"/>
              <w:right w:val="single" w:sz="4" w:space="0" w:color="auto"/>
            </w:tcBorders>
            <w:vAlign w:val="center"/>
            <w:hideMark/>
          </w:tcPr>
          <w:p w14:paraId="34FC1B61" w14:textId="77777777" w:rsidR="00302D0E" w:rsidRPr="001E05F5" w:rsidRDefault="00302D0E" w:rsidP="007B1086">
            <w:pPr>
              <w:spacing w:before="60" w:after="60" w:line="240" w:lineRule="auto"/>
              <w:rPr>
                <w:rFonts w:ascii="Arial" w:hAnsi="Arial" w:cs="Arial"/>
                <w:b/>
              </w:rPr>
            </w:pPr>
            <w:r w:rsidRPr="001E05F5">
              <w:rPr>
                <w:rFonts w:ascii="Arial" w:hAnsi="Arial" w:cs="Arial"/>
                <w:b/>
              </w:rPr>
              <w:t xml:space="preserve">Tees Valley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6B316CE" w14:textId="77777777" w:rsidR="00302D0E" w:rsidRPr="001E05F5" w:rsidRDefault="00302D0E" w:rsidP="007B1086">
            <w:pPr>
              <w:spacing w:before="60" w:after="60" w:line="240" w:lineRule="auto"/>
              <w:jc w:val="center"/>
              <w:rPr>
                <w:rFonts w:ascii="Arial" w:hAnsi="Arial" w:cs="Arial"/>
                <w:b/>
              </w:rPr>
            </w:pPr>
            <w:r w:rsidRPr="001E05F5">
              <w:rPr>
                <w:rFonts w:ascii="Arial" w:hAnsi="Arial" w:cs="Arial"/>
                <w:b/>
              </w:rPr>
              <w:t>2,849,074</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F7EAA03" w14:textId="77777777" w:rsidR="00302D0E" w:rsidRPr="001E05F5" w:rsidRDefault="00302D0E" w:rsidP="007B1086">
            <w:pPr>
              <w:spacing w:before="60" w:after="60" w:line="240" w:lineRule="auto"/>
              <w:jc w:val="center"/>
              <w:rPr>
                <w:rFonts w:ascii="Arial" w:hAnsi="Arial" w:cs="Arial"/>
                <w:b/>
                <w:bCs/>
              </w:rPr>
            </w:pPr>
            <w:r w:rsidRPr="001E05F5">
              <w:rPr>
                <w:rFonts w:ascii="Arial" w:hAnsi="Arial" w:cs="Arial"/>
                <w:b/>
                <w:bCs/>
              </w:rPr>
              <w:t>2,341,204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4D1261" w14:textId="77777777" w:rsidR="00302D0E" w:rsidRPr="001E05F5" w:rsidRDefault="00302D0E" w:rsidP="007B1086">
            <w:pPr>
              <w:spacing w:before="60" w:after="60" w:line="240" w:lineRule="auto"/>
              <w:jc w:val="center"/>
              <w:rPr>
                <w:rFonts w:ascii="Arial" w:hAnsi="Arial" w:cs="Arial"/>
                <w:b/>
                <w:bCs/>
              </w:rPr>
            </w:pPr>
            <w:r w:rsidRPr="001E05F5">
              <w:rPr>
                <w:rFonts w:ascii="Arial" w:hAnsi="Arial" w:cs="Arial"/>
                <w:b/>
              </w:rPr>
              <w:t>3,407,500</w:t>
            </w:r>
          </w:p>
        </w:tc>
      </w:tr>
    </w:tbl>
    <w:p w14:paraId="274D433C" w14:textId="77777777" w:rsidR="00302D0E" w:rsidRPr="001E05F5" w:rsidRDefault="00302D0E" w:rsidP="00302D0E"/>
    <w:p w14:paraId="1EF723CF" w14:textId="77777777" w:rsidR="0052445E" w:rsidRPr="001E05F5" w:rsidRDefault="0052445E" w:rsidP="00A6210C">
      <w:pPr>
        <w:sectPr w:rsidR="0052445E" w:rsidRPr="001E05F5" w:rsidSect="001132F1">
          <w:pgSz w:w="11906" w:h="16838"/>
          <w:pgMar w:top="1440" w:right="1440" w:bottom="1440" w:left="1440" w:header="708" w:footer="708" w:gutter="0"/>
          <w:cols w:space="708"/>
          <w:docGrid w:linePitch="360"/>
        </w:sectPr>
      </w:pPr>
    </w:p>
    <w:p w14:paraId="0A256D95" w14:textId="77777777" w:rsidR="00704D50" w:rsidRPr="001E05F5" w:rsidRDefault="00704D50" w:rsidP="00704D50">
      <w:pPr>
        <w:pStyle w:val="Heading1"/>
        <w:numPr>
          <w:ilvl w:val="0"/>
          <w:numId w:val="0"/>
        </w:numPr>
        <w:ind w:left="850" w:hanging="850"/>
      </w:pPr>
      <w:bookmarkStart w:id="41" w:name="_Toc521426518"/>
      <w:r w:rsidRPr="001E05F5">
        <w:lastRenderedPageBreak/>
        <w:t xml:space="preserve">Appendix </w:t>
      </w:r>
      <w:r w:rsidR="00E7613F" w:rsidRPr="001E05F5">
        <w:t>F</w:t>
      </w:r>
      <w:r w:rsidRPr="001E05F5">
        <w:t>: Summary of waste flow model outputs</w:t>
      </w:r>
      <w:bookmarkEnd w:id="41"/>
    </w:p>
    <w:tbl>
      <w:tblPr>
        <w:tblW w:w="2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233"/>
        <w:gridCol w:w="1129"/>
        <w:gridCol w:w="867"/>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854"/>
        <w:gridCol w:w="13"/>
        <w:gridCol w:w="13"/>
      </w:tblGrid>
      <w:tr w:rsidR="009E7571" w:rsidRPr="001E05F5" w14:paraId="61DCD217"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58E99524"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1a (Baseline)</w:t>
            </w:r>
          </w:p>
        </w:tc>
        <w:tc>
          <w:tcPr>
            <w:tcW w:w="1129" w:type="dxa"/>
            <w:shd w:val="clear" w:color="auto" w:fill="D9D9D9" w:themeFill="background1" w:themeFillShade="D9"/>
            <w:noWrap/>
            <w:vAlign w:val="center"/>
            <w:hideMark/>
          </w:tcPr>
          <w:p w14:paraId="140B5FC5"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1365CC4E"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435B879B"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296E12C9"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7ED37BD0"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1241CFC1"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01CBD5E4"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03D936D7"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3F1993A0"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53413077"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06ED1D80"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519169ED"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52998C4D"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67A852B1"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3F793FA5"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298B73A3"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65DFEDC2"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5AB1187F"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5705A4FD"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0E976A7C"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67D6B240" w14:textId="77777777" w:rsidTr="00E20967">
        <w:trPr>
          <w:gridAfter w:val="2"/>
          <w:wAfter w:w="26" w:type="dxa"/>
          <w:trHeight w:val="288"/>
        </w:trPr>
        <w:tc>
          <w:tcPr>
            <w:tcW w:w="1028" w:type="dxa"/>
            <w:vMerge w:val="restart"/>
            <w:shd w:val="clear" w:color="auto" w:fill="auto"/>
            <w:vAlign w:val="center"/>
            <w:hideMark/>
          </w:tcPr>
          <w:p w14:paraId="6F749B49"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6776450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 xml:space="preserve">Total LACW arisings </w:t>
            </w:r>
          </w:p>
        </w:tc>
        <w:tc>
          <w:tcPr>
            <w:tcW w:w="1129" w:type="dxa"/>
            <w:shd w:val="clear" w:color="auto" w:fill="auto"/>
            <w:noWrap/>
            <w:vAlign w:val="center"/>
            <w:hideMark/>
          </w:tcPr>
          <w:p w14:paraId="3F4384D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1C4C481C"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3577146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34561F57"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66FD0C5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358,024</w:t>
            </w:r>
          </w:p>
        </w:tc>
        <w:tc>
          <w:tcPr>
            <w:tcW w:w="867" w:type="dxa"/>
            <w:gridSpan w:val="2"/>
            <w:shd w:val="clear" w:color="auto" w:fill="auto"/>
            <w:noWrap/>
            <w:vAlign w:val="center"/>
            <w:hideMark/>
          </w:tcPr>
          <w:p w14:paraId="14D0621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360,016</w:t>
            </w:r>
          </w:p>
        </w:tc>
        <w:tc>
          <w:tcPr>
            <w:tcW w:w="867" w:type="dxa"/>
            <w:gridSpan w:val="2"/>
            <w:shd w:val="clear" w:color="auto" w:fill="auto"/>
            <w:noWrap/>
            <w:vAlign w:val="center"/>
            <w:hideMark/>
          </w:tcPr>
          <w:p w14:paraId="194FF46F"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361,934</w:t>
            </w:r>
          </w:p>
        </w:tc>
        <w:tc>
          <w:tcPr>
            <w:tcW w:w="867" w:type="dxa"/>
            <w:gridSpan w:val="2"/>
            <w:shd w:val="clear" w:color="auto" w:fill="auto"/>
            <w:noWrap/>
            <w:vAlign w:val="center"/>
            <w:hideMark/>
          </w:tcPr>
          <w:p w14:paraId="2B61054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363,711</w:t>
            </w:r>
          </w:p>
        </w:tc>
        <w:tc>
          <w:tcPr>
            <w:tcW w:w="867" w:type="dxa"/>
            <w:gridSpan w:val="2"/>
            <w:shd w:val="clear" w:color="auto" w:fill="auto"/>
            <w:noWrap/>
            <w:vAlign w:val="center"/>
            <w:hideMark/>
          </w:tcPr>
          <w:p w14:paraId="4413CB5C"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365,511</w:t>
            </w:r>
          </w:p>
        </w:tc>
        <w:tc>
          <w:tcPr>
            <w:tcW w:w="867" w:type="dxa"/>
            <w:gridSpan w:val="2"/>
            <w:shd w:val="clear" w:color="auto" w:fill="auto"/>
            <w:noWrap/>
            <w:vAlign w:val="center"/>
            <w:hideMark/>
          </w:tcPr>
          <w:p w14:paraId="466D511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367,313</w:t>
            </w:r>
          </w:p>
        </w:tc>
        <w:tc>
          <w:tcPr>
            <w:tcW w:w="867" w:type="dxa"/>
            <w:gridSpan w:val="2"/>
            <w:shd w:val="clear" w:color="auto" w:fill="auto"/>
            <w:noWrap/>
            <w:vAlign w:val="center"/>
            <w:hideMark/>
          </w:tcPr>
          <w:p w14:paraId="6ACD33A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369,224</w:t>
            </w:r>
          </w:p>
        </w:tc>
        <w:tc>
          <w:tcPr>
            <w:tcW w:w="867" w:type="dxa"/>
            <w:gridSpan w:val="2"/>
            <w:shd w:val="clear" w:color="000000" w:fill="FFFFCC"/>
            <w:noWrap/>
            <w:vAlign w:val="center"/>
            <w:hideMark/>
          </w:tcPr>
          <w:p w14:paraId="5D42718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371,049</w:t>
            </w:r>
          </w:p>
        </w:tc>
        <w:tc>
          <w:tcPr>
            <w:tcW w:w="867" w:type="dxa"/>
            <w:gridSpan w:val="2"/>
            <w:shd w:val="clear" w:color="auto" w:fill="auto"/>
            <w:noWrap/>
            <w:vAlign w:val="center"/>
            <w:hideMark/>
          </w:tcPr>
          <w:p w14:paraId="5909C07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372,838</w:t>
            </w:r>
          </w:p>
        </w:tc>
        <w:tc>
          <w:tcPr>
            <w:tcW w:w="867" w:type="dxa"/>
            <w:gridSpan w:val="2"/>
            <w:shd w:val="clear" w:color="auto" w:fill="auto"/>
            <w:noWrap/>
            <w:vAlign w:val="center"/>
            <w:hideMark/>
          </w:tcPr>
          <w:p w14:paraId="6629D4E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374,567</w:t>
            </w:r>
          </w:p>
        </w:tc>
        <w:tc>
          <w:tcPr>
            <w:tcW w:w="867" w:type="dxa"/>
            <w:gridSpan w:val="2"/>
            <w:shd w:val="clear" w:color="auto" w:fill="auto"/>
            <w:noWrap/>
            <w:vAlign w:val="center"/>
            <w:hideMark/>
          </w:tcPr>
          <w:p w14:paraId="6DD9477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376,317</w:t>
            </w:r>
          </w:p>
        </w:tc>
        <w:tc>
          <w:tcPr>
            <w:tcW w:w="867" w:type="dxa"/>
            <w:gridSpan w:val="2"/>
            <w:shd w:val="clear" w:color="auto" w:fill="auto"/>
            <w:noWrap/>
            <w:vAlign w:val="center"/>
            <w:hideMark/>
          </w:tcPr>
          <w:p w14:paraId="43972D6B"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378,145</w:t>
            </w:r>
          </w:p>
        </w:tc>
        <w:tc>
          <w:tcPr>
            <w:tcW w:w="867" w:type="dxa"/>
            <w:gridSpan w:val="2"/>
            <w:shd w:val="clear" w:color="auto" w:fill="auto"/>
            <w:noWrap/>
            <w:vAlign w:val="center"/>
            <w:hideMark/>
          </w:tcPr>
          <w:p w14:paraId="19B63A84"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379,860</w:t>
            </w:r>
          </w:p>
        </w:tc>
        <w:tc>
          <w:tcPr>
            <w:tcW w:w="867" w:type="dxa"/>
            <w:gridSpan w:val="2"/>
            <w:shd w:val="clear" w:color="auto" w:fill="auto"/>
            <w:noWrap/>
            <w:vAlign w:val="center"/>
            <w:hideMark/>
          </w:tcPr>
          <w:p w14:paraId="7EEF88DB"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381,553</w:t>
            </w:r>
          </w:p>
        </w:tc>
        <w:tc>
          <w:tcPr>
            <w:tcW w:w="867" w:type="dxa"/>
            <w:gridSpan w:val="2"/>
            <w:shd w:val="clear" w:color="auto" w:fill="auto"/>
            <w:noWrap/>
            <w:vAlign w:val="center"/>
            <w:hideMark/>
          </w:tcPr>
          <w:p w14:paraId="46622E86"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383,138</w:t>
            </w:r>
          </w:p>
        </w:tc>
        <w:tc>
          <w:tcPr>
            <w:tcW w:w="867" w:type="dxa"/>
            <w:gridSpan w:val="2"/>
            <w:shd w:val="clear" w:color="auto" w:fill="auto"/>
            <w:noWrap/>
            <w:vAlign w:val="center"/>
            <w:hideMark/>
          </w:tcPr>
          <w:p w14:paraId="3F9F92FC"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384,737</w:t>
            </w:r>
          </w:p>
        </w:tc>
      </w:tr>
      <w:tr w:rsidR="009E7571" w:rsidRPr="001E05F5" w14:paraId="4AD46374" w14:textId="77777777" w:rsidTr="00E20967">
        <w:trPr>
          <w:gridAfter w:val="2"/>
          <w:wAfter w:w="26" w:type="dxa"/>
          <w:trHeight w:val="288"/>
        </w:trPr>
        <w:tc>
          <w:tcPr>
            <w:tcW w:w="1028" w:type="dxa"/>
            <w:vMerge/>
            <w:vAlign w:val="center"/>
            <w:hideMark/>
          </w:tcPr>
          <w:p w14:paraId="32811FE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EB10AC1"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08F645F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6AE5C806"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0C37851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48F9A76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2C97474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4295244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6E9CF927"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170F2CB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3C32BFA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01EEF70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4786C7F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33.9%</w:t>
            </w:r>
          </w:p>
        </w:tc>
        <w:tc>
          <w:tcPr>
            <w:tcW w:w="867" w:type="dxa"/>
            <w:gridSpan w:val="2"/>
            <w:shd w:val="clear" w:color="000000" w:fill="FFFFCC"/>
            <w:noWrap/>
            <w:vAlign w:val="center"/>
            <w:hideMark/>
          </w:tcPr>
          <w:p w14:paraId="18B1359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33.9%</w:t>
            </w:r>
          </w:p>
        </w:tc>
        <w:tc>
          <w:tcPr>
            <w:tcW w:w="867" w:type="dxa"/>
            <w:gridSpan w:val="2"/>
            <w:shd w:val="clear" w:color="auto" w:fill="auto"/>
            <w:noWrap/>
            <w:vAlign w:val="center"/>
            <w:hideMark/>
          </w:tcPr>
          <w:p w14:paraId="6161551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33.9%</w:t>
            </w:r>
          </w:p>
        </w:tc>
        <w:tc>
          <w:tcPr>
            <w:tcW w:w="867" w:type="dxa"/>
            <w:gridSpan w:val="2"/>
            <w:shd w:val="clear" w:color="auto" w:fill="auto"/>
            <w:noWrap/>
            <w:vAlign w:val="center"/>
            <w:hideMark/>
          </w:tcPr>
          <w:p w14:paraId="6E0B3E6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33.9%</w:t>
            </w:r>
          </w:p>
        </w:tc>
        <w:tc>
          <w:tcPr>
            <w:tcW w:w="867" w:type="dxa"/>
            <w:gridSpan w:val="2"/>
            <w:shd w:val="clear" w:color="auto" w:fill="auto"/>
            <w:noWrap/>
            <w:vAlign w:val="center"/>
            <w:hideMark/>
          </w:tcPr>
          <w:p w14:paraId="4065115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33.8%</w:t>
            </w:r>
          </w:p>
        </w:tc>
        <w:tc>
          <w:tcPr>
            <w:tcW w:w="867" w:type="dxa"/>
            <w:gridSpan w:val="2"/>
            <w:shd w:val="clear" w:color="auto" w:fill="auto"/>
            <w:noWrap/>
            <w:vAlign w:val="center"/>
            <w:hideMark/>
          </w:tcPr>
          <w:p w14:paraId="0056107E"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33.8%</w:t>
            </w:r>
          </w:p>
        </w:tc>
        <w:tc>
          <w:tcPr>
            <w:tcW w:w="867" w:type="dxa"/>
            <w:gridSpan w:val="2"/>
            <w:shd w:val="clear" w:color="auto" w:fill="auto"/>
            <w:noWrap/>
            <w:vAlign w:val="center"/>
            <w:hideMark/>
          </w:tcPr>
          <w:p w14:paraId="00C370DE"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33.8%</w:t>
            </w:r>
          </w:p>
        </w:tc>
        <w:tc>
          <w:tcPr>
            <w:tcW w:w="867" w:type="dxa"/>
            <w:gridSpan w:val="2"/>
            <w:shd w:val="clear" w:color="auto" w:fill="auto"/>
            <w:noWrap/>
            <w:vAlign w:val="center"/>
            <w:hideMark/>
          </w:tcPr>
          <w:p w14:paraId="64CDA5E0"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33.8%</w:t>
            </w:r>
          </w:p>
        </w:tc>
        <w:tc>
          <w:tcPr>
            <w:tcW w:w="867" w:type="dxa"/>
            <w:gridSpan w:val="2"/>
            <w:shd w:val="clear" w:color="auto" w:fill="auto"/>
            <w:noWrap/>
            <w:vAlign w:val="center"/>
            <w:hideMark/>
          </w:tcPr>
          <w:p w14:paraId="4061778D"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33.7%</w:t>
            </w:r>
          </w:p>
        </w:tc>
        <w:tc>
          <w:tcPr>
            <w:tcW w:w="867" w:type="dxa"/>
            <w:gridSpan w:val="2"/>
            <w:shd w:val="clear" w:color="auto" w:fill="auto"/>
            <w:noWrap/>
            <w:vAlign w:val="center"/>
            <w:hideMark/>
          </w:tcPr>
          <w:p w14:paraId="76342DF7"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33.7%</w:t>
            </w:r>
          </w:p>
        </w:tc>
      </w:tr>
      <w:tr w:rsidR="009E7571" w:rsidRPr="001E05F5" w14:paraId="45C1F4EF" w14:textId="77777777" w:rsidTr="00E20967">
        <w:trPr>
          <w:gridAfter w:val="2"/>
          <w:wAfter w:w="26" w:type="dxa"/>
          <w:trHeight w:val="288"/>
        </w:trPr>
        <w:tc>
          <w:tcPr>
            <w:tcW w:w="1028" w:type="dxa"/>
            <w:vMerge/>
            <w:vAlign w:val="center"/>
            <w:hideMark/>
          </w:tcPr>
          <w:p w14:paraId="50F8236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A72B3C1"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7D66D9B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6DBA285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9A9EDD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7171EE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D09B28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811BAE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B3B368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49A7F5B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4B8A666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787D0CB"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061BEE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000000" w:fill="FFFFCC"/>
            <w:noWrap/>
            <w:vAlign w:val="center"/>
            <w:hideMark/>
          </w:tcPr>
          <w:p w14:paraId="50E4B45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0E7A8C6"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0242AA1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2841F6D"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1B68818"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428FD5FD"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23111983"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620C7ED2"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146A1C07"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89.5%</w:t>
            </w:r>
          </w:p>
        </w:tc>
      </w:tr>
      <w:tr w:rsidR="009E7571" w:rsidRPr="001E05F5" w14:paraId="2707C6CD" w14:textId="77777777" w:rsidTr="00E20967">
        <w:trPr>
          <w:gridAfter w:val="2"/>
          <w:wAfter w:w="26" w:type="dxa"/>
          <w:trHeight w:val="288"/>
        </w:trPr>
        <w:tc>
          <w:tcPr>
            <w:tcW w:w="1028" w:type="dxa"/>
            <w:vMerge/>
            <w:vAlign w:val="center"/>
            <w:hideMark/>
          </w:tcPr>
          <w:p w14:paraId="3CDE5E19"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9CCC6C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7FF307D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29801EB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3263BA7"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5CCB36DB"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7B044A7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6EA8DDE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5F56466D"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0BD8BD8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14EAEC0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136CE30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534DE59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000000" w:fill="FFFFCC"/>
            <w:noWrap/>
            <w:vAlign w:val="center"/>
            <w:hideMark/>
          </w:tcPr>
          <w:p w14:paraId="6E6CF91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659BD1A6"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25C6AA7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5185826C"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09E94D1E"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5640303E"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7787AB23"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2ABD5E25"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3DD171CE"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6.1%</w:t>
            </w:r>
          </w:p>
        </w:tc>
      </w:tr>
      <w:tr w:rsidR="00D46E3A" w:rsidRPr="001E05F5" w14:paraId="45C1EA79" w14:textId="77777777" w:rsidTr="00E20967">
        <w:trPr>
          <w:trHeight w:val="288"/>
        </w:trPr>
        <w:tc>
          <w:tcPr>
            <w:tcW w:w="1028" w:type="dxa"/>
            <w:vMerge/>
            <w:vAlign w:val="center"/>
            <w:hideMark/>
          </w:tcPr>
          <w:p w14:paraId="70626D94"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B12AF12"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28" w:type="dxa"/>
            <w:gridSpan w:val="40"/>
            <w:shd w:val="clear" w:color="auto" w:fill="auto"/>
            <w:noWrap/>
            <w:vAlign w:val="center"/>
            <w:hideMark/>
          </w:tcPr>
          <w:p w14:paraId="66D2F305"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£505,244,769 </w:t>
            </w:r>
          </w:p>
        </w:tc>
      </w:tr>
      <w:tr w:rsidR="009E7571" w:rsidRPr="001E05F5" w14:paraId="03940213"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3B4CEDC3"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1b</w:t>
            </w:r>
          </w:p>
        </w:tc>
        <w:tc>
          <w:tcPr>
            <w:tcW w:w="1129" w:type="dxa"/>
            <w:shd w:val="clear" w:color="auto" w:fill="D9D9D9" w:themeFill="background1" w:themeFillShade="D9"/>
            <w:noWrap/>
            <w:vAlign w:val="center"/>
            <w:hideMark/>
          </w:tcPr>
          <w:p w14:paraId="114A2876"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64FEE971"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224E8532"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39588D48"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1530CCE3"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0C30F01E"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4C786598"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41DE68FC"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0C6E738D"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0453A033"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17356BF1"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777AC4DB"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3BDEEA43"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71CDEAF9"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03BC3C1C" w14:textId="77777777" w:rsidR="009E7571" w:rsidRPr="001E05F5" w:rsidRDefault="009E7571" w:rsidP="000B6808">
            <w:pPr>
              <w:spacing w:after="0" w:line="240" w:lineRule="auto"/>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675AB624"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1E0A7738"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128C67A7"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2F713002"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244B9B5D" w14:textId="77777777" w:rsidR="009E7571" w:rsidRPr="001E05F5" w:rsidRDefault="009E7571" w:rsidP="009E7571">
            <w:pPr>
              <w:spacing w:after="0" w:line="240" w:lineRule="auto"/>
              <w:jc w:val="center"/>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1F550D39" w14:textId="77777777" w:rsidTr="00E20967">
        <w:trPr>
          <w:gridAfter w:val="2"/>
          <w:wAfter w:w="26" w:type="dxa"/>
          <w:trHeight w:val="288"/>
        </w:trPr>
        <w:tc>
          <w:tcPr>
            <w:tcW w:w="1028" w:type="dxa"/>
            <w:vMerge w:val="restart"/>
            <w:shd w:val="clear" w:color="auto" w:fill="auto"/>
            <w:vAlign w:val="center"/>
            <w:hideMark/>
          </w:tcPr>
          <w:p w14:paraId="60204AB9"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51DF816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 xml:space="preserve">Total LACW arisings </w:t>
            </w:r>
          </w:p>
        </w:tc>
        <w:tc>
          <w:tcPr>
            <w:tcW w:w="1129" w:type="dxa"/>
            <w:shd w:val="clear" w:color="auto" w:fill="auto"/>
            <w:noWrap/>
            <w:vAlign w:val="center"/>
            <w:hideMark/>
          </w:tcPr>
          <w:p w14:paraId="067469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3B078F4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2C0F96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6D0581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074140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358,024</w:t>
            </w:r>
          </w:p>
        </w:tc>
        <w:tc>
          <w:tcPr>
            <w:tcW w:w="867" w:type="dxa"/>
            <w:gridSpan w:val="2"/>
            <w:shd w:val="clear" w:color="auto" w:fill="auto"/>
            <w:noWrap/>
            <w:vAlign w:val="center"/>
            <w:hideMark/>
          </w:tcPr>
          <w:p w14:paraId="6D5B0F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360,016</w:t>
            </w:r>
          </w:p>
        </w:tc>
        <w:tc>
          <w:tcPr>
            <w:tcW w:w="867" w:type="dxa"/>
            <w:gridSpan w:val="2"/>
            <w:shd w:val="clear" w:color="auto" w:fill="auto"/>
            <w:noWrap/>
            <w:vAlign w:val="center"/>
            <w:hideMark/>
          </w:tcPr>
          <w:p w14:paraId="5980CF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361,934</w:t>
            </w:r>
          </w:p>
        </w:tc>
        <w:tc>
          <w:tcPr>
            <w:tcW w:w="867" w:type="dxa"/>
            <w:gridSpan w:val="2"/>
            <w:shd w:val="clear" w:color="auto" w:fill="auto"/>
            <w:noWrap/>
            <w:vAlign w:val="center"/>
            <w:hideMark/>
          </w:tcPr>
          <w:p w14:paraId="3DA807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363,711</w:t>
            </w:r>
          </w:p>
        </w:tc>
        <w:tc>
          <w:tcPr>
            <w:tcW w:w="867" w:type="dxa"/>
            <w:gridSpan w:val="2"/>
            <w:shd w:val="clear" w:color="auto" w:fill="auto"/>
            <w:noWrap/>
            <w:vAlign w:val="center"/>
            <w:hideMark/>
          </w:tcPr>
          <w:p w14:paraId="723A75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365,511</w:t>
            </w:r>
          </w:p>
        </w:tc>
        <w:tc>
          <w:tcPr>
            <w:tcW w:w="867" w:type="dxa"/>
            <w:gridSpan w:val="2"/>
            <w:shd w:val="clear" w:color="auto" w:fill="auto"/>
            <w:noWrap/>
            <w:vAlign w:val="center"/>
            <w:hideMark/>
          </w:tcPr>
          <w:p w14:paraId="47CAB9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367,313</w:t>
            </w:r>
          </w:p>
        </w:tc>
        <w:tc>
          <w:tcPr>
            <w:tcW w:w="867" w:type="dxa"/>
            <w:gridSpan w:val="2"/>
            <w:shd w:val="clear" w:color="auto" w:fill="auto"/>
            <w:noWrap/>
            <w:vAlign w:val="center"/>
            <w:hideMark/>
          </w:tcPr>
          <w:p w14:paraId="474B6E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369,224</w:t>
            </w:r>
          </w:p>
        </w:tc>
        <w:tc>
          <w:tcPr>
            <w:tcW w:w="867" w:type="dxa"/>
            <w:gridSpan w:val="2"/>
            <w:shd w:val="clear" w:color="auto" w:fill="FFFFCC"/>
            <w:noWrap/>
            <w:vAlign w:val="center"/>
            <w:hideMark/>
          </w:tcPr>
          <w:p w14:paraId="33E7513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371,049</w:t>
            </w:r>
          </w:p>
        </w:tc>
        <w:tc>
          <w:tcPr>
            <w:tcW w:w="867" w:type="dxa"/>
            <w:gridSpan w:val="2"/>
            <w:shd w:val="clear" w:color="auto" w:fill="auto"/>
            <w:noWrap/>
            <w:vAlign w:val="center"/>
            <w:hideMark/>
          </w:tcPr>
          <w:p w14:paraId="4C22BC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372,838</w:t>
            </w:r>
          </w:p>
        </w:tc>
        <w:tc>
          <w:tcPr>
            <w:tcW w:w="867" w:type="dxa"/>
            <w:gridSpan w:val="2"/>
            <w:shd w:val="clear" w:color="auto" w:fill="auto"/>
            <w:noWrap/>
            <w:vAlign w:val="center"/>
            <w:hideMark/>
          </w:tcPr>
          <w:p w14:paraId="6B9398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374,567</w:t>
            </w:r>
          </w:p>
        </w:tc>
        <w:tc>
          <w:tcPr>
            <w:tcW w:w="867" w:type="dxa"/>
            <w:gridSpan w:val="2"/>
            <w:shd w:val="clear" w:color="auto" w:fill="auto"/>
            <w:noWrap/>
            <w:vAlign w:val="center"/>
            <w:hideMark/>
          </w:tcPr>
          <w:p w14:paraId="185054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376,317</w:t>
            </w:r>
          </w:p>
        </w:tc>
        <w:tc>
          <w:tcPr>
            <w:tcW w:w="867" w:type="dxa"/>
            <w:gridSpan w:val="2"/>
            <w:shd w:val="clear" w:color="auto" w:fill="auto"/>
            <w:noWrap/>
            <w:vAlign w:val="center"/>
            <w:hideMark/>
          </w:tcPr>
          <w:p w14:paraId="5CD144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378,145</w:t>
            </w:r>
          </w:p>
        </w:tc>
        <w:tc>
          <w:tcPr>
            <w:tcW w:w="867" w:type="dxa"/>
            <w:gridSpan w:val="2"/>
            <w:shd w:val="clear" w:color="auto" w:fill="auto"/>
            <w:noWrap/>
            <w:vAlign w:val="center"/>
            <w:hideMark/>
          </w:tcPr>
          <w:p w14:paraId="633877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379,860</w:t>
            </w:r>
          </w:p>
        </w:tc>
        <w:tc>
          <w:tcPr>
            <w:tcW w:w="867" w:type="dxa"/>
            <w:gridSpan w:val="2"/>
            <w:shd w:val="clear" w:color="auto" w:fill="auto"/>
            <w:noWrap/>
            <w:vAlign w:val="center"/>
            <w:hideMark/>
          </w:tcPr>
          <w:p w14:paraId="083E20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381,553</w:t>
            </w:r>
          </w:p>
        </w:tc>
        <w:tc>
          <w:tcPr>
            <w:tcW w:w="867" w:type="dxa"/>
            <w:gridSpan w:val="2"/>
            <w:shd w:val="clear" w:color="auto" w:fill="auto"/>
            <w:noWrap/>
            <w:vAlign w:val="center"/>
            <w:hideMark/>
          </w:tcPr>
          <w:p w14:paraId="52605303"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383,138</w:t>
            </w:r>
          </w:p>
        </w:tc>
        <w:tc>
          <w:tcPr>
            <w:tcW w:w="867" w:type="dxa"/>
            <w:gridSpan w:val="2"/>
            <w:shd w:val="clear" w:color="auto" w:fill="auto"/>
            <w:noWrap/>
            <w:vAlign w:val="center"/>
            <w:hideMark/>
          </w:tcPr>
          <w:p w14:paraId="545D6E15"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384,737</w:t>
            </w:r>
          </w:p>
        </w:tc>
      </w:tr>
      <w:tr w:rsidR="009E7571" w:rsidRPr="001E05F5" w14:paraId="1D9BF51D" w14:textId="77777777" w:rsidTr="00E20967">
        <w:trPr>
          <w:gridAfter w:val="2"/>
          <w:wAfter w:w="26" w:type="dxa"/>
          <w:trHeight w:val="288"/>
        </w:trPr>
        <w:tc>
          <w:tcPr>
            <w:tcW w:w="1028" w:type="dxa"/>
            <w:vMerge/>
            <w:vAlign w:val="center"/>
            <w:hideMark/>
          </w:tcPr>
          <w:p w14:paraId="1CE9054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27BFF6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5A03173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439EADA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9782E7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529A71ED"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0A1178E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5B56F2C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31ADA2F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6D52180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016FA746"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3370D1D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0A2FF64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FFFFCC"/>
            <w:noWrap/>
            <w:vAlign w:val="center"/>
            <w:hideMark/>
          </w:tcPr>
          <w:p w14:paraId="6D081C2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6B2E081B"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5FF9F1E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12C26C76"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47C7A529"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5117FBDF"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20267C05"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7F7095C4"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1D2E8B1F"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33.9%</w:t>
            </w:r>
          </w:p>
        </w:tc>
      </w:tr>
      <w:tr w:rsidR="009E7571" w:rsidRPr="001E05F5" w14:paraId="040BA4DA" w14:textId="77777777" w:rsidTr="00E20967">
        <w:trPr>
          <w:gridAfter w:val="2"/>
          <w:wAfter w:w="26" w:type="dxa"/>
          <w:trHeight w:val="288"/>
        </w:trPr>
        <w:tc>
          <w:tcPr>
            <w:tcW w:w="1028" w:type="dxa"/>
            <w:vMerge/>
            <w:vAlign w:val="center"/>
            <w:hideMark/>
          </w:tcPr>
          <w:p w14:paraId="03170CA4"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64C9E6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6465E9C7"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34C65AA6"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890669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6BCE2B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67512B0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FEC115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0E613A9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4311E82F"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1051C6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C207B2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652092A7"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FFFFCC"/>
            <w:noWrap/>
            <w:vAlign w:val="center"/>
            <w:hideMark/>
          </w:tcPr>
          <w:p w14:paraId="2DA6FF9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7AA70A8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754CE23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218F694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15C63756"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7045ABB7"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3BD984A4"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22C2567B"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147C6A6D"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93.4%</w:t>
            </w:r>
          </w:p>
        </w:tc>
      </w:tr>
      <w:tr w:rsidR="009E7571" w:rsidRPr="001E05F5" w14:paraId="69289409" w14:textId="77777777" w:rsidTr="00E20967">
        <w:trPr>
          <w:gridAfter w:val="2"/>
          <w:wAfter w:w="26" w:type="dxa"/>
          <w:trHeight w:val="288"/>
        </w:trPr>
        <w:tc>
          <w:tcPr>
            <w:tcW w:w="1028" w:type="dxa"/>
            <w:vMerge/>
            <w:vAlign w:val="center"/>
            <w:hideMark/>
          </w:tcPr>
          <w:p w14:paraId="4DBFFD1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95D102E"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624290B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2EB6E52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981916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AB4423C"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05DD08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1A150DD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4C0487F"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4FA9F8B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46B86B3D"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2BF6D15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36C8AED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FFFFCC"/>
            <w:noWrap/>
            <w:vAlign w:val="center"/>
            <w:hideMark/>
          </w:tcPr>
          <w:p w14:paraId="4BE88AE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3326ACF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6DC67E2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72E1C89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5AD9854C"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65DBAE37"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37B76C9E"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2CEADD0"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DEEB1D2"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3.8%</w:t>
            </w:r>
          </w:p>
        </w:tc>
      </w:tr>
      <w:tr w:rsidR="00D46E3A" w:rsidRPr="001E05F5" w14:paraId="0A27FD09" w14:textId="77777777" w:rsidTr="00E20967">
        <w:trPr>
          <w:trHeight w:val="288"/>
        </w:trPr>
        <w:tc>
          <w:tcPr>
            <w:tcW w:w="1028" w:type="dxa"/>
            <w:vMerge/>
            <w:vAlign w:val="center"/>
            <w:hideMark/>
          </w:tcPr>
          <w:p w14:paraId="54C419CD"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21EA2F8"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28" w:type="dxa"/>
            <w:gridSpan w:val="40"/>
            <w:shd w:val="clear" w:color="auto" w:fill="auto"/>
            <w:noWrap/>
            <w:vAlign w:val="center"/>
            <w:hideMark/>
          </w:tcPr>
          <w:p w14:paraId="6C5EC13C"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£514,479,309</w:t>
            </w:r>
          </w:p>
        </w:tc>
      </w:tr>
      <w:tr w:rsidR="009E7571" w:rsidRPr="001E05F5" w14:paraId="210742CA" w14:textId="77777777" w:rsidTr="00E20967">
        <w:trPr>
          <w:gridAfter w:val="2"/>
          <w:wAfter w:w="26" w:type="dxa"/>
          <w:trHeight w:val="288"/>
        </w:trPr>
        <w:tc>
          <w:tcPr>
            <w:tcW w:w="1028" w:type="dxa"/>
            <w:vMerge w:val="restart"/>
            <w:shd w:val="clear" w:color="auto" w:fill="auto"/>
            <w:vAlign w:val="center"/>
            <w:hideMark/>
          </w:tcPr>
          <w:p w14:paraId="3B22EB6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45ADC3E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36416DE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0723045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56AAFB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8E3A9BD"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0F3A29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DB10FAF"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CB3997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1128167"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DFB483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C0DA91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31BB12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FFFFCC"/>
            <w:noWrap/>
            <w:vAlign w:val="center"/>
            <w:hideMark/>
          </w:tcPr>
          <w:p w14:paraId="186876BF"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AA032BB"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EC73CB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C716ABC"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6188CEE"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6E37030"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E53A03A"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936B327"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283B017"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0.0%</w:t>
            </w:r>
          </w:p>
        </w:tc>
      </w:tr>
      <w:tr w:rsidR="009E7571" w:rsidRPr="001E05F5" w14:paraId="21FEC50F" w14:textId="77777777" w:rsidTr="00E20967">
        <w:trPr>
          <w:gridAfter w:val="2"/>
          <w:wAfter w:w="26" w:type="dxa"/>
          <w:trHeight w:val="288"/>
        </w:trPr>
        <w:tc>
          <w:tcPr>
            <w:tcW w:w="1028" w:type="dxa"/>
            <w:vMerge/>
            <w:vAlign w:val="center"/>
            <w:hideMark/>
          </w:tcPr>
          <w:p w14:paraId="2E9A107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776208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39CA0A6C"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6FE99F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066671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38C96B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37EFCB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9B2CE1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B98B2ED"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C1509E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E29108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86AB97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115A089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000000" w:fill="FFFFCC"/>
            <w:noWrap/>
            <w:vAlign w:val="center"/>
            <w:hideMark/>
          </w:tcPr>
          <w:p w14:paraId="4607393B"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1E2B59C3"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001F52B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4CB4741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41D6991B"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60BC879C"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3BAB4D9B"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35CCF64C"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131183ED"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0.2%</w:t>
            </w:r>
          </w:p>
        </w:tc>
      </w:tr>
      <w:tr w:rsidR="009E7571" w:rsidRPr="001E05F5" w14:paraId="152D9834" w14:textId="77777777" w:rsidTr="00E20967">
        <w:trPr>
          <w:gridAfter w:val="2"/>
          <w:wAfter w:w="26" w:type="dxa"/>
          <w:trHeight w:val="288"/>
        </w:trPr>
        <w:tc>
          <w:tcPr>
            <w:tcW w:w="1028" w:type="dxa"/>
            <w:vMerge/>
            <w:vAlign w:val="center"/>
            <w:hideMark/>
          </w:tcPr>
          <w:p w14:paraId="45DA9F8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F25BD2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 xml:space="preserve">4: Change in % recovery </w:t>
            </w:r>
          </w:p>
        </w:tc>
        <w:tc>
          <w:tcPr>
            <w:tcW w:w="1129" w:type="dxa"/>
            <w:shd w:val="clear" w:color="auto" w:fill="auto"/>
            <w:noWrap/>
            <w:vAlign w:val="center"/>
            <w:hideMark/>
          </w:tcPr>
          <w:p w14:paraId="15D752B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008D41ED"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626D5D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AE6BAE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09C0EE5"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DF45A2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232964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9BB1586"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935B4AF"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C6189D9"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34F20F5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000000" w:fill="FFFFCC"/>
            <w:noWrap/>
            <w:vAlign w:val="center"/>
            <w:hideMark/>
          </w:tcPr>
          <w:p w14:paraId="4544523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6912728C"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03C1670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2D99A52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7A607797"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61D8DA2F"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57372081"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78E6D01F"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49CB3E9B"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3.9%</w:t>
            </w:r>
          </w:p>
        </w:tc>
      </w:tr>
      <w:tr w:rsidR="009E7571" w:rsidRPr="001E05F5" w14:paraId="6A820DB3" w14:textId="77777777" w:rsidTr="00E20967">
        <w:trPr>
          <w:gridAfter w:val="2"/>
          <w:wAfter w:w="26" w:type="dxa"/>
          <w:trHeight w:val="288"/>
        </w:trPr>
        <w:tc>
          <w:tcPr>
            <w:tcW w:w="1028" w:type="dxa"/>
            <w:vMerge/>
            <w:vAlign w:val="center"/>
            <w:hideMark/>
          </w:tcPr>
          <w:p w14:paraId="1134B8D8"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EA3E18E"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 xml:space="preserve">5: Change in % landfill </w:t>
            </w:r>
          </w:p>
        </w:tc>
        <w:tc>
          <w:tcPr>
            <w:tcW w:w="1129" w:type="dxa"/>
            <w:shd w:val="clear" w:color="auto" w:fill="auto"/>
            <w:noWrap/>
            <w:vAlign w:val="center"/>
            <w:hideMark/>
          </w:tcPr>
          <w:p w14:paraId="6010C912"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EFE922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738C69F"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82871F1"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2A7FC86"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18F6F9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6B864DF"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B028C4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BCBCA97"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4280468"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1E3DE5DF"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000000" w:fill="FFFFCC"/>
            <w:noWrap/>
            <w:vAlign w:val="center"/>
            <w:hideMark/>
          </w:tcPr>
          <w:p w14:paraId="47A8588E"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205A1070"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3A354BCA"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29A95994" w14:textId="77777777" w:rsidR="000B6808" w:rsidRPr="001E05F5" w:rsidRDefault="000B6808" w:rsidP="000B6808">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60DE4A65"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4AD8F768"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00982E25"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692F015A"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4B53D793" w14:textId="77777777" w:rsidR="000B6808" w:rsidRPr="001E05F5" w:rsidRDefault="000B6808" w:rsidP="009E7571">
            <w:pPr>
              <w:spacing w:after="0" w:line="240" w:lineRule="auto"/>
              <w:jc w:val="center"/>
              <w:rPr>
                <w:rFonts w:cs="Arial"/>
                <w:color w:val="000000"/>
                <w:sz w:val="18"/>
                <w:szCs w:val="18"/>
                <w:lang w:eastAsia="en-GB"/>
              </w:rPr>
            </w:pPr>
            <w:r w:rsidRPr="001E05F5">
              <w:rPr>
                <w:rFonts w:cs="Arial"/>
                <w:color w:val="000000"/>
                <w:sz w:val="18"/>
                <w:szCs w:val="18"/>
                <w:lang w:eastAsia="en-GB"/>
              </w:rPr>
              <w:t>-2.3%</w:t>
            </w:r>
          </w:p>
        </w:tc>
      </w:tr>
      <w:tr w:rsidR="00D46E3A" w:rsidRPr="001E05F5" w14:paraId="6014344A" w14:textId="77777777" w:rsidTr="00E20967">
        <w:trPr>
          <w:gridAfter w:val="2"/>
          <w:wAfter w:w="26" w:type="dxa"/>
          <w:trHeight w:val="288"/>
        </w:trPr>
        <w:tc>
          <w:tcPr>
            <w:tcW w:w="1028" w:type="dxa"/>
            <w:vMerge/>
            <w:vAlign w:val="center"/>
            <w:hideMark/>
          </w:tcPr>
          <w:p w14:paraId="1A546A11"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375C014"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 xml:space="preserve">9: % change in NPV </w:t>
            </w:r>
          </w:p>
        </w:tc>
        <w:tc>
          <w:tcPr>
            <w:tcW w:w="17602" w:type="dxa"/>
            <w:gridSpan w:val="38"/>
            <w:shd w:val="clear" w:color="auto" w:fill="auto"/>
            <w:noWrap/>
            <w:vAlign w:val="center"/>
            <w:hideMark/>
          </w:tcPr>
          <w:p w14:paraId="4756980E"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1.8%</w:t>
            </w:r>
          </w:p>
        </w:tc>
      </w:tr>
      <w:tr w:rsidR="009E7571" w:rsidRPr="001E05F5" w14:paraId="54985C7F"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0226E79C"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1c</w:t>
            </w:r>
          </w:p>
        </w:tc>
        <w:tc>
          <w:tcPr>
            <w:tcW w:w="1129" w:type="dxa"/>
            <w:shd w:val="clear" w:color="auto" w:fill="D9D9D9" w:themeFill="background1" w:themeFillShade="D9"/>
            <w:noWrap/>
            <w:vAlign w:val="center"/>
            <w:hideMark/>
          </w:tcPr>
          <w:p w14:paraId="298FEE4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11B5639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76B9F54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5704E20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715F994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7B88333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33220A6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3BF6765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7926249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4757B2C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0A71DC4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4D1D3A4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7552B55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0104109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13FC609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5413745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096375B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47A743D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76E1A96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4A2DA82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041C4291" w14:textId="77777777" w:rsidTr="00E20967">
        <w:trPr>
          <w:gridAfter w:val="2"/>
          <w:wAfter w:w="26" w:type="dxa"/>
          <w:trHeight w:val="288"/>
        </w:trPr>
        <w:tc>
          <w:tcPr>
            <w:tcW w:w="1028" w:type="dxa"/>
            <w:vMerge w:val="restart"/>
            <w:shd w:val="clear" w:color="auto" w:fill="auto"/>
            <w:vAlign w:val="center"/>
            <w:hideMark/>
          </w:tcPr>
          <w:p w14:paraId="742151CB"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3D4BDAE6"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221970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4503EB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4275DF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3F0C61E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5913E4E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358,024</w:t>
            </w:r>
          </w:p>
        </w:tc>
        <w:tc>
          <w:tcPr>
            <w:tcW w:w="867" w:type="dxa"/>
            <w:gridSpan w:val="2"/>
            <w:shd w:val="clear" w:color="auto" w:fill="auto"/>
            <w:noWrap/>
            <w:vAlign w:val="center"/>
            <w:hideMark/>
          </w:tcPr>
          <w:p w14:paraId="6B416E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360,016</w:t>
            </w:r>
          </w:p>
        </w:tc>
        <w:tc>
          <w:tcPr>
            <w:tcW w:w="867" w:type="dxa"/>
            <w:gridSpan w:val="2"/>
            <w:shd w:val="clear" w:color="auto" w:fill="auto"/>
            <w:noWrap/>
            <w:vAlign w:val="center"/>
            <w:hideMark/>
          </w:tcPr>
          <w:p w14:paraId="4848467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361,934</w:t>
            </w:r>
          </w:p>
        </w:tc>
        <w:tc>
          <w:tcPr>
            <w:tcW w:w="867" w:type="dxa"/>
            <w:gridSpan w:val="2"/>
            <w:shd w:val="clear" w:color="auto" w:fill="auto"/>
            <w:noWrap/>
            <w:vAlign w:val="center"/>
            <w:hideMark/>
          </w:tcPr>
          <w:p w14:paraId="17C540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363,711</w:t>
            </w:r>
          </w:p>
        </w:tc>
        <w:tc>
          <w:tcPr>
            <w:tcW w:w="867" w:type="dxa"/>
            <w:gridSpan w:val="2"/>
            <w:shd w:val="clear" w:color="auto" w:fill="auto"/>
            <w:noWrap/>
            <w:vAlign w:val="center"/>
            <w:hideMark/>
          </w:tcPr>
          <w:p w14:paraId="055B15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365,511</w:t>
            </w:r>
          </w:p>
        </w:tc>
        <w:tc>
          <w:tcPr>
            <w:tcW w:w="867" w:type="dxa"/>
            <w:gridSpan w:val="2"/>
            <w:shd w:val="clear" w:color="auto" w:fill="auto"/>
            <w:noWrap/>
            <w:vAlign w:val="center"/>
            <w:hideMark/>
          </w:tcPr>
          <w:p w14:paraId="124F30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367,313</w:t>
            </w:r>
          </w:p>
        </w:tc>
        <w:tc>
          <w:tcPr>
            <w:tcW w:w="867" w:type="dxa"/>
            <w:gridSpan w:val="2"/>
            <w:shd w:val="clear" w:color="auto" w:fill="auto"/>
            <w:noWrap/>
            <w:vAlign w:val="center"/>
            <w:hideMark/>
          </w:tcPr>
          <w:p w14:paraId="02F272E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369,224</w:t>
            </w:r>
          </w:p>
        </w:tc>
        <w:tc>
          <w:tcPr>
            <w:tcW w:w="867" w:type="dxa"/>
            <w:gridSpan w:val="2"/>
            <w:shd w:val="clear" w:color="000000" w:fill="FFFFCC"/>
            <w:noWrap/>
            <w:vAlign w:val="center"/>
            <w:hideMark/>
          </w:tcPr>
          <w:p w14:paraId="2A2FEE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371,049</w:t>
            </w:r>
          </w:p>
        </w:tc>
        <w:tc>
          <w:tcPr>
            <w:tcW w:w="867" w:type="dxa"/>
            <w:gridSpan w:val="2"/>
            <w:shd w:val="clear" w:color="auto" w:fill="auto"/>
            <w:noWrap/>
            <w:vAlign w:val="center"/>
            <w:hideMark/>
          </w:tcPr>
          <w:p w14:paraId="0BCA522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372,838</w:t>
            </w:r>
          </w:p>
        </w:tc>
        <w:tc>
          <w:tcPr>
            <w:tcW w:w="867" w:type="dxa"/>
            <w:gridSpan w:val="2"/>
            <w:shd w:val="clear" w:color="auto" w:fill="auto"/>
            <w:noWrap/>
            <w:vAlign w:val="center"/>
            <w:hideMark/>
          </w:tcPr>
          <w:p w14:paraId="6BBEEF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374,567</w:t>
            </w:r>
          </w:p>
        </w:tc>
        <w:tc>
          <w:tcPr>
            <w:tcW w:w="867" w:type="dxa"/>
            <w:gridSpan w:val="2"/>
            <w:shd w:val="clear" w:color="auto" w:fill="auto"/>
            <w:noWrap/>
            <w:vAlign w:val="center"/>
            <w:hideMark/>
          </w:tcPr>
          <w:p w14:paraId="1701429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376,317</w:t>
            </w:r>
          </w:p>
        </w:tc>
        <w:tc>
          <w:tcPr>
            <w:tcW w:w="867" w:type="dxa"/>
            <w:gridSpan w:val="2"/>
            <w:shd w:val="clear" w:color="auto" w:fill="auto"/>
            <w:noWrap/>
            <w:vAlign w:val="center"/>
            <w:hideMark/>
          </w:tcPr>
          <w:p w14:paraId="2664759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378,145</w:t>
            </w:r>
          </w:p>
        </w:tc>
        <w:tc>
          <w:tcPr>
            <w:tcW w:w="867" w:type="dxa"/>
            <w:gridSpan w:val="2"/>
            <w:shd w:val="clear" w:color="auto" w:fill="auto"/>
            <w:noWrap/>
            <w:vAlign w:val="center"/>
            <w:hideMark/>
          </w:tcPr>
          <w:p w14:paraId="770020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379,860</w:t>
            </w:r>
          </w:p>
        </w:tc>
        <w:tc>
          <w:tcPr>
            <w:tcW w:w="867" w:type="dxa"/>
            <w:gridSpan w:val="2"/>
            <w:shd w:val="clear" w:color="auto" w:fill="auto"/>
            <w:noWrap/>
            <w:vAlign w:val="center"/>
            <w:hideMark/>
          </w:tcPr>
          <w:p w14:paraId="5AF68D5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381,553</w:t>
            </w:r>
          </w:p>
        </w:tc>
        <w:tc>
          <w:tcPr>
            <w:tcW w:w="867" w:type="dxa"/>
            <w:gridSpan w:val="2"/>
            <w:shd w:val="clear" w:color="auto" w:fill="auto"/>
            <w:noWrap/>
            <w:vAlign w:val="center"/>
            <w:hideMark/>
          </w:tcPr>
          <w:p w14:paraId="3F98559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383,138</w:t>
            </w:r>
          </w:p>
        </w:tc>
        <w:tc>
          <w:tcPr>
            <w:tcW w:w="867" w:type="dxa"/>
            <w:gridSpan w:val="2"/>
            <w:shd w:val="clear" w:color="auto" w:fill="auto"/>
            <w:noWrap/>
            <w:vAlign w:val="center"/>
            <w:hideMark/>
          </w:tcPr>
          <w:p w14:paraId="52182A5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384,737</w:t>
            </w:r>
          </w:p>
        </w:tc>
      </w:tr>
      <w:tr w:rsidR="009E7571" w:rsidRPr="001E05F5" w14:paraId="21E0F455" w14:textId="77777777" w:rsidTr="00E20967">
        <w:trPr>
          <w:gridAfter w:val="2"/>
          <w:wAfter w:w="26" w:type="dxa"/>
          <w:trHeight w:val="288"/>
        </w:trPr>
        <w:tc>
          <w:tcPr>
            <w:tcW w:w="1028" w:type="dxa"/>
            <w:vMerge/>
            <w:vAlign w:val="center"/>
            <w:hideMark/>
          </w:tcPr>
          <w:p w14:paraId="4B325FAF"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68DA07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625160D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66FD557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1FC3F6D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BE17C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547912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43CB6D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6E2CBD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457A15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77AABE3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6C50110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56A9491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000000" w:fill="FFFFCC"/>
            <w:noWrap/>
            <w:vAlign w:val="center"/>
            <w:hideMark/>
          </w:tcPr>
          <w:p w14:paraId="376545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43292DE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1DD2B2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372767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7DBF0E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25A42E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269FF6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61BB6B9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6E1B217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33.9%</w:t>
            </w:r>
          </w:p>
        </w:tc>
      </w:tr>
      <w:tr w:rsidR="009E7571" w:rsidRPr="001E05F5" w14:paraId="5CB3F649" w14:textId="77777777" w:rsidTr="00E20967">
        <w:trPr>
          <w:gridAfter w:val="2"/>
          <w:wAfter w:w="26" w:type="dxa"/>
          <w:trHeight w:val="288"/>
        </w:trPr>
        <w:tc>
          <w:tcPr>
            <w:tcW w:w="1028" w:type="dxa"/>
            <w:vMerge/>
            <w:vAlign w:val="center"/>
            <w:hideMark/>
          </w:tcPr>
          <w:p w14:paraId="4E0A29A2"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6EC1400"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59C830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6FF0B3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001156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43644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0F171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6990A9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6DB1B3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55442C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36774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2F8EE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c>
          <w:tcPr>
            <w:tcW w:w="867" w:type="dxa"/>
            <w:gridSpan w:val="2"/>
            <w:shd w:val="clear" w:color="auto" w:fill="auto"/>
            <w:noWrap/>
            <w:vAlign w:val="center"/>
            <w:hideMark/>
          </w:tcPr>
          <w:p w14:paraId="42DFEB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c>
          <w:tcPr>
            <w:tcW w:w="867" w:type="dxa"/>
            <w:gridSpan w:val="2"/>
            <w:shd w:val="clear" w:color="000000" w:fill="FFFFCC"/>
            <w:noWrap/>
            <w:vAlign w:val="center"/>
            <w:hideMark/>
          </w:tcPr>
          <w:p w14:paraId="236891C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c>
          <w:tcPr>
            <w:tcW w:w="867" w:type="dxa"/>
            <w:gridSpan w:val="2"/>
            <w:shd w:val="clear" w:color="auto" w:fill="auto"/>
            <w:noWrap/>
            <w:vAlign w:val="center"/>
            <w:hideMark/>
          </w:tcPr>
          <w:p w14:paraId="7DADF3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65.0%</w:t>
            </w:r>
          </w:p>
        </w:tc>
        <w:tc>
          <w:tcPr>
            <w:tcW w:w="867" w:type="dxa"/>
            <w:gridSpan w:val="2"/>
            <w:shd w:val="clear" w:color="auto" w:fill="auto"/>
            <w:noWrap/>
            <w:vAlign w:val="center"/>
            <w:hideMark/>
          </w:tcPr>
          <w:p w14:paraId="155175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65.0%</w:t>
            </w:r>
          </w:p>
        </w:tc>
        <w:tc>
          <w:tcPr>
            <w:tcW w:w="867" w:type="dxa"/>
            <w:gridSpan w:val="2"/>
            <w:shd w:val="clear" w:color="auto" w:fill="auto"/>
            <w:noWrap/>
            <w:vAlign w:val="center"/>
            <w:hideMark/>
          </w:tcPr>
          <w:p w14:paraId="71113D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65.0%</w:t>
            </w:r>
          </w:p>
        </w:tc>
        <w:tc>
          <w:tcPr>
            <w:tcW w:w="867" w:type="dxa"/>
            <w:gridSpan w:val="2"/>
            <w:shd w:val="clear" w:color="auto" w:fill="auto"/>
            <w:noWrap/>
            <w:vAlign w:val="center"/>
            <w:hideMark/>
          </w:tcPr>
          <w:p w14:paraId="3D8409B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65.0%</w:t>
            </w:r>
          </w:p>
        </w:tc>
        <w:tc>
          <w:tcPr>
            <w:tcW w:w="867" w:type="dxa"/>
            <w:gridSpan w:val="2"/>
            <w:shd w:val="clear" w:color="auto" w:fill="auto"/>
            <w:noWrap/>
            <w:vAlign w:val="center"/>
            <w:hideMark/>
          </w:tcPr>
          <w:p w14:paraId="0D76C1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65.1%</w:t>
            </w:r>
          </w:p>
        </w:tc>
        <w:tc>
          <w:tcPr>
            <w:tcW w:w="867" w:type="dxa"/>
            <w:gridSpan w:val="2"/>
            <w:shd w:val="clear" w:color="auto" w:fill="auto"/>
            <w:noWrap/>
            <w:vAlign w:val="center"/>
            <w:hideMark/>
          </w:tcPr>
          <w:p w14:paraId="1FEB030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65.1%</w:t>
            </w:r>
          </w:p>
        </w:tc>
        <w:tc>
          <w:tcPr>
            <w:tcW w:w="867" w:type="dxa"/>
            <w:gridSpan w:val="2"/>
            <w:shd w:val="clear" w:color="auto" w:fill="auto"/>
            <w:noWrap/>
            <w:vAlign w:val="center"/>
            <w:hideMark/>
          </w:tcPr>
          <w:p w14:paraId="15E0ED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65.1%</w:t>
            </w:r>
          </w:p>
        </w:tc>
        <w:tc>
          <w:tcPr>
            <w:tcW w:w="867" w:type="dxa"/>
            <w:gridSpan w:val="2"/>
            <w:shd w:val="clear" w:color="auto" w:fill="auto"/>
            <w:noWrap/>
            <w:vAlign w:val="center"/>
            <w:hideMark/>
          </w:tcPr>
          <w:p w14:paraId="71080B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65.1%</w:t>
            </w:r>
          </w:p>
        </w:tc>
      </w:tr>
      <w:tr w:rsidR="009E7571" w:rsidRPr="001E05F5" w14:paraId="571A46A7" w14:textId="77777777" w:rsidTr="00E20967">
        <w:trPr>
          <w:gridAfter w:val="2"/>
          <w:wAfter w:w="26" w:type="dxa"/>
          <w:trHeight w:val="288"/>
        </w:trPr>
        <w:tc>
          <w:tcPr>
            <w:tcW w:w="1028" w:type="dxa"/>
            <w:vMerge/>
            <w:vAlign w:val="center"/>
            <w:hideMark/>
          </w:tcPr>
          <w:p w14:paraId="7EFC28A8"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AB0A29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5559D0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71ACE5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10FE77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0D2A8E4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4A1487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A6584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13932D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10580C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1CEC9F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3CA05B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20.2%</w:t>
            </w:r>
          </w:p>
        </w:tc>
        <w:tc>
          <w:tcPr>
            <w:tcW w:w="867" w:type="dxa"/>
            <w:gridSpan w:val="2"/>
            <w:shd w:val="clear" w:color="auto" w:fill="auto"/>
            <w:noWrap/>
            <w:vAlign w:val="center"/>
            <w:hideMark/>
          </w:tcPr>
          <w:p w14:paraId="6ED0BF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20.2%</w:t>
            </w:r>
          </w:p>
        </w:tc>
        <w:tc>
          <w:tcPr>
            <w:tcW w:w="867" w:type="dxa"/>
            <w:gridSpan w:val="2"/>
            <w:shd w:val="clear" w:color="000000" w:fill="FFFFCC"/>
            <w:noWrap/>
            <w:vAlign w:val="center"/>
            <w:hideMark/>
          </w:tcPr>
          <w:p w14:paraId="5960FE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20.2%</w:t>
            </w:r>
          </w:p>
        </w:tc>
        <w:tc>
          <w:tcPr>
            <w:tcW w:w="867" w:type="dxa"/>
            <w:gridSpan w:val="2"/>
            <w:shd w:val="clear" w:color="auto" w:fill="auto"/>
            <w:noWrap/>
            <w:vAlign w:val="center"/>
            <w:hideMark/>
          </w:tcPr>
          <w:p w14:paraId="790FA4D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20.2%</w:t>
            </w:r>
          </w:p>
        </w:tc>
        <w:tc>
          <w:tcPr>
            <w:tcW w:w="867" w:type="dxa"/>
            <w:gridSpan w:val="2"/>
            <w:shd w:val="clear" w:color="auto" w:fill="auto"/>
            <w:noWrap/>
            <w:vAlign w:val="center"/>
            <w:hideMark/>
          </w:tcPr>
          <w:p w14:paraId="683415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20.2%</w:t>
            </w:r>
          </w:p>
        </w:tc>
        <w:tc>
          <w:tcPr>
            <w:tcW w:w="867" w:type="dxa"/>
            <w:gridSpan w:val="2"/>
            <w:shd w:val="clear" w:color="auto" w:fill="auto"/>
            <w:noWrap/>
            <w:vAlign w:val="center"/>
            <w:hideMark/>
          </w:tcPr>
          <w:p w14:paraId="3135A58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20.2%</w:t>
            </w:r>
          </w:p>
        </w:tc>
        <w:tc>
          <w:tcPr>
            <w:tcW w:w="867" w:type="dxa"/>
            <w:gridSpan w:val="2"/>
            <w:shd w:val="clear" w:color="auto" w:fill="auto"/>
            <w:noWrap/>
            <w:vAlign w:val="center"/>
            <w:hideMark/>
          </w:tcPr>
          <w:p w14:paraId="721B10A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20.3%</w:t>
            </w:r>
          </w:p>
        </w:tc>
        <w:tc>
          <w:tcPr>
            <w:tcW w:w="867" w:type="dxa"/>
            <w:gridSpan w:val="2"/>
            <w:shd w:val="clear" w:color="auto" w:fill="auto"/>
            <w:noWrap/>
            <w:vAlign w:val="center"/>
            <w:hideMark/>
          </w:tcPr>
          <w:p w14:paraId="135A48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20.3%</w:t>
            </w:r>
          </w:p>
        </w:tc>
        <w:tc>
          <w:tcPr>
            <w:tcW w:w="867" w:type="dxa"/>
            <w:gridSpan w:val="2"/>
            <w:shd w:val="clear" w:color="auto" w:fill="auto"/>
            <w:noWrap/>
            <w:vAlign w:val="center"/>
            <w:hideMark/>
          </w:tcPr>
          <w:p w14:paraId="098B31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20.3%</w:t>
            </w:r>
          </w:p>
        </w:tc>
        <w:tc>
          <w:tcPr>
            <w:tcW w:w="867" w:type="dxa"/>
            <w:gridSpan w:val="2"/>
            <w:shd w:val="clear" w:color="auto" w:fill="auto"/>
            <w:noWrap/>
            <w:vAlign w:val="center"/>
            <w:hideMark/>
          </w:tcPr>
          <w:p w14:paraId="3BED61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20.3%</w:t>
            </w:r>
          </w:p>
        </w:tc>
        <w:tc>
          <w:tcPr>
            <w:tcW w:w="867" w:type="dxa"/>
            <w:gridSpan w:val="2"/>
            <w:shd w:val="clear" w:color="auto" w:fill="auto"/>
            <w:noWrap/>
            <w:vAlign w:val="center"/>
            <w:hideMark/>
          </w:tcPr>
          <w:p w14:paraId="1CB7ED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20.3%</w:t>
            </w:r>
          </w:p>
        </w:tc>
      </w:tr>
      <w:tr w:rsidR="00D46E3A" w:rsidRPr="001E05F5" w14:paraId="5B67D0EE" w14:textId="77777777" w:rsidTr="00E20967">
        <w:trPr>
          <w:gridAfter w:val="1"/>
          <w:wAfter w:w="13" w:type="dxa"/>
          <w:trHeight w:val="288"/>
        </w:trPr>
        <w:tc>
          <w:tcPr>
            <w:tcW w:w="1028" w:type="dxa"/>
            <w:vMerge/>
            <w:vAlign w:val="center"/>
            <w:hideMark/>
          </w:tcPr>
          <w:p w14:paraId="26155926"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C09D089"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3F91E76B"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£494,885,562</w:t>
            </w:r>
          </w:p>
        </w:tc>
      </w:tr>
      <w:tr w:rsidR="009E7571" w:rsidRPr="001E05F5" w14:paraId="12262DD6" w14:textId="77777777" w:rsidTr="00E20967">
        <w:trPr>
          <w:gridAfter w:val="2"/>
          <w:wAfter w:w="26" w:type="dxa"/>
          <w:trHeight w:val="288"/>
        </w:trPr>
        <w:tc>
          <w:tcPr>
            <w:tcW w:w="1028" w:type="dxa"/>
            <w:vMerge w:val="restart"/>
            <w:shd w:val="clear" w:color="auto" w:fill="auto"/>
            <w:vAlign w:val="center"/>
            <w:hideMark/>
          </w:tcPr>
          <w:p w14:paraId="38C72B3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4BD2381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5ABDE8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429BA7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8684B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42445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E9143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5C54D3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D2F2F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6301F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F34ED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C77FCF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23094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000000" w:fill="FFFFCC"/>
            <w:noWrap/>
            <w:vAlign w:val="center"/>
            <w:hideMark/>
          </w:tcPr>
          <w:p w14:paraId="1CC68D3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8247B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AA3E7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CEB49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9786F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C683E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633F2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1D8AB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03311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r>
      <w:tr w:rsidR="009E7571" w:rsidRPr="001E05F5" w14:paraId="6337986D" w14:textId="77777777" w:rsidTr="00E20967">
        <w:trPr>
          <w:gridAfter w:val="2"/>
          <w:wAfter w:w="26" w:type="dxa"/>
          <w:trHeight w:val="288"/>
        </w:trPr>
        <w:tc>
          <w:tcPr>
            <w:tcW w:w="1028" w:type="dxa"/>
            <w:vMerge/>
            <w:vAlign w:val="center"/>
            <w:hideMark/>
          </w:tcPr>
          <w:p w14:paraId="5DB91959"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10E446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3B63BBF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C2E358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3C7D3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40712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E4D716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C04DBE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1760CE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8DAEDA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1DB64A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8B022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183689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000000" w:fill="FFFFCC"/>
            <w:noWrap/>
            <w:vAlign w:val="center"/>
            <w:hideMark/>
          </w:tcPr>
          <w:p w14:paraId="7F3A28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752C6D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446CEF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2220F3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6520F7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3CBA4F0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5275C3C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0AE3E6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64210E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r>
      <w:tr w:rsidR="009E7571" w:rsidRPr="001E05F5" w14:paraId="145DB316" w14:textId="77777777" w:rsidTr="00E20967">
        <w:trPr>
          <w:gridAfter w:val="2"/>
          <w:wAfter w:w="26" w:type="dxa"/>
          <w:trHeight w:val="288"/>
        </w:trPr>
        <w:tc>
          <w:tcPr>
            <w:tcW w:w="1028" w:type="dxa"/>
            <w:vMerge/>
            <w:vAlign w:val="center"/>
            <w:hideMark/>
          </w:tcPr>
          <w:p w14:paraId="66DF74B2"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58CCE7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25D9AA7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A6D34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A8AB9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6F93A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237FD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905C9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E01F3D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BF38A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90D32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A511E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auto" w:fill="auto"/>
            <w:noWrap/>
            <w:vAlign w:val="center"/>
            <w:hideMark/>
          </w:tcPr>
          <w:p w14:paraId="250462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000000" w:fill="FFFFCC"/>
            <w:noWrap/>
            <w:vAlign w:val="center"/>
            <w:hideMark/>
          </w:tcPr>
          <w:p w14:paraId="345656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auto" w:fill="auto"/>
            <w:noWrap/>
            <w:vAlign w:val="center"/>
            <w:hideMark/>
          </w:tcPr>
          <w:p w14:paraId="6F4C0C7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538670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67A1ED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4A20DB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698371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72A461A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27424C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35763F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r>
      <w:tr w:rsidR="009E7571" w:rsidRPr="001E05F5" w14:paraId="1B8BEECF" w14:textId="77777777" w:rsidTr="00E20967">
        <w:trPr>
          <w:gridAfter w:val="2"/>
          <w:wAfter w:w="26" w:type="dxa"/>
          <w:trHeight w:val="288"/>
        </w:trPr>
        <w:tc>
          <w:tcPr>
            <w:tcW w:w="1028" w:type="dxa"/>
            <w:vMerge/>
            <w:vAlign w:val="center"/>
            <w:hideMark/>
          </w:tcPr>
          <w:p w14:paraId="69AC12E7"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95E25C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7BDCE2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63FB1D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3AB86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64334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B3A97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1CE7EE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9E6C7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56FDA0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F0B11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6A6BF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auto" w:fill="auto"/>
            <w:noWrap/>
            <w:vAlign w:val="center"/>
            <w:hideMark/>
          </w:tcPr>
          <w:p w14:paraId="26022F9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000000" w:fill="FFFFCC"/>
            <w:noWrap/>
            <w:vAlign w:val="center"/>
            <w:hideMark/>
          </w:tcPr>
          <w:p w14:paraId="3CE89DC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auto" w:fill="auto"/>
            <w:noWrap/>
            <w:vAlign w:val="center"/>
            <w:hideMark/>
          </w:tcPr>
          <w:p w14:paraId="42FABB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auto" w:fill="auto"/>
            <w:noWrap/>
            <w:vAlign w:val="center"/>
            <w:hideMark/>
          </w:tcPr>
          <w:p w14:paraId="27F926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auto" w:fill="auto"/>
            <w:noWrap/>
            <w:vAlign w:val="center"/>
            <w:hideMark/>
          </w:tcPr>
          <w:p w14:paraId="1C386BA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auto" w:fill="auto"/>
            <w:noWrap/>
            <w:vAlign w:val="center"/>
            <w:hideMark/>
          </w:tcPr>
          <w:p w14:paraId="3B877B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auto" w:fill="auto"/>
            <w:noWrap/>
            <w:vAlign w:val="center"/>
            <w:hideMark/>
          </w:tcPr>
          <w:p w14:paraId="57940BA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auto" w:fill="auto"/>
            <w:noWrap/>
            <w:vAlign w:val="center"/>
            <w:hideMark/>
          </w:tcPr>
          <w:p w14:paraId="6590DF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auto" w:fill="auto"/>
            <w:noWrap/>
            <w:vAlign w:val="center"/>
            <w:hideMark/>
          </w:tcPr>
          <w:p w14:paraId="01E7F5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c>
          <w:tcPr>
            <w:tcW w:w="867" w:type="dxa"/>
            <w:gridSpan w:val="2"/>
            <w:shd w:val="clear" w:color="auto" w:fill="auto"/>
            <w:noWrap/>
            <w:vAlign w:val="center"/>
            <w:hideMark/>
          </w:tcPr>
          <w:p w14:paraId="3AC10F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14.1%</w:t>
            </w:r>
          </w:p>
        </w:tc>
      </w:tr>
      <w:tr w:rsidR="00D46E3A" w:rsidRPr="001E05F5" w14:paraId="2CB4A155" w14:textId="77777777" w:rsidTr="00E20967">
        <w:trPr>
          <w:gridAfter w:val="2"/>
          <w:wAfter w:w="26" w:type="dxa"/>
          <w:trHeight w:val="288"/>
        </w:trPr>
        <w:tc>
          <w:tcPr>
            <w:tcW w:w="1028" w:type="dxa"/>
            <w:vMerge/>
            <w:vAlign w:val="center"/>
            <w:hideMark/>
          </w:tcPr>
          <w:p w14:paraId="6255362B"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A0BE795"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35C048C6"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-2.1%</w:t>
            </w:r>
          </w:p>
        </w:tc>
      </w:tr>
      <w:tr w:rsidR="009E7571" w:rsidRPr="001E05F5" w14:paraId="3D1F562D"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289E05B5"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1d</w:t>
            </w:r>
          </w:p>
        </w:tc>
        <w:tc>
          <w:tcPr>
            <w:tcW w:w="1129" w:type="dxa"/>
            <w:shd w:val="clear" w:color="auto" w:fill="D9D9D9" w:themeFill="background1" w:themeFillShade="D9"/>
            <w:noWrap/>
            <w:vAlign w:val="center"/>
            <w:hideMark/>
          </w:tcPr>
          <w:p w14:paraId="514DC3B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2F5986C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1894C84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1ED41DE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4A8C76D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09B8185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768A42E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31348EF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485CD89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2CEF052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68A5AE9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3728AA2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2E139FD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41E6B0A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4A13B21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70A3D16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57A54D5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7B94ABE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119326E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5547C36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42D6E67F" w14:textId="77777777" w:rsidTr="00E20967">
        <w:trPr>
          <w:gridAfter w:val="2"/>
          <w:wAfter w:w="26" w:type="dxa"/>
          <w:trHeight w:val="288"/>
        </w:trPr>
        <w:tc>
          <w:tcPr>
            <w:tcW w:w="1028" w:type="dxa"/>
            <w:vMerge w:val="restart"/>
            <w:shd w:val="clear" w:color="auto" w:fill="auto"/>
            <w:vAlign w:val="center"/>
            <w:hideMark/>
          </w:tcPr>
          <w:p w14:paraId="7639D270"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234B079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106E7A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794C406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7D4F6B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6AD96E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32654B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358,024</w:t>
            </w:r>
          </w:p>
        </w:tc>
        <w:tc>
          <w:tcPr>
            <w:tcW w:w="867" w:type="dxa"/>
            <w:gridSpan w:val="2"/>
            <w:shd w:val="clear" w:color="auto" w:fill="auto"/>
            <w:noWrap/>
            <w:vAlign w:val="center"/>
            <w:hideMark/>
          </w:tcPr>
          <w:p w14:paraId="730113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360,016</w:t>
            </w:r>
          </w:p>
        </w:tc>
        <w:tc>
          <w:tcPr>
            <w:tcW w:w="867" w:type="dxa"/>
            <w:gridSpan w:val="2"/>
            <w:shd w:val="clear" w:color="auto" w:fill="auto"/>
            <w:noWrap/>
            <w:vAlign w:val="center"/>
            <w:hideMark/>
          </w:tcPr>
          <w:p w14:paraId="0B43B0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361,934</w:t>
            </w:r>
          </w:p>
        </w:tc>
        <w:tc>
          <w:tcPr>
            <w:tcW w:w="867" w:type="dxa"/>
            <w:gridSpan w:val="2"/>
            <w:shd w:val="clear" w:color="auto" w:fill="auto"/>
            <w:noWrap/>
            <w:vAlign w:val="center"/>
            <w:hideMark/>
          </w:tcPr>
          <w:p w14:paraId="3EDE0BC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363,711</w:t>
            </w:r>
          </w:p>
        </w:tc>
        <w:tc>
          <w:tcPr>
            <w:tcW w:w="867" w:type="dxa"/>
            <w:gridSpan w:val="2"/>
            <w:shd w:val="clear" w:color="auto" w:fill="auto"/>
            <w:noWrap/>
            <w:vAlign w:val="center"/>
            <w:hideMark/>
          </w:tcPr>
          <w:p w14:paraId="6777BC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365,511</w:t>
            </w:r>
          </w:p>
        </w:tc>
        <w:tc>
          <w:tcPr>
            <w:tcW w:w="867" w:type="dxa"/>
            <w:gridSpan w:val="2"/>
            <w:shd w:val="clear" w:color="auto" w:fill="auto"/>
            <w:noWrap/>
            <w:vAlign w:val="center"/>
            <w:hideMark/>
          </w:tcPr>
          <w:p w14:paraId="778ED0D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367,313</w:t>
            </w:r>
          </w:p>
        </w:tc>
        <w:tc>
          <w:tcPr>
            <w:tcW w:w="867" w:type="dxa"/>
            <w:gridSpan w:val="2"/>
            <w:shd w:val="clear" w:color="auto" w:fill="auto"/>
            <w:noWrap/>
            <w:vAlign w:val="center"/>
            <w:hideMark/>
          </w:tcPr>
          <w:p w14:paraId="3CEF33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369,224</w:t>
            </w:r>
          </w:p>
        </w:tc>
        <w:tc>
          <w:tcPr>
            <w:tcW w:w="867" w:type="dxa"/>
            <w:gridSpan w:val="2"/>
            <w:shd w:val="clear" w:color="000000" w:fill="FFFFCC"/>
            <w:noWrap/>
            <w:vAlign w:val="center"/>
            <w:hideMark/>
          </w:tcPr>
          <w:p w14:paraId="3F92F79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371,049</w:t>
            </w:r>
          </w:p>
        </w:tc>
        <w:tc>
          <w:tcPr>
            <w:tcW w:w="867" w:type="dxa"/>
            <w:gridSpan w:val="2"/>
            <w:shd w:val="clear" w:color="auto" w:fill="auto"/>
            <w:noWrap/>
            <w:vAlign w:val="center"/>
            <w:hideMark/>
          </w:tcPr>
          <w:p w14:paraId="04303B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372,838</w:t>
            </w:r>
          </w:p>
        </w:tc>
        <w:tc>
          <w:tcPr>
            <w:tcW w:w="867" w:type="dxa"/>
            <w:gridSpan w:val="2"/>
            <w:shd w:val="clear" w:color="auto" w:fill="auto"/>
            <w:noWrap/>
            <w:vAlign w:val="center"/>
            <w:hideMark/>
          </w:tcPr>
          <w:p w14:paraId="496D8E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374,567</w:t>
            </w:r>
          </w:p>
        </w:tc>
        <w:tc>
          <w:tcPr>
            <w:tcW w:w="867" w:type="dxa"/>
            <w:gridSpan w:val="2"/>
            <w:shd w:val="clear" w:color="auto" w:fill="auto"/>
            <w:noWrap/>
            <w:vAlign w:val="center"/>
            <w:hideMark/>
          </w:tcPr>
          <w:p w14:paraId="0B0FD2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376,317</w:t>
            </w:r>
          </w:p>
        </w:tc>
        <w:tc>
          <w:tcPr>
            <w:tcW w:w="867" w:type="dxa"/>
            <w:gridSpan w:val="2"/>
            <w:shd w:val="clear" w:color="auto" w:fill="auto"/>
            <w:noWrap/>
            <w:vAlign w:val="center"/>
            <w:hideMark/>
          </w:tcPr>
          <w:p w14:paraId="790AE37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378,145</w:t>
            </w:r>
          </w:p>
        </w:tc>
        <w:tc>
          <w:tcPr>
            <w:tcW w:w="867" w:type="dxa"/>
            <w:gridSpan w:val="2"/>
            <w:shd w:val="clear" w:color="auto" w:fill="auto"/>
            <w:noWrap/>
            <w:vAlign w:val="center"/>
            <w:hideMark/>
          </w:tcPr>
          <w:p w14:paraId="31C464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379,860</w:t>
            </w:r>
          </w:p>
        </w:tc>
        <w:tc>
          <w:tcPr>
            <w:tcW w:w="867" w:type="dxa"/>
            <w:gridSpan w:val="2"/>
            <w:shd w:val="clear" w:color="auto" w:fill="auto"/>
            <w:noWrap/>
            <w:vAlign w:val="center"/>
            <w:hideMark/>
          </w:tcPr>
          <w:p w14:paraId="565740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381,553</w:t>
            </w:r>
          </w:p>
        </w:tc>
        <w:tc>
          <w:tcPr>
            <w:tcW w:w="867" w:type="dxa"/>
            <w:gridSpan w:val="2"/>
            <w:shd w:val="clear" w:color="auto" w:fill="auto"/>
            <w:noWrap/>
            <w:vAlign w:val="center"/>
            <w:hideMark/>
          </w:tcPr>
          <w:p w14:paraId="6C44E2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383,138</w:t>
            </w:r>
          </w:p>
        </w:tc>
        <w:tc>
          <w:tcPr>
            <w:tcW w:w="867" w:type="dxa"/>
            <w:gridSpan w:val="2"/>
            <w:shd w:val="clear" w:color="auto" w:fill="auto"/>
            <w:noWrap/>
            <w:vAlign w:val="center"/>
            <w:hideMark/>
          </w:tcPr>
          <w:p w14:paraId="29C3426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384,737</w:t>
            </w:r>
          </w:p>
        </w:tc>
      </w:tr>
      <w:tr w:rsidR="009E7571" w:rsidRPr="001E05F5" w14:paraId="0AF664DC" w14:textId="77777777" w:rsidTr="00E20967">
        <w:trPr>
          <w:gridAfter w:val="2"/>
          <w:wAfter w:w="26" w:type="dxa"/>
          <w:trHeight w:val="288"/>
        </w:trPr>
        <w:tc>
          <w:tcPr>
            <w:tcW w:w="1028" w:type="dxa"/>
            <w:vMerge/>
            <w:vAlign w:val="center"/>
            <w:hideMark/>
          </w:tcPr>
          <w:p w14:paraId="49556CC1"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D3A010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654740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799042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2E63E2A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48FBCE6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7F2A31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10ACF9B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56F5AD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2A13283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3BFADC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21F023F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149FF1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000000" w:fill="FFFFCC"/>
            <w:noWrap/>
            <w:vAlign w:val="center"/>
            <w:hideMark/>
          </w:tcPr>
          <w:p w14:paraId="5712CF5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07A966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08D85A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6F12C12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3D8995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622D5B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0115A04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35B17E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34.0%</w:t>
            </w:r>
          </w:p>
        </w:tc>
        <w:tc>
          <w:tcPr>
            <w:tcW w:w="867" w:type="dxa"/>
            <w:gridSpan w:val="2"/>
            <w:shd w:val="clear" w:color="auto" w:fill="auto"/>
            <w:noWrap/>
            <w:vAlign w:val="center"/>
            <w:hideMark/>
          </w:tcPr>
          <w:p w14:paraId="756050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33.9%</w:t>
            </w:r>
          </w:p>
        </w:tc>
      </w:tr>
      <w:tr w:rsidR="009E7571" w:rsidRPr="001E05F5" w14:paraId="151B4E8F" w14:textId="77777777" w:rsidTr="00E20967">
        <w:trPr>
          <w:gridAfter w:val="2"/>
          <w:wAfter w:w="26" w:type="dxa"/>
          <w:trHeight w:val="288"/>
        </w:trPr>
        <w:tc>
          <w:tcPr>
            <w:tcW w:w="1028" w:type="dxa"/>
            <w:vMerge/>
            <w:vAlign w:val="center"/>
            <w:hideMark/>
          </w:tcPr>
          <w:p w14:paraId="29880432"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215B573"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75DEDAF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0182F5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813B2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46B708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76CBEE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088D12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6F9D4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596503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356695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512CD3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6D57CF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000000" w:fill="FFFFCC"/>
            <w:noWrap/>
            <w:vAlign w:val="center"/>
            <w:hideMark/>
          </w:tcPr>
          <w:p w14:paraId="5CB32E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610950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3D6B12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4FA4B5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7CC9D9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669C67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193CDF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4F622D3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046E43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r>
      <w:tr w:rsidR="009E7571" w:rsidRPr="001E05F5" w14:paraId="57BB1CE7" w14:textId="77777777" w:rsidTr="00E20967">
        <w:trPr>
          <w:gridAfter w:val="2"/>
          <w:wAfter w:w="26" w:type="dxa"/>
          <w:trHeight w:val="288"/>
        </w:trPr>
        <w:tc>
          <w:tcPr>
            <w:tcW w:w="1028" w:type="dxa"/>
            <w:vMerge/>
            <w:vAlign w:val="center"/>
            <w:hideMark/>
          </w:tcPr>
          <w:p w14:paraId="53A17C8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532D97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3ACDEB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08BE06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7D0FBEA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6011C07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4109C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C5742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A998F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6010BD9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7D45E6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6.1%</w:t>
            </w:r>
          </w:p>
        </w:tc>
        <w:tc>
          <w:tcPr>
            <w:tcW w:w="867" w:type="dxa"/>
            <w:gridSpan w:val="2"/>
            <w:shd w:val="clear" w:color="auto" w:fill="auto"/>
            <w:noWrap/>
            <w:vAlign w:val="center"/>
            <w:hideMark/>
          </w:tcPr>
          <w:p w14:paraId="7D9F1F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5C83CF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000000" w:fill="FFFFCC"/>
            <w:noWrap/>
            <w:vAlign w:val="center"/>
            <w:hideMark/>
          </w:tcPr>
          <w:p w14:paraId="47B9D7A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3F91EA1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5BCE73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A3DA4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49EC81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12718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3DE96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D4A44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52C18A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r>
      <w:tr w:rsidR="00D46E3A" w:rsidRPr="001E05F5" w14:paraId="1475ABED" w14:textId="77777777" w:rsidTr="00E20967">
        <w:trPr>
          <w:gridAfter w:val="1"/>
          <w:wAfter w:w="13" w:type="dxa"/>
          <w:trHeight w:val="288"/>
        </w:trPr>
        <w:tc>
          <w:tcPr>
            <w:tcW w:w="1028" w:type="dxa"/>
            <w:vMerge/>
            <w:vAlign w:val="center"/>
            <w:hideMark/>
          </w:tcPr>
          <w:p w14:paraId="4050C061"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4F129BE"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62DB5C6D"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£513,847,597</w:t>
            </w:r>
          </w:p>
        </w:tc>
      </w:tr>
      <w:tr w:rsidR="009E7571" w:rsidRPr="001E05F5" w14:paraId="6160CAB1" w14:textId="77777777" w:rsidTr="00E20967">
        <w:trPr>
          <w:gridAfter w:val="2"/>
          <w:wAfter w:w="26" w:type="dxa"/>
          <w:trHeight w:val="288"/>
        </w:trPr>
        <w:tc>
          <w:tcPr>
            <w:tcW w:w="1028" w:type="dxa"/>
            <w:vMerge w:val="restart"/>
            <w:shd w:val="clear" w:color="auto" w:fill="auto"/>
            <w:vAlign w:val="center"/>
            <w:hideMark/>
          </w:tcPr>
          <w:p w14:paraId="01514CE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270047C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50CDB16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E1B65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C1DD7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FD946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D71248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894804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40A073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FC3F0F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B003D1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333D9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7371D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000000" w:fill="FFFFCC"/>
            <w:noWrap/>
            <w:vAlign w:val="center"/>
            <w:hideMark/>
          </w:tcPr>
          <w:p w14:paraId="786299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9B6D1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57E47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884E0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C980D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04B30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F8359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D00193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7D42A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r>
      <w:tr w:rsidR="009E7571" w:rsidRPr="001E05F5" w14:paraId="49E53D6C" w14:textId="77777777" w:rsidTr="00E20967">
        <w:trPr>
          <w:gridAfter w:val="2"/>
          <w:wAfter w:w="26" w:type="dxa"/>
          <w:trHeight w:val="288"/>
        </w:trPr>
        <w:tc>
          <w:tcPr>
            <w:tcW w:w="1028" w:type="dxa"/>
            <w:vMerge/>
            <w:vAlign w:val="center"/>
            <w:hideMark/>
          </w:tcPr>
          <w:p w14:paraId="594CC39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0F74E4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5A836B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EAF1A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E8B46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00D17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15340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1DBDF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B20EB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8FF3BE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2A9A2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0C8E81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367CB8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000000" w:fill="FFFFCC"/>
            <w:noWrap/>
            <w:vAlign w:val="center"/>
            <w:hideMark/>
          </w:tcPr>
          <w:p w14:paraId="69CE947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35228C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096280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22DAED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43D9DE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1838A4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5002BC8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1406D87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c>
          <w:tcPr>
            <w:tcW w:w="867" w:type="dxa"/>
            <w:gridSpan w:val="2"/>
            <w:shd w:val="clear" w:color="auto" w:fill="auto"/>
            <w:noWrap/>
            <w:vAlign w:val="center"/>
            <w:hideMark/>
          </w:tcPr>
          <w:p w14:paraId="65AA1B4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0.2%</w:t>
            </w:r>
          </w:p>
        </w:tc>
      </w:tr>
      <w:tr w:rsidR="009E7571" w:rsidRPr="001E05F5" w14:paraId="4E5291E5" w14:textId="77777777" w:rsidTr="00E20967">
        <w:trPr>
          <w:gridAfter w:val="2"/>
          <w:wAfter w:w="26" w:type="dxa"/>
          <w:trHeight w:val="288"/>
        </w:trPr>
        <w:tc>
          <w:tcPr>
            <w:tcW w:w="1028" w:type="dxa"/>
            <w:vMerge/>
            <w:vAlign w:val="center"/>
            <w:hideMark/>
          </w:tcPr>
          <w:p w14:paraId="7A722EC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9795A45"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0F88B1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0A1804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67CA4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6C965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739040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15CF3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5E94B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20B04A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BBD30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40388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56982EB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000000" w:fill="FFFFCC"/>
            <w:noWrap/>
            <w:vAlign w:val="center"/>
            <w:hideMark/>
          </w:tcPr>
          <w:p w14:paraId="27447C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096BA3F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017DF3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57FA0F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2F30E7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022E34E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41B051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2424C5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31BA2CB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r>
      <w:tr w:rsidR="009E7571" w:rsidRPr="001E05F5" w14:paraId="18707B49" w14:textId="77777777" w:rsidTr="00E20967">
        <w:trPr>
          <w:gridAfter w:val="2"/>
          <w:wAfter w:w="26" w:type="dxa"/>
          <w:trHeight w:val="288"/>
        </w:trPr>
        <w:tc>
          <w:tcPr>
            <w:tcW w:w="1028" w:type="dxa"/>
            <w:vMerge/>
            <w:vAlign w:val="center"/>
            <w:hideMark/>
          </w:tcPr>
          <w:p w14:paraId="50B3CC1E"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CAA7125"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51C34E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4CA8E3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62D21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C6D464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72E48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59EF74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E81A7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F0790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052362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CF3E3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335AAA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000000" w:fill="FFFFCC"/>
            <w:noWrap/>
            <w:vAlign w:val="center"/>
            <w:hideMark/>
          </w:tcPr>
          <w:p w14:paraId="38496B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73AAD4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7BB333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24D77CF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79E1F7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6CEC7F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47D651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040A620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1D6074E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r>
      <w:tr w:rsidR="00D46E3A" w:rsidRPr="001E05F5" w14:paraId="25189399" w14:textId="77777777" w:rsidTr="00E20967">
        <w:trPr>
          <w:gridAfter w:val="2"/>
          <w:wAfter w:w="26" w:type="dxa"/>
          <w:trHeight w:val="288"/>
        </w:trPr>
        <w:tc>
          <w:tcPr>
            <w:tcW w:w="1028" w:type="dxa"/>
            <w:vMerge/>
            <w:vAlign w:val="center"/>
            <w:hideMark/>
          </w:tcPr>
          <w:p w14:paraId="2E36650E"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7CF9323"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714CA9BC"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1.7%</w:t>
            </w:r>
          </w:p>
        </w:tc>
      </w:tr>
      <w:tr w:rsidR="009E7571" w:rsidRPr="001E05F5" w14:paraId="704458C4"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3AE329A0" w14:textId="77777777" w:rsidR="009E7571" w:rsidRPr="001E05F5" w:rsidRDefault="009E7571" w:rsidP="00E20967">
            <w:pPr>
              <w:keepNext/>
              <w:keepLines/>
              <w:spacing w:after="0" w:line="240" w:lineRule="auto"/>
              <w:rPr>
                <w:rFonts w:cs="Arial"/>
                <w:b/>
                <w:color w:val="000000"/>
                <w:sz w:val="18"/>
                <w:szCs w:val="18"/>
                <w:lang w:eastAsia="en-GB"/>
              </w:rPr>
            </w:pPr>
            <w:r w:rsidRPr="001E05F5">
              <w:rPr>
                <w:rFonts w:cs="Arial"/>
                <w:b/>
                <w:color w:val="000000"/>
                <w:sz w:val="18"/>
                <w:szCs w:val="18"/>
                <w:lang w:eastAsia="en-GB"/>
              </w:rPr>
              <w:lastRenderedPageBreak/>
              <w:t>Scenario 2a</w:t>
            </w:r>
          </w:p>
        </w:tc>
        <w:tc>
          <w:tcPr>
            <w:tcW w:w="1129" w:type="dxa"/>
            <w:shd w:val="clear" w:color="auto" w:fill="D9D9D9" w:themeFill="background1" w:themeFillShade="D9"/>
            <w:noWrap/>
            <w:vAlign w:val="center"/>
            <w:hideMark/>
          </w:tcPr>
          <w:p w14:paraId="37C0BF2F"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787342AA"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78D176BB"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16C4D142"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179C850E"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6AA926C7"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76417F13"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49B4F37D"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3DEDD85A"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6891DBA5"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3EA438CF"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3D243E4F"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32771FC3"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1F0A451F"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680A8276"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763BDEA7"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71D99B2F"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44235748"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1AD82CB7"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72382DDD"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7DE01567" w14:textId="77777777" w:rsidTr="00E20967">
        <w:trPr>
          <w:gridAfter w:val="2"/>
          <w:wAfter w:w="26" w:type="dxa"/>
          <w:trHeight w:val="288"/>
        </w:trPr>
        <w:tc>
          <w:tcPr>
            <w:tcW w:w="1028" w:type="dxa"/>
            <w:vMerge w:val="restart"/>
            <w:shd w:val="clear" w:color="auto" w:fill="auto"/>
            <w:vAlign w:val="center"/>
            <w:hideMark/>
          </w:tcPr>
          <w:p w14:paraId="090E3D2F" w14:textId="77777777" w:rsidR="000B6808" w:rsidRPr="001E05F5" w:rsidRDefault="000B6808" w:rsidP="00E20967">
            <w:pPr>
              <w:keepNext/>
              <w:keepLines/>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024DEFCC" w14:textId="77777777" w:rsidR="000B6808" w:rsidRPr="001E05F5" w:rsidRDefault="000B6808" w:rsidP="00E20967">
            <w:pPr>
              <w:keepNext/>
              <w:keepLines/>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02F50FA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0E66F38F"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1E9A76A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26C6E8B6"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37DA620A"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351,723</w:t>
            </w:r>
          </w:p>
        </w:tc>
        <w:tc>
          <w:tcPr>
            <w:tcW w:w="867" w:type="dxa"/>
            <w:gridSpan w:val="2"/>
            <w:shd w:val="clear" w:color="auto" w:fill="auto"/>
            <w:noWrap/>
            <w:vAlign w:val="center"/>
            <w:hideMark/>
          </w:tcPr>
          <w:p w14:paraId="4FEFDDE4"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353,674</w:t>
            </w:r>
          </w:p>
        </w:tc>
        <w:tc>
          <w:tcPr>
            <w:tcW w:w="867" w:type="dxa"/>
            <w:gridSpan w:val="2"/>
            <w:shd w:val="clear" w:color="auto" w:fill="auto"/>
            <w:noWrap/>
            <w:vAlign w:val="center"/>
            <w:hideMark/>
          </w:tcPr>
          <w:p w14:paraId="40205FE0"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355,551</w:t>
            </w:r>
          </w:p>
        </w:tc>
        <w:tc>
          <w:tcPr>
            <w:tcW w:w="867" w:type="dxa"/>
            <w:gridSpan w:val="2"/>
            <w:shd w:val="clear" w:color="auto" w:fill="auto"/>
            <w:noWrap/>
            <w:vAlign w:val="center"/>
            <w:hideMark/>
          </w:tcPr>
          <w:p w14:paraId="350AEB5E"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357,293</w:t>
            </w:r>
          </w:p>
        </w:tc>
        <w:tc>
          <w:tcPr>
            <w:tcW w:w="867" w:type="dxa"/>
            <w:gridSpan w:val="2"/>
            <w:shd w:val="clear" w:color="auto" w:fill="auto"/>
            <w:noWrap/>
            <w:vAlign w:val="center"/>
            <w:hideMark/>
          </w:tcPr>
          <w:p w14:paraId="7EF44A90"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359,055</w:t>
            </w:r>
          </w:p>
        </w:tc>
        <w:tc>
          <w:tcPr>
            <w:tcW w:w="867" w:type="dxa"/>
            <w:gridSpan w:val="2"/>
            <w:shd w:val="clear" w:color="auto" w:fill="auto"/>
            <w:noWrap/>
            <w:vAlign w:val="center"/>
            <w:hideMark/>
          </w:tcPr>
          <w:p w14:paraId="7CDD7935"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360,821</w:t>
            </w:r>
          </w:p>
        </w:tc>
        <w:tc>
          <w:tcPr>
            <w:tcW w:w="867" w:type="dxa"/>
            <w:gridSpan w:val="2"/>
            <w:shd w:val="clear" w:color="auto" w:fill="auto"/>
            <w:noWrap/>
            <w:vAlign w:val="center"/>
            <w:hideMark/>
          </w:tcPr>
          <w:p w14:paraId="577FF30B"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362,693</w:t>
            </w:r>
          </w:p>
        </w:tc>
        <w:tc>
          <w:tcPr>
            <w:tcW w:w="867" w:type="dxa"/>
            <w:gridSpan w:val="2"/>
            <w:shd w:val="clear" w:color="000000" w:fill="FFFFCC"/>
            <w:noWrap/>
            <w:vAlign w:val="center"/>
            <w:hideMark/>
          </w:tcPr>
          <w:p w14:paraId="629BD286"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364,481</w:t>
            </w:r>
          </w:p>
        </w:tc>
        <w:tc>
          <w:tcPr>
            <w:tcW w:w="867" w:type="dxa"/>
            <w:gridSpan w:val="2"/>
            <w:shd w:val="clear" w:color="auto" w:fill="auto"/>
            <w:noWrap/>
            <w:vAlign w:val="center"/>
            <w:hideMark/>
          </w:tcPr>
          <w:p w14:paraId="0EE83D3E"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366,235</w:t>
            </w:r>
          </w:p>
        </w:tc>
        <w:tc>
          <w:tcPr>
            <w:tcW w:w="867" w:type="dxa"/>
            <w:gridSpan w:val="2"/>
            <w:shd w:val="clear" w:color="auto" w:fill="auto"/>
            <w:noWrap/>
            <w:vAlign w:val="center"/>
            <w:hideMark/>
          </w:tcPr>
          <w:p w14:paraId="7E822FD6"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367,930</w:t>
            </w:r>
          </w:p>
        </w:tc>
        <w:tc>
          <w:tcPr>
            <w:tcW w:w="867" w:type="dxa"/>
            <w:gridSpan w:val="2"/>
            <w:shd w:val="clear" w:color="auto" w:fill="auto"/>
            <w:noWrap/>
            <w:vAlign w:val="center"/>
            <w:hideMark/>
          </w:tcPr>
          <w:p w14:paraId="63722D6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369,645</w:t>
            </w:r>
          </w:p>
        </w:tc>
        <w:tc>
          <w:tcPr>
            <w:tcW w:w="867" w:type="dxa"/>
            <w:gridSpan w:val="2"/>
            <w:shd w:val="clear" w:color="auto" w:fill="auto"/>
            <w:noWrap/>
            <w:vAlign w:val="center"/>
            <w:hideMark/>
          </w:tcPr>
          <w:p w14:paraId="2E44FAF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371,437</w:t>
            </w:r>
          </w:p>
        </w:tc>
        <w:tc>
          <w:tcPr>
            <w:tcW w:w="867" w:type="dxa"/>
            <w:gridSpan w:val="2"/>
            <w:shd w:val="clear" w:color="auto" w:fill="auto"/>
            <w:noWrap/>
            <w:vAlign w:val="center"/>
            <w:hideMark/>
          </w:tcPr>
          <w:p w14:paraId="275CF687"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373,117</w:t>
            </w:r>
          </w:p>
        </w:tc>
        <w:tc>
          <w:tcPr>
            <w:tcW w:w="867" w:type="dxa"/>
            <w:gridSpan w:val="2"/>
            <w:shd w:val="clear" w:color="auto" w:fill="auto"/>
            <w:noWrap/>
            <w:vAlign w:val="center"/>
            <w:hideMark/>
          </w:tcPr>
          <w:p w14:paraId="346A6B3E"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374,777</w:t>
            </w:r>
          </w:p>
        </w:tc>
        <w:tc>
          <w:tcPr>
            <w:tcW w:w="867" w:type="dxa"/>
            <w:gridSpan w:val="2"/>
            <w:shd w:val="clear" w:color="auto" w:fill="auto"/>
            <w:noWrap/>
            <w:vAlign w:val="center"/>
            <w:hideMark/>
          </w:tcPr>
          <w:p w14:paraId="71A0E6F6"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376,331</w:t>
            </w:r>
          </w:p>
        </w:tc>
        <w:tc>
          <w:tcPr>
            <w:tcW w:w="867" w:type="dxa"/>
            <w:gridSpan w:val="2"/>
            <w:shd w:val="clear" w:color="auto" w:fill="auto"/>
            <w:noWrap/>
            <w:vAlign w:val="center"/>
            <w:hideMark/>
          </w:tcPr>
          <w:p w14:paraId="44C9697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377,899</w:t>
            </w:r>
          </w:p>
        </w:tc>
      </w:tr>
      <w:tr w:rsidR="009E7571" w:rsidRPr="001E05F5" w14:paraId="0F9710E9" w14:textId="77777777" w:rsidTr="00E20967">
        <w:trPr>
          <w:gridAfter w:val="2"/>
          <w:wAfter w:w="26" w:type="dxa"/>
          <w:trHeight w:val="288"/>
        </w:trPr>
        <w:tc>
          <w:tcPr>
            <w:tcW w:w="1028" w:type="dxa"/>
            <w:vMerge/>
            <w:vAlign w:val="center"/>
            <w:hideMark/>
          </w:tcPr>
          <w:p w14:paraId="18A21771" w14:textId="77777777" w:rsidR="000B6808" w:rsidRPr="001E05F5" w:rsidRDefault="000B6808" w:rsidP="00E20967">
            <w:pPr>
              <w:keepNext/>
              <w:keepLines/>
              <w:spacing w:after="0" w:line="240" w:lineRule="auto"/>
              <w:rPr>
                <w:rFonts w:cs="Arial"/>
                <w:color w:val="000000"/>
                <w:sz w:val="18"/>
                <w:szCs w:val="18"/>
                <w:lang w:eastAsia="en-GB"/>
              </w:rPr>
            </w:pPr>
          </w:p>
        </w:tc>
        <w:tc>
          <w:tcPr>
            <w:tcW w:w="2233" w:type="dxa"/>
            <w:shd w:val="clear" w:color="auto" w:fill="auto"/>
            <w:noWrap/>
            <w:vAlign w:val="center"/>
            <w:hideMark/>
          </w:tcPr>
          <w:p w14:paraId="1D6A09D1" w14:textId="77777777" w:rsidR="000B6808" w:rsidRPr="001E05F5" w:rsidRDefault="000B6808" w:rsidP="00E20967">
            <w:pPr>
              <w:keepNext/>
              <w:keepLines/>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08076082"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1E0E1CF1"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1E79087E"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2447936E"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68EFABA4"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4D9893C2"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716969DE"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740F552B"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0B4345A4"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2ED3512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7BDD6EA7"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000000" w:fill="FFFFCC"/>
            <w:noWrap/>
            <w:vAlign w:val="center"/>
            <w:hideMark/>
          </w:tcPr>
          <w:p w14:paraId="78EAF7E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6936114B"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5A424E20"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CBC0056"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1365AD80"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EBDBB33"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0FC37A1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59302AD5"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27E82318"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34.1%</w:t>
            </w:r>
          </w:p>
        </w:tc>
      </w:tr>
      <w:tr w:rsidR="009E7571" w:rsidRPr="001E05F5" w14:paraId="50EDED8A" w14:textId="77777777" w:rsidTr="00E20967">
        <w:trPr>
          <w:gridAfter w:val="2"/>
          <w:wAfter w:w="26" w:type="dxa"/>
          <w:trHeight w:val="288"/>
        </w:trPr>
        <w:tc>
          <w:tcPr>
            <w:tcW w:w="1028" w:type="dxa"/>
            <w:vMerge/>
            <w:vAlign w:val="center"/>
            <w:hideMark/>
          </w:tcPr>
          <w:p w14:paraId="31706F2C"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165AB20"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7462B0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0920FD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5198765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610014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5B114F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4218DC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4EC76DD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53CD364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02A840F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0BD067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5510D6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000000" w:fill="FFFFCC"/>
            <w:noWrap/>
            <w:vAlign w:val="center"/>
            <w:hideMark/>
          </w:tcPr>
          <w:p w14:paraId="020671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4C461E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38F9C4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60F97B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5E03D8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54A7FC3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4B8374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0D0973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3E9ABA6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r>
      <w:tr w:rsidR="009E7571" w:rsidRPr="001E05F5" w14:paraId="297C039E" w14:textId="77777777" w:rsidTr="00E20967">
        <w:trPr>
          <w:gridAfter w:val="2"/>
          <w:wAfter w:w="26" w:type="dxa"/>
          <w:trHeight w:val="288"/>
        </w:trPr>
        <w:tc>
          <w:tcPr>
            <w:tcW w:w="1028" w:type="dxa"/>
            <w:vMerge/>
            <w:vAlign w:val="center"/>
            <w:hideMark/>
          </w:tcPr>
          <w:p w14:paraId="52BEA518"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6D05B03"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324085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704923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40E82E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64437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21318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51AB33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2FDF18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1CB463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4F4C51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3DD0BB1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0BA687B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000000" w:fill="FFFFCC"/>
            <w:noWrap/>
            <w:vAlign w:val="center"/>
            <w:hideMark/>
          </w:tcPr>
          <w:p w14:paraId="0EB09AC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282F43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383D52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2396B4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678E51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59E3CDD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135C21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506AAE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27B36D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r>
      <w:tr w:rsidR="00D46E3A" w:rsidRPr="001E05F5" w14:paraId="21D31FFE" w14:textId="77777777" w:rsidTr="00E20967">
        <w:trPr>
          <w:gridAfter w:val="1"/>
          <w:wAfter w:w="13" w:type="dxa"/>
          <w:trHeight w:val="288"/>
        </w:trPr>
        <w:tc>
          <w:tcPr>
            <w:tcW w:w="1028" w:type="dxa"/>
            <w:vMerge/>
            <w:vAlign w:val="center"/>
            <w:hideMark/>
          </w:tcPr>
          <w:p w14:paraId="15A38883"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DB8C156"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73DDDF79"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£468,574,929</w:t>
            </w:r>
          </w:p>
        </w:tc>
      </w:tr>
      <w:tr w:rsidR="009E7571" w:rsidRPr="001E05F5" w14:paraId="4E95EDBD" w14:textId="77777777" w:rsidTr="00E20967">
        <w:trPr>
          <w:gridAfter w:val="2"/>
          <w:wAfter w:w="26" w:type="dxa"/>
          <w:trHeight w:val="288"/>
        </w:trPr>
        <w:tc>
          <w:tcPr>
            <w:tcW w:w="1028" w:type="dxa"/>
            <w:vMerge w:val="restart"/>
            <w:shd w:val="clear" w:color="auto" w:fill="auto"/>
            <w:vAlign w:val="center"/>
            <w:hideMark/>
          </w:tcPr>
          <w:p w14:paraId="3B7F10A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14AE345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7A1B33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0087B8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1AF1E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624B46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929D0E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440D1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5A233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3AA44E6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C60C33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372E3A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389DD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000000" w:fill="FFFFCC"/>
            <w:noWrap/>
            <w:vAlign w:val="center"/>
            <w:hideMark/>
          </w:tcPr>
          <w:p w14:paraId="5AF849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21DB2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85D50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3EDA7F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5F66ED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AC1F4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DC1A8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196B54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5865C7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r>
      <w:tr w:rsidR="009E7571" w:rsidRPr="001E05F5" w14:paraId="25916ED8" w14:textId="77777777" w:rsidTr="00E20967">
        <w:trPr>
          <w:gridAfter w:val="2"/>
          <w:wAfter w:w="26" w:type="dxa"/>
          <w:trHeight w:val="288"/>
        </w:trPr>
        <w:tc>
          <w:tcPr>
            <w:tcW w:w="1028" w:type="dxa"/>
            <w:vMerge/>
            <w:vAlign w:val="center"/>
            <w:hideMark/>
          </w:tcPr>
          <w:p w14:paraId="68CE417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BB1D82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00BE484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EE7AC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8C41E4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6CA3B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74885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2436F5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6B6EE3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18081D8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0A6238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751FADD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5B5D1BA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000000" w:fill="FFFFCC"/>
            <w:noWrap/>
            <w:vAlign w:val="center"/>
            <w:hideMark/>
          </w:tcPr>
          <w:p w14:paraId="1DFA83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0.34%</w:t>
            </w:r>
          </w:p>
        </w:tc>
        <w:tc>
          <w:tcPr>
            <w:tcW w:w="867" w:type="dxa"/>
            <w:gridSpan w:val="2"/>
            <w:shd w:val="clear" w:color="auto" w:fill="auto"/>
            <w:noWrap/>
            <w:vAlign w:val="center"/>
            <w:hideMark/>
          </w:tcPr>
          <w:p w14:paraId="2E976B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020AF0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78A6A25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2BADE7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499AD8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546469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2B38D89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3ED8FD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r>
      <w:tr w:rsidR="009E7571" w:rsidRPr="001E05F5" w14:paraId="409BCF15" w14:textId="77777777" w:rsidTr="00E20967">
        <w:trPr>
          <w:gridAfter w:val="2"/>
          <w:wAfter w:w="26" w:type="dxa"/>
          <w:trHeight w:val="288"/>
        </w:trPr>
        <w:tc>
          <w:tcPr>
            <w:tcW w:w="1028" w:type="dxa"/>
            <w:vMerge/>
            <w:vAlign w:val="center"/>
            <w:hideMark/>
          </w:tcPr>
          <w:p w14:paraId="57562BD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FDC82A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698C95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515084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8F623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5AA38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E3BF8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DC7106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8CDEC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F017D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673ACD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5D8B6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5D66E4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000000" w:fill="FFFFCC"/>
            <w:noWrap/>
            <w:vAlign w:val="center"/>
            <w:hideMark/>
          </w:tcPr>
          <w:p w14:paraId="3E509B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0.13%</w:t>
            </w:r>
          </w:p>
        </w:tc>
        <w:tc>
          <w:tcPr>
            <w:tcW w:w="867" w:type="dxa"/>
            <w:gridSpan w:val="2"/>
            <w:shd w:val="clear" w:color="auto" w:fill="auto"/>
            <w:noWrap/>
            <w:vAlign w:val="center"/>
            <w:hideMark/>
          </w:tcPr>
          <w:p w14:paraId="357D13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A6D5F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0F9D0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AB0FC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2C7A4C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008B9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9B532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7700C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r>
      <w:tr w:rsidR="009E7571" w:rsidRPr="001E05F5" w14:paraId="5AE7F320" w14:textId="77777777" w:rsidTr="00E20967">
        <w:trPr>
          <w:gridAfter w:val="2"/>
          <w:wAfter w:w="26" w:type="dxa"/>
          <w:trHeight w:val="288"/>
        </w:trPr>
        <w:tc>
          <w:tcPr>
            <w:tcW w:w="1028" w:type="dxa"/>
            <w:vMerge/>
            <w:vAlign w:val="center"/>
            <w:hideMark/>
          </w:tcPr>
          <w:p w14:paraId="346430E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2B499F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658415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73563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63E36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BCDC9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0B2AF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1F658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29F2E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FC4AF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790085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B9CFA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03FF5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000000" w:fill="FFFFCC"/>
            <w:noWrap/>
            <w:vAlign w:val="center"/>
            <w:hideMark/>
          </w:tcPr>
          <w:p w14:paraId="50A6CCD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A0CB3F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460C1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EDDE3E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17C273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2F9928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B77BA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B3529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18308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r>
      <w:tr w:rsidR="00D46E3A" w:rsidRPr="001E05F5" w14:paraId="618F2707" w14:textId="77777777" w:rsidTr="00E20967">
        <w:trPr>
          <w:gridAfter w:val="2"/>
          <w:wAfter w:w="26" w:type="dxa"/>
          <w:trHeight w:val="288"/>
        </w:trPr>
        <w:tc>
          <w:tcPr>
            <w:tcW w:w="1028" w:type="dxa"/>
            <w:vMerge/>
            <w:vAlign w:val="center"/>
            <w:hideMark/>
          </w:tcPr>
          <w:p w14:paraId="0F66FA2E"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C986B3B"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7E56C34C"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-7.3%</w:t>
            </w:r>
          </w:p>
        </w:tc>
      </w:tr>
      <w:tr w:rsidR="009E7571" w:rsidRPr="001E05F5" w14:paraId="3C65A8D1"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4BD93173"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2b</w:t>
            </w:r>
          </w:p>
        </w:tc>
        <w:tc>
          <w:tcPr>
            <w:tcW w:w="1129" w:type="dxa"/>
            <w:shd w:val="clear" w:color="auto" w:fill="D9D9D9" w:themeFill="background1" w:themeFillShade="D9"/>
            <w:noWrap/>
            <w:vAlign w:val="center"/>
            <w:hideMark/>
          </w:tcPr>
          <w:p w14:paraId="664AF6E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64EF960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565B394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04B1FFA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3BA8E0B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58C09CE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7050F38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6C9B948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279DDD1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6E37209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53EABA1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6EF0FD6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2E3679D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7AEC044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4B6D820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4321CC7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02ADB21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5C970E4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2A0B8A6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17CA067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2B388624" w14:textId="77777777" w:rsidTr="00E20967">
        <w:trPr>
          <w:gridAfter w:val="2"/>
          <w:wAfter w:w="26" w:type="dxa"/>
          <w:trHeight w:val="288"/>
        </w:trPr>
        <w:tc>
          <w:tcPr>
            <w:tcW w:w="1028" w:type="dxa"/>
            <w:vMerge w:val="restart"/>
            <w:shd w:val="clear" w:color="auto" w:fill="auto"/>
            <w:vAlign w:val="center"/>
            <w:hideMark/>
          </w:tcPr>
          <w:p w14:paraId="230A2142"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56AAB7D1"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6E5ABA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29BBFC5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2BCCA1A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646223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23F65A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351,723</w:t>
            </w:r>
          </w:p>
        </w:tc>
        <w:tc>
          <w:tcPr>
            <w:tcW w:w="867" w:type="dxa"/>
            <w:gridSpan w:val="2"/>
            <w:shd w:val="clear" w:color="auto" w:fill="auto"/>
            <w:noWrap/>
            <w:vAlign w:val="center"/>
            <w:hideMark/>
          </w:tcPr>
          <w:p w14:paraId="3CEC60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353,674</w:t>
            </w:r>
          </w:p>
        </w:tc>
        <w:tc>
          <w:tcPr>
            <w:tcW w:w="867" w:type="dxa"/>
            <w:gridSpan w:val="2"/>
            <w:shd w:val="clear" w:color="auto" w:fill="auto"/>
            <w:noWrap/>
            <w:vAlign w:val="center"/>
            <w:hideMark/>
          </w:tcPr>
          <w:p w14:paraId="5345D1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355,551</w:t>
            </w:r>
          </w:p>
        </w:tc>
        <w:tc>
          <w:tcPr>
            <w:tcW w:w="867" w:type="dxa"/>
            <w:gridSpan w:val="2"/>
            <w:shd w:val="clear" w:color="auto" w:fill="auto"/>
            <w:noWrap/>
            <w:vAlign w:val="center"/>
            <w:hideMark/>
          </w:tcPr>
          <w:p w14:paraId="3895F4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357,293</w:t>
            </w:r>
          </w:p>
        </w:tc>
        <w:tc>
          <w:tcPr>
            <w:tcW w:w="867" w:type="dxa"/>
            <w:gridSpan w:val="2"/>
            <w:shd w:val="clear" w:color="auto" w:fill="auto"/>
            <w:noWrap/>
            <w:vAlign w:val="center"/>
            <w:hideMark/>
          </w:tcPr>
          <w:p w14:paraId="6BDF71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359,055</w:t>
            </w:r>
          </w:p>
        </w:tc>
        <w:tc>
          <w:tcPr>
            <w:tcW w:w="867" w:type="dxa"/>
            <w:gridSpan w:val="2"/>
            <w:shd w:val="clear" w:color="auto" w:fill="auto"/>
            <w:noWrap/>
            <w:vAlign w:val="center"/>
            <w:hideMark/>
          </w:tcPr>
          <w:p w14:paraId="7620123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360,821</w:t>
            </w:r>
          </w:p>
        </w:tc>
        <w:tc>
          <w:tcPr>
            <w:tcW w:w="867" w:type="dxa"/>
            <w:gridSpan w:val="2"/>
            <w:shd w:val="clear" w:color="auto" w:fill="auto"/>
            <w:noWrap/>
            <w:vAlign w:val="center"/>
            <w:hideMark/>
          </w:tcPr>
          <w:p w14:paraId="476877D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362,693</w:t>
            </w:r>
          </w:p>
        </w:tc>
        <w:tc>
          <w:tcPr>
            <w:tcW w:w="867" w:type="dxa"/>
            <w:gridSpan w:val="2"/>
            <w:shd w:val="clear" w:color="000000" w:fill="FFFFCC"/>
            <w:noWrap/>
            <w:vAlign w:val="center"/>
            <w:hideMark/>
          </w:tcPr>
          <w:p w14:paraId="0DC955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364,481</w:t>
            </w:r>
          </w:p>
        </w:tc>
        <w:tc>
          <w:tcPr>
            <w:tcW w:w="867" w:type="dxa"/>
            <w:gridSpan w:val="2"/>
            <w:shd w:val="clear" w:color="auto" w:fill="auto"/>
            <w:noWrap/>
            <w:vAlign w:val="center"/>
            <w:hideMark/>
          </w:tcPr>
          <w:p w14:paraId="7FE8DC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366,235</w:t>
            </w:r>
          </w:p>
        </w:tc>
        <w:tc>
          <w:tcPr>
            <w:tcW w:w="867" w:type="dxa"/>
            <w:gridSpan w:val="2"/>
            <w:shd w:val="clear" w:color="auto" w:fill="auto"/>
            <w:noWrap/>
            <w:vAlign w:val="center"/>
            <w:hideMark/>
          </w:tcPr>
          <w:p w14:paraId="235AA1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367,930</w:t>
            </w:r>
          </w:p>
        </w:tc>
        <w:tc>
          <w:tcPr>
            <w:tcW w:w="867" w:type="dxa"/>
            <w:gridSpan w:val="2"/>
            <w:shd w:val="clear" w:color="auto" w:fill="auto"/>
            <w:noWrap/>
            <w:vAlign w:val="center"/>
            <w:hideMark/>
          </w:tcPr>
          <w:p w14:paraId="66F9EF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369,645</w:t>
            </w:r>
          </w:p>
        </w:tc>
        <w:tc>
          <w:tcPr>
            <w:tcW w:w="867" w:type="dxa"/>
            <w:gridSpan w:val="2"/>
            <w:shd w:val="clear" w:color="auto" w:fill="auto"/>
            <w:noWrap/>
            <w:vAlign w:val="center"/>
            <w:hideMark/>
          </w:tcPr>
          <w:p w14:paraId="1D5D207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371,437</w:t>
            </w:r>
          </w:p>
        </w:tc>
        <w:tc>
          <w:tcPr>
            <w:tcW w:w="867" w:type="dxa"/>
            <w:gridSpan w:val="2"/>
            <w:shd w:val="clear" w:color="auto" w:fill="auto"/>
            <w:noWrap/>
            <w:vAlign w:val="center"/>
            <w:hideMark/>
          </w:tcPr>
          <w:p w14:paraId="18B2DB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373,117</w:t>
            </w:r>
          </w:p>
        </w:tc>
        <w:tc>
          <w:tcPr>
            <w:tcW w:w="867" w:type="dxa"/>
            <w:gridSpan w:val="2"/>
            <w:shd w:val="clear" w:color="auto" w:fill="auto"/>
            <w:noWrap/>
            <w:vAlign w:val="center"/>
            <w:hideMark/>
          </w:tcPr>
          <w:p w14:paraId="20A27E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374,777</w:t>
            </w:r>
          </w:p>
        </w:tc>
        <w:tc>
          <w:tcPr>
            <w:tcW w:w="867" w:type="dxa"/>
            <w:gridSpan w:val="2"/>
            <w:shd w:val="clear" w:color="auto" w:fill="auto"/>
            <w:noWrap/>
            <w:vAlign w:val="center"/>
            <w:hideMark/>
          </w:tcPr>
          <w:p w14:paraId="14D6EC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376,331</w:t>
            </w:r>
          </w:p>
        </w:tc>
        <w:tc>
          <w:tcPr>
            <w:tcW w:w="867" w:type="dxa"/>
            <w:gridSpan w:val="2"/>
            <w:shd w:val="clear" w:color="auto" w:fill="auto"/>
            <w:noWrap/>
            <w:vAlign w:val="center"/>
            <w:hideMark/>
          </w:tcPr>
          <w:p w14:paraId="14375E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377,899</w:t>
            </w:r>
          </w:p>
        </w:tc>
      </w:tr>
      <w:tr w:rsidR="009E7571" w:rsidRPr="001E05F5" w14:paraId="1386E211" w14:textId="77777777" w:rsidTr="00E20967">
        <w:trPr>
          <w:gridAfter w:val="2"/>
          <w:wAfter w:w="26" w:type="dxa"/>
          <w:trHeight w:val="288"/>
        </w:trPr>
        <w:tc>
          <w:tcPr>
            <w:tcW w:w="1028" w:type="dxa"/>
            <w:vMerge/>
            <w:vAlign w:val="center"/>
            <w:hideMark/>
          </w:tcPr>
          <w:p w14:paraId="327EE4C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91A732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16BFFA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5DF24E1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3AA94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20961C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2CF84A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4C4981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3AE9344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1F867B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0540A28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1BA8F2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34.5%</w:t>
            </w:r>
          </w:p>
        </w:tc>
        <w:tc>
          <w:tcPr>
            <w:tcW w:w="867" w:type="dxa"/>
            <w:gridSpan w:val="2"/>
            <w:shd w:val="clear" w:color="auto" w:fill="auto"/>
            <w:noWrap/>
            <w:vAlign w:val="center"/>
            <w:hideMark/>
          </w:tcPr>
          <w:p w14:paraId="3B74E54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34.5%</w:t>
            </w:r>
          </w:p>
        </w:tc>
        <w:tc>
          <w:tcPr>
            <w:tcW w:w="867" w:type="dxa"/>
            <w:gridSpan w:val="2"/>
            <w:shd w:val="clear" w:color="000000" w:fill="FFFFCC"/>
            <w:noWrap/>
            <w:vAlign w:val="center"/>
            <w:hideMark/>
          </w:tcPr>
          <w:p w14:paraId="0E8C732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34.5%</w:t>
            </w:r>
          </w:p>
        </w:tc>
        <w:tc>
          <w:tcPr>
            <w:tcW w:w="867" w:type="dxa"/>
            <w:gridSpan w:val="2"/>
            <w:shd w:val="clear" w:color="auto" w:fill="auto"/>
            <w:noWrap/>
            <w:vAlign w:val="center"/>
            <w:hideMark/>
          </w:tcPr>
          <w:p w14:paraId="3D29F5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0DB0D6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543073C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61D613F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6CC915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7941BB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69C029D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0C116C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r>
      <w:tr w:rsidR="009E7571" w:rsidRPr="001E05F5" w14:paraId="2E5E4E2B" w14:textId="77777777" w:rsidTr="00E20967">
        <w:trPr>
          <w:gridAfter w:val="2"/>
          <w:wAfter w:w="26" w:type="dxa"/>
          <w:trHeight w:val="288"/>
        </w:trPr>
        <w:tc>
          <w:tcPr>
            <w:tcW w:w="1028" w:type="dxa"/>
            <w:vMerge/>
            <w:vAlign w:val="center"/>
            <w:hideMark/>
          </w:tcPr>
          <w:p w14:paraId="389B5C8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B38686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7E0AF3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05395B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047AA9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70BA46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53AD3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CC55C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2A80B9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27548C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71B19C1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45BD80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120176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000000" w:fill="FFFFCC"/>
            <w:noWrap/>
            <w:vAlign w:val="center"/>
            <w:hideMark/>
          </w:tcPr>
          <w:p w14:paraId="5D1AE04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6B1B2B4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0C575B8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0E5FB1F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083A71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4523D40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0A897F7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57EB9B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04C5ABD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r>
      <w:tr w:rsidR="009E7571" w:rsidRPr="001E05F5" w14:paraId="1F01692C" w14:textId="77777777" w:rsidTr="00E20967">
        <w:trPr>
          <w:gridAfter w:val="2"/>
          <w:wAfter w:w="26" w:type="dxa"/>
          <w:trHeight w:val="288"/>
        </w:trPr>
        <w:tc>
          <w:tcPr>
            <w:tcW w:w="1028" w:type="dxa"/>
            <w:vMerge/>
            <w:vAlign w:val="center"/>
            <w:hideMark/>
          </w:tcPr>
          <w:p w14:paraId="72E9932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5BEF63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09F96F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41369C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670D547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056D7C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544726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48A214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0D002C6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5AB459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53D703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7ABBEC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6646C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000000" w:fill="FFFFCC"/>
            <w:noWrap/>
            <w:vAlign w:val="center"/>
            <w:hideMark/>
          </w:tcPr>
          <w:p w14:paraId="25A0B5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16FB8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5611BF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01DE3E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460A51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4F574B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78AB6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0F90737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33AA15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r>
      <w:tr w:rsidR="00D46E3A" w:rsidRPr="001E05F5" w14:paraId="17691375" w14:textId="77777777" w:rsidTr="00E20967">
        <w:trPr>
          <w:gridAfter w:val="1"/>
          <w:wAfter w:w="13" w:type="dxa"/>
          <w:trHeight w:val="288"/>
        </w:trPr>
        <w:tc>
          <w:tcPr>
            <w:tcW w:w="1028" w:type="dxa"/>
            <w:vMerge/>
            <w:vAlign w:val="center"/>
            <w:hideMark/>
          </w:tcPr>
          <w:p w14:paraId="142C8A2A"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BBD242F"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7221D804"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£477,748,444</w:t>
            </w:r>
          </w:p>
        </w:tc>
      </w:tr>
      <w:tr w:rsidR="009E7571" w:rsidRPr="001E05F5" w14:paraId="528B12DD" w14:textId="77777777" w:rsidTr="00E20967">
        <w:trPr>
          <w:gridAfter w:val="2"/>
          <w:wAfter w:w="26" w:type="dxa"/>
          <w:trHeight w:val="288"/>
        </w:trPr>
        <w:tc>
          <w:tcPr>
            <w:tcW w:w="1028" w:type="dxa"/>
            <w:vMerge w:val="restart"/>
            <w:shd w:val="clear" w:color="auto" w:fill="auto"/>
            <w:vAlign w:val="center"/>
            <w:hideMark/>
          </w:tcPr>
          <w:p w14:paraId="351C28A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14513F0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0BEBC2A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6E96D1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AFFCA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20E88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2914E5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B7841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5F6415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1D8DDC9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6654FE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65A3071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3A5423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000000" w:fill="FFFFCC"/>
            <w:noWrap/>
            <w:vAlign w:val="center"/>
            <w:hideMark/>
          </w:tcPr>
          <w:p w14:paraId="48ED26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CF129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5ACDAE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1FB7E7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6D3E00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7EACC9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5CD99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7B9990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D3DAF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r>
      <w:tr w:rsidR="009E7571" w:rsidRPr="001E05F5" w14:paraId="16EE425C" w14:textId="77777777" w:rsidTr="00E20967">
        <w:trPr>
          <w:gridAfter w:val="2"/>
          <w:wAfter w:w="26" w:type="dxa"/>
          <w:trHeight w:val="288"/>
        </w:trPr>
        <w:tc>
          <w:tcPr>
            <w:tcW w:w="1028" w:type="dxa"/>
            <w:vMerge/>
            <w:vAlign w:val="center"/>
            <w:hideMark/>
          </w:tcPr>
          <w:p w14:paraId="3C5F8D24"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8B6644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483225E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46E5D4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A0416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9CF57E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26B14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10F0E5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04A4F8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47E698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7470FD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2DAFB68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48F9F0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000000" w:fill="FFFFCC"/>
            <w:noWrap/>
            <w:vAlign w:val="center"/>
            <w:hideMark/>
          </w:tcPr>
          <w:p w14:paraId="37864C9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36360B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526095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5E65B7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7F3EF3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2D0917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50CA44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7AAB37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158E80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r>
      <w:tr w:rsidR="009E7571" w:rsidRPr="001E05F5" w14:paraId="0CD43128" w14:textId="77777777" w:rsidTr="00E20967">
        <w:trPr>
          <w:gridAfter w:val="2"/>
          <w:wAfter w:w="26" w:type="dxa"/>
          <w:trHeight w:val="288"/>
        </w:trPr>
        <w:tc>
          <w:tcPr>
            <w:tcW w:w="1028" w:type="dxa"/>
            <w:vMerge/>
            <w:vAlign w:val="center"/>
            <w:hideMark/>
          </w:tcPr>
          <w:p w14:paraId="4D74798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866C2B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69482FA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15835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FFD5C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5CE15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E21CA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1566C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B8B6F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F5037D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37A63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951D5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337C63C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000000" w:fill="FFFFCC"/>
            <w:noWrap/>
            <w:vAlign w:val="center"/>
            <w:hideMark/>
          </w:tcPr>
          <w:p w14:paraId="460C22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5A939F1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6C4A86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020F0F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16C3AEF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6C1C14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0C5E4E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18ED08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58749D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r>
      <w:tr w:rsidR="009E7571" w:rsidRPr="001E05F5" w14:paraId="738FCF4C" w14:textId="77777777" w:rsidTr="00E20967">
        <w:trPr>
          <w:gridAfter w:val="2"/>
          <w:wAfter w:w="26" w:type="dxa"/>
          <w:trHeight w:val="288"/>
        </w:trPr>
        <w:tc>
          <w:tcPr>
            <w:tcW w:w="1028" w:type="dxa"/>
            <w:vMerge/>
            <w:vAlign w:val="center"/>
            <w:hideMark/>
          </w:tcPr>
          <w:p w14:paraId="436E88AC"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27E10B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39541B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6AA9B0C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AF06A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443311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0BEDFC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59C87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11666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375CE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97691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4C6CD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09D827D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000000" w:fill="FFFFCC"/>
            <w:noWrap/>
            <w:vAlign w:val="center"/>
            <w:hideMark/>
          </w:tcPr>
          <w:p w14:paraId="447C41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6DE913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21A1E7D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5B4713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50D3F3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6E3C68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1E91E5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5E26C8D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10F3C9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r>
      <w:tr w:rsidR="00D46E3A" w:rsidRPr="001E05F5" w14:paraId="0C54D72D" w14:textId="77777777" w:rsidTr="00E20967">
        <w:trPr>
          <w:gridAfter w:val="2"/>
          <w:wAfter w:w="26" w:type="dxa"/>
          <w:trHeight w:val="288"/>
        </w:trPr>
        <w:tc>
          <w:tcPr>
            <w:tcW w:w="1028" w:type="dxa"/>
            <w:vMerge/>
            <w:vAlign w:val="center"/>
            <w:hideMark/>
          </w:tcPr>
          <w:p w14:paraId="6F107CCF"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691081C"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64F0FE33"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-5.4%</w:t>
            </w:r>
          </w:p>
        </w:tc>
      </w:tr>
      <w:tr w:rsidR="009E7571" w:rsidRPr="001E05F5" w14:paraId="6CFAF83A"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2DCF9B5C"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2c</w:t>
            </w:r>
          </w:p>
        </w:tc>
        <w:tc>
          <w:tcPr>
            <w:tcW w:w="1129" w:type="dxa"/>
            <w:shd w:val="clear" w:color="auto" w:fill="D9D9D9" w:themeFill="background1" w:themeFillShade="D9"/>
            <w:noWrap/>
            <w:vAlign w:val="center"/>
            <w:hideMark/>
          </w:tcPr>
          <w:p w14:paraId="1087F33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4A8B245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56FD9B0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5A32618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59D4FC3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5ADBD6D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3ECCE2C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552581E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1AF553E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50A1C99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69BEC66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56CE012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380F4E0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3E3104A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798BAD7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7E8B912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4B4CE2B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5FA2FE1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0AFBAB1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73DFD4F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26C5D723" w14:textId="77777777" w:rsidTr="00E20967">
        <w:trPr>
          <w:gridAfter w:val="2"/>
          <w:wAfter w:w="26" w:type="dxa"/>
          <w:trHeight w:val="288"/>
        </w:trPr>
        <w:tc>
          <w:tcPr>
            <w:tcW w:w="1028" w:type="dxa"/>
            <w:vMerge w:val="restart"/>
            <w:shd w:val="clear" w:color="auto" w:fill="auto"/>
            <w:vAlign w:val="center"/>
            <w:hideMark/>
          </w:tcPr>
          <w:p w14:paraId="7311AEE5"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086F81B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38CF89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0CD1DC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69FF63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0587DB5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47F573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351,723</w:t>
            </w:r>
          </w:p>
        </w:tc>
        <w:tc>
          <w:tcPr>
            <w:tcW w:w="867" w:type="dxa"/>
            <w:gridSpan w:val="2"/>
            <w:shd w:val="clear" w:color="auto" w:fill="auto"/>
            <w:noWrap/>
            <w:vAlign w:val="center"/>
            <w:hideMark/>
          </w:tcPr>
          <w:p w14:paraId="2E6F88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353,674</w:t>
            </w:r>
          </w:p>
        </w:tc>
        <w:tc>
          <w:tcPr>
            <w:tcW w:w="867" w:type="dxa"/>
            <w:gridSpan w:val="2"/>
            <w:shd w:val="clear" w:color="auto" w:fill="auto"/>
            <w:noWrap/>
            <w:vAlign w:val="center"/>
            <w:hideMark/>
          </w:tcPr>
          <w:p w14:paraId="07CBDD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355,551</w:t>
            </w:r>
          </w:p>
        </w:tc>
        <w:tc>
          <w:tcPr>
            <w:tcW w:w="867" w:type="dxa"/>
            <w:gridSpan w:val="2"/>
            <w:shd w:val="clear" w:color="auto" w:fill="auto"/>
            <w:noWrap/>
            <w:vAlign w:val="center"/>
            <w:hideMark/>
          </w:tcPr>
          <w:p w14:paraId="3304973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357,293</w:t>
            </w:r>
          </w:p>
        </w:tc>
        <w:tc>
          <w:tcPr>
            <w:tcW w:w="867" w:type="dxa"/>
            <w:gridSpan w:val="2"/>
            <w:shd w:val="clear" w:color="auto" w:fill="auto"/>
            <w:noWrap/>
            <w:vAlign w:val="center"/>
            <w:hideMark/>
          </w:tcPr>
          <w:p w14:paraId="522A9A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359,055</w:t>
            </w:r>
          </w:p>
        </w:tc>
        <w:tc>
          <w:tcPr>
            <w:tcW w:w="867" w:type="dxa"/>
            <w:gridSpan w:val="2"/>
            <w:shd w:val="clear" w:color="auto" w:fill="auto"/>
            <w:noWrap/>
            <w:vAlign w:val="center"/>
            <w:hideMark/>
          </w:tcPr>
          <w:p w14:paraId="477C12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360,821</w:t>
            </w:r>
          </w:p>
        </w:tc>
        <w:tc>
          <w:tcPr>
            <w:tcW w:w="867" w:type="dxa"/>
            <w:gridSpan w:val="2"/>
            <w:shd w:val="clear" w:color="auto" w:fill="auto"/>
            <w:noWrap/>
            <w:vAlign w:val="center"/>
            <w:hideMark/>
          </w:tcPr>
          <w:p w14:paraId="7DD5C8D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362,693</w:t>
            </w:r>
          </w:p>
        </w:tc>
        <w:tc>
          <w:tcPr>
            <w:tcW w:w="867" w:type="dxa"/>
            <w:gridSpan w:val="2"/>
            <w:shd w:val="clear" w:color="000000" w:fill="FFFFCC"/>
            <w:noWrap/>
            <w:vAlign w:val="center"/>
            <w:hideMark/>
          </w:tcPr>
          <w:p w14:paraId="0D86CF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364,481</w:t>
            </w:r>
          </w:p>
        </w:tc>
        <w:tc>
          <w:tcPr>
            <w:tcW w:w="867" w:type="dxa"/>
            <w:gridSpan w:val="2"/>
            <w:shd w:val="clear" w:color="auto" w:fill="auto"/>
            <w:noWrap/>
            <w:vAlign w:val="center"/>
            <w:hideMark/>
          </w:tcPr>
          <w:p w14:paraId="07E284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366,235</w:t>
            </w:r>
          </w:p>
        </w:tc>
        <w:tc>
          <w:tcPr>
            <w:tcW w:w="867" w:type="dxa"/>
            <w:gridSpan w:val="2"/>
            <w:shd w:val="clear" w:color="auto" w:fill="auto"/>
            <w:noWrap/>
            <w:vAlign w:val="center"/>
            <w:hideMark/>
          </w:tcPr>
          <w:p w14:paraId="180967D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367,930</w:t>
            </w:r>
          </w:p>
        </w:tc>
        <w:tc>
          <w:tcPr>
            <w:tcW w:w="867" w:type="dxa"/>
            <w:gridSpan w:val="2"/>
            <w:shd w:val="clear" w:color="auto" w:fill="auto"/>
            <w:noWrap/>
            <w:vAlign w:val="center"/>
            <w:hideMark/>
          </w:tcPr>
          <w:p w14:paraId="3BE1B8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369,645</w:t>
            </w:r>
          </w:p>
        </w:tc>
        <w:tc>
          <w:tcPr>
            <w:tcW w:w="867" w:type="dxa"/>
            <w:gridSpan w:val="2"/>
            <w:shd w:val="clear" w:color="auto" w:fill="auto"/>
            <w:noWrap/>
            <w:vAlign w:val="center"/>
            <w:hideMark/>
          </w:tcPr>
          <w:p w14:paraId="5D78FA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371,437</w:t>
            </w:r>
          </w:p>
        </w:tc>
        <w:tc>
          <w:tcPr>
            <w:tcW w:w="867" w:type="dxa"/>
            <w:gridSpan w:val="2"/>
            <w:shd w:val="clear" w:color="auto" w:fill="auto"/>
            <w:noWrap/>
            <w:vAlign w:val="center"/>
            <w:hideMark/>
          </w:tcPr>
          <w:p w14:paraId="052A65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373,117</w:t>
            </w:r>
          </w:p>
        </w:tc>
        <w:tc>
          <w:tcPr>
            <w:tcW w:w="867" w:type="dxa"/>
            <w:gridSpan w:val="2"/>
            <w:shd w:val="clear" w:color="auto" w:fill="auto"/>
            <w:noWrap/>
            <w:vAlign w:val="center"/>
            <w:hideMark/>
          </w:tcPr>
          <w:p w14:paraId="4689BE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374,777</w:t>
            </w:r>
          </w:p>
        </w:tc>
        <w:tc>
          <w:tcPr>
            <w:tcW w:w="867" w:type="dxa"/>
            <w:gridSpan w:val="2"/>
            <w:shd w:val="clear" w:color="auto" w:fill="auto"/>
            <w:noWrap/>
            <w:vAlign w:val="center"/>
            <w:hideMark/>
          </w:tcPr>
          <w:p w14:paraId="2D5006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376,331</w:t>
            </w:r>
          </w:p>
        </w:tc>
        <w:tc>
          <w:tcPr>
            <w:tcW w:w="867" w:type="dxa"/>
            <w:gridSpan w:val="2"/>
            <w:shd w:val="clear" w:color="auto" w:fill="auto"/>
            <w:noWrap/>
            <w:vAlign w:val="center"/>
            <w:hideMark/>
          </w:tcPr>
          <w:p w14:paraId="721EE8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377,899</w:t>
            </w:r>
          </w:p>
        </w:tc>
      </w:tr>
      <w:tr w:rsidR="009E7571" w:rsidRPr="001E05F5" w14:paraId="507D02F7" w14:textId="77777777" w:rsidTr="00E20967">
        <w:trPr>
          <w:gridAfter w:val="2"/>
          <w:wAfter w:w="26" w:type="dxa"/>
          <w:trHeight w:val="288"/>
        </w:trPr>
        <w:tc>
          <w:tcPr>
            <w:tcW w:w="1028" w:type="dxa"/>
            <w:vMerge/>
            <w:vAlign w:val="center"/>
            <w:hideMark/>
          </w:tcPr>
          <w:p w14:paraId="0EDB23F9"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7FFBB2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78BBD4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58C5033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19188AE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5D949AE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290850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3F17BA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0C494A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72C6AE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4B12E8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2F79DE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34.5%</w:t>
            </w:r>
          </w:p>
        </w:tc>
        <w:tc>
          <w:tcPr>
            <w:tcW w:w="867" w:type="dxa"/>
            <w:gridSpan w:val="2"/>
            <w:shd w:val="clear" w:color="auto" w:fill="auto"/>
            <w:noWrap/>
            <w:vAlign w:val="center"/>
            <w:hideMark/>
          </w:tcPr>
          <w:p w14:paraId="716B38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34.5%</w:t>
            </w:r>
          </w:p>
        </w:tc>
        <w:tc>
          <w:tcPr>
            <w:tcW w:w="867" w:type="dxa"/>
            <w:gridSpan w:val="2"/>
            <w:shd w:val="clear" w:color="000000" w:fill="FFFFCC"/>
            <w:noWrap/>
            <w:vAlign w:val="center"/>
            <w:hideMark/>
          </w:tcPr>
          <w:p w14:paraId="396BAAE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34.5%</w:t>
            </w:r>
          </w:p>
        </w:tc>
        <w:tc>
          <w:tcPr>
            <w:tcW w:w="867" w:type="dxa"/>
            <w:gridSpan w:val="2"/>
            <w:shd w:val="clear" w:color="auto" w:fill="auto"/>
            <w:noWrap/>
            <w:vAlign w:val="center"/>
            <w:hideMark/>
          </w:tcPr>
          <w:p w14:paraId="72886BC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769CC2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76E86F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4E02F3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624A32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5378654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4CD21C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3390AE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r>
      <w:tr w:rsidR="009E7571" w:rsidRPr="001E05F5" w14:paraId="4FA3913D" w14:textId="77777777" w:rsidTr="00E20967">
        <w:trPr>
          <w:gridAfter w:val="2"/>
          <w:wAfter w:w="26" w:type="dxa"/>
          <w:trHeight w:val="288"/>
        </w:trPr>
        <w:tc>
          <w:tcPr>
            <w:tcW w:w="1028" w:type="dxa"/>
            <w:vMerge/>
            <w:vAlign w:val="center"/>
            <w:hideMark/>
          </w:tcPr>
          <w:p w14:paraId="66E7A2E2"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F609A2E"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1807CE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7E7690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581D3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009FF63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3B48C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0817D8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52BA7E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57988D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127E8F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1C5C2F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64.8%</w:t>
            </w:r>
          </w:p>
        </w:tc>
        <w:tc>
          <w:tcPr>
            <w:tcW w:w="867" w:type="dxa"/>
            <w:gridSpan w:val="2"/>
            <w:shd w:val="clear" w:color="auto" w:fill="auto"/>
            <w:noWrap/>
            <w:vAlign w:val="center"/>
            <w:hideMark/>
          </w:tcPr>
          <w:p w14:paraId="179FE10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c>
          <w:tcPr>
            <w:tcW w:w="867" w:type="dxa"/>
            <w:gridSpan w:val="2"/>
            <w:shd w:val="clear" w:color="000000" w:fill="FFFFCC"/>
            <w:noWrap/>
            <w:vAlign w:val="center"/>
            <w:hideMark/>
          </w:tcPr>
          <w:p w14:paraId="6B8826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c>
          <w:tcPr>
            <w:tcW w:w="867" w:type="dxa"/>
            <w:gridSpan w:val="2"/>
            <w:shd w:val="clear" w:color="auto" w:fill="auto"/>
            <w:noWrap/>
            <w:vAlign w:val="center"/>
            <w:hideMark/>
          </w:tcPr>
          <w:p w14:paraId="613050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c>
          <w:tcPr>
            <w:tcW w:w="867" w:type="dxa"/>
            <w:gridSpan w:val="2"/>
            <w:shd w:val="clear" w:color="auto" w:fill="auto"/>
            <w:noWrap/>
            <w:vAlign w:val="center"/>
            <w:hideMark/>
          </w:tcPr>
          <w:p w14:paraId="1583696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c>
          <w:tcPr>
            <w:tcW w:w="867" w:type="dxa"/>
            <w:gridSpan w:val="2"/>
            <w:shd w:val="clear" w:color="auto" w:fill="auto"/>
            <w:noWrap/>
            <w:vAlign w:val="center"/>
            <w:hideMark/>
          </w:tcPr>
          <w:p w14:paraId="6D6FC9E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65.0%</w:t>
            </w:r>
          </w:p>
        </w:tc>
        <w:tc>
          <w:tcPr>
            <w:tcW w:w="867" w:type="dxa"/>
            <w:gridSpan w:val="2"/>
            <w:shd w:val="clear" w:color="auto" w:fill="auto"/>
            <w:noWrap/>
            <w:vAlign w:val="center"/>
            <w:hideMark/>
          </w:tcPr>
          <w:p w14:paraId="74A12D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65.0%</w:t>
            </w:r>
          </w:p>
        </w:tc>
        <w:tc>
          <w:tcPr>
            <w:tcW w:w="867" w:type="dxa"/>
            <w:gridSpan w:val="2"/>
            <w:shd w:val="clear" w:color="auto" w:fill="auto"/>
            <w:noWrap/>
            <w:vAlign w:val="center"/>
            <w:hideMark/>
          </w:tcPr>
          <w:p w14:paraId="665AB9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65.0%</w:t>
            </w:r>
          </w:p>
        </w:tc>
        <w:tc>
          <w:tcPr>
            <w:tcW w:w="867" w:type="dxa"/>
            <w:gridSpan w:val="2"/>
            <w:shd w:val="clear" w:color="auto" w:fill="auto"/>
            <w:noWrap/>
            <w:vAlign w:val="center"/>
            <w:hideMark/>
          </w:tcPr>
          <w:p w14:paraId="4179FA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65.1%</w:t>
            </w:r>
          </w:p>
        </w:tc>
        <w:tc>
          <w:tcPr>
            <w:tcW w:w="867" w:type="dxa"/>
            <w:gridSpan w:val="2"/>
            <w:shd w:val="clear" w:color="auto" w:fill="auto"/>
            <w:noWrap/>
            <w:vAlign w:val="center"/>
            <w:hideMark/>
          </w:tcPr>
          <w:p w14:paraId="7F980E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65.1%</w:t>
            </w:r>
          </w:p>
        </w:tc>
        <w:tc>
          <w:tcPr>
            <w:tcW w:w="867" w:type="dxa"/>
            <w:gridSpan w:val="2"/>
            <w:shd w:val="clear" w:color="auto" w:fill="auto"/>
            <w:noWrap/>
            <w:vAlign w:val="center"/>
            <w:hideMark/>
          </w:tcPr>
          <w:p w14:paraId="0775DC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65.1%</w:t>
            </w:r>
          </w:p>
        </w:tc>
      </w:tr>
      <w:tr w:rsidR="009E7571" w:rsidRPr="001E05F5" w14:paraId="005853A7" w14:textId="77777777" w:rsidTr="00E20967">
        <w:trPr>
          <w:gridAfter w:val="2"/>
          <w:wAfter w:w="26" w:type="dxa"/>
          <w:trHeight w:val="288"/>
        </w:trPr>
        <w:tc>
          <w:tcPr>
            <w:tcW w:w="1028" w:type="dxa"/>
            <w:vMerge/>
            <w:vAlign w:val="center"/>
            <w:hideMark/>
          </w:tcPr>
          <w:p w14:paraId="5107ADEC"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EA80BA1"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7FD2F1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5A8BCA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FE4B9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44A055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55F26B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5005DC9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0BED28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24473D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5C00BD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23685AA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auto" w:fill="auto"/>
            <w:noWrap/>
            <w:vAlign w:val="center"/>
            <w:hideMark/>
          </w:tcPr>
          <w:p w14:paraId="756A60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000000" w:fill="FFFFCC"/>
            <w:noWrap/>
            <w:vAlign w:val="center"/>
            <w:hideMark/>
          </w:tcPr>
          <w:p w14:paraId="0D032D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auto" w:fill="auto"/>
            <w:noWrap/>
            <w:vAlign w:val="center"/>
            <w:hideMark/>
          </w:tcPr>
          <w:p w14:paraId="4DED40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auto" w:fill="auto"/>
            <w:noWrap/>
            <w:vAlign w:val="center"/>
            <w:hideMark/>
          </w:tcPr>
          <w:p w14:paraId="21C220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auto" w:fill="auto"/>
            <w:noWrap/>
            <w:vAlign w:val="center"/>
            <w:hideMark/>
          </w:tcPr>
          <w:p w14:paraId="2F6312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auto" w:fill="auto"/>
            <w:noWrap/>
            <w:vAlign w:val="center"/>
            <w:hideMark/>
          </w:tcPr>
          <w:p w14:paraId="06BB1A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auto" w:fill="auto"/>
            <w:noWrap/>
            <w:vAlign w:val="center"/>
            <w:hideMark/>
          </w:tcPr>
          <w:p w14:paraId="52EB3E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auto" w:fill="auto"/>
            <w:noWrap/>
            <w:vAlign w:val="center"/>
            <w:hideMark/>
          </w:tcPr>
          <w:p w14:paraId="25C99D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auto" w:fill="auto"/>
            <w:noWrap/>
            <w:vAlign w:val="center"/>
            <w:hideMark/>
          </w:tcPr>
          <w:p w14:paraId="42A2778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c>
          <w:tcPr>
            <w:tcW w:w="867" w:type="dxa"/>
            <w:gridSpan w:val="2"/>
            <w:shd w:val="clear" w:color="auto" w:fill="auto"/>
            <w:noWrap/>
            <w:vAlign w:val="center"/>
            <w:hideMark/>
          </w:tcPr>
          <w:p w14:paraId="6DD0DA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20.1%</w:t>
            </w:r>
          </w:p>
        </w:tc>
      </w:tr>
      <w:tr w:rsidR="00D46E3A" w:rsidRPr="001E05F5" w14:paraId="1F8956B1" w14:textId="77777777" w:rsidTr="00E20967">
        <w:trPr>
          <w:gridAfter w:val="1"/>
          <w:wAfter w:w="13" w:type="dxa"/>
          <w:trHeight w:val="288"/>
        </w:trPr>
        <w:tc>
          <w:tcPr>
            <w:tcW w:w="1028" w:type="dxa"/>
            <w:vMerge/>
            <w:vAlign w:val="center"/>
            <w:hideMark/>
          </w:tcPr>
          <w:p w14:paraId="578DEF3B"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B1F81CC"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02C375C2"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£458,598,575</w:t>
            </w:r>
          </w:p>
        </w:tc>
      </w:tr>
      <w:tr w:rsidR="009E7571" w:rsidRPr="001E05F5" w14:paraId="0B5C8029" w14:textId="77777777" w:rsidTr="00E20967">
        <w:trPr>
          <w:gridAfter w:val="2"/>
          <w:wAfter w:w="26" w:type="dxa"/>
          <w:trHeight w:val="288"/>
        </w:trPr>
        <w:tc>
          <w:tcPr>
            <w:tcW w:w="1028" w:type="dxa"/>
            <w:vMerge w:val="restart"/>
            <w:shd w:val="clear" w:color="auto" w:fill="auto"/>
            <w:vAlign w:val="center"/>
            <w:hideMark/>
          </w:tcPr>
          <w:p w14:paraId="72CF7527"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1BCE5A7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567281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01DACF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259B9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725BD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DD8274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786832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507771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1155203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9C26D1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2DF2C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6AC80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000000" w:fill="FFFFCC"/>
            <w:noWrap/>
            <w:vAlign w:val="center"/>
            <w:hideMark/>
          </w:tcPr>
          <w:p w14:paraId="62C1BD3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3D8407B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D2A096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20B74D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33313A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2AC3E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24EF248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5587F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2F1673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r>
      <w:tr w:rsidR="009E7571" w:rsidRPr="001E05F5" w14:paraId="01F331ED" w14:textId="77777777" w:rsidTr="00E20967">
        <w:trPr>
          <w:gridAfter w:val="2"/>
          <w:wAfter w:w="26" w:type="dxa"/>
          <w:trHeight w:val="288"/>
        </w:trPr>
        <w:tc>
          <w:tcPr>
            <w:tcW w:w="1028" w:type="dxa"/>
            <w:vMerge/>
            <w:vAlign w:val="center"/>
            <w:hideMark/>
          </w:tcPr>
          <w:p w14:paraId="76AD4962"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0E5200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210B58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4B4E44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4AF1F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D494DF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040B9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6E1C02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43A2BB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550C3E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51B865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2A2781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4892C1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000000" w:fill="FFFFCC"/>
            <w:noWrap/>
            <w:vAlign w:val="center"/>
            <w:hideMark/>
          </w:tcPr>
          <w:p w14:paraId="41081AE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6EFC08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55D72E4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3B17AF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16AB8A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4DDF30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065ABC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61F7C2C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78F8F5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r>
      <w:tr w:rsidR="009E7571" w:rsidRPr="001E05F5" w14:paraId="1B1FAD58" w14:textId="77777777" w:rsidTr="00E20967">
        <w:trPr>
          <w:gridAfter w:val="2"/>
          <w:wAfter w:w="26" w:type="dxa"/>
          <w:trHeight w:val="288"/>
        </w:trPr>
        <w:tc>
          <w:tcPr>
            <w:tcW w:w="1028" w:type="dxa"/>
            <w:vMerge/>
            <w:vAlign w:val="center"/>
            <w:hideMark/>
          </w:tcPr>
          <w:p w14:paraId="69CEF2E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348EB9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5F83241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450CB2E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338A1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E87A5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4E20C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F03BC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D72440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3A7B7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43D3A9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BFE74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auto" w:fill="auto"/>
            <w:noWrap/>
            <w:vAlign w:val="center"/>
            <w:hideMark/>
          </w:tcPr>
          <w:p w14:paraId="4BCEC9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000000" w:fill="FFFFCC"/>
            <w:noWrap/>
            <w:vAlign w:val="center"/>
            <w:hideMark/>
          </w:tcPr>
          <w:p w14:paraId="57260C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auto" w:fill="auto"/>
            <w:noWrap/>
            <w:vAlign w:val="center"/>
            <w:hideMark/>
          </w:tcPr>
          <w:p w14:paraId="69ABFED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auto" w:fill="auto"/>
            <w:noWrap/>
            <w:vAlign w:val="center"/>
            <w:hideMark/>
          </w:tcPr>
          <w:p w14:paraId="065C68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auto" w:fill="auto"/>
            <w:noWrap/>
            <w:vAlign w:val="center"/>
            <w:hideMark/>
          </w:tcPr>
          <w:p w14:paraId="221F14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auto" w:fill="auto"/>
            <w:noWrap/>
            <w:vAlign w:val="center"/>
            <w:hideMark/>
          </w:tcPr>
          <w:p w14:paraId="1D5443D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44BAEFE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52938E7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01CC977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c>
          <w:tcPr>
            <w:tcW w:w="867" w:type="dxa"/>
            <w:gridSpan w:val="2"/>
            <w:shd w:val="clear" w:color="auto" w:fill="auto"/>
            <w:noWrap/>
            <w:vAlign w:val="center"/>
            <w:hideMark/>
          </w:tcPr>
          <w:p w14:paraId="20DB60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-24.4%</w:t>
            </w:r>
          </w:p>
        </w:tc>
      </w:tr>
      <w:tr w:rsidR="009E7571" w:rsidRPr="001E05F5" w14:paraId="51BA4665" w14:textId="77777777" w:rsidTr="00E20967">
        <w:trPr>
          <w:gridAfter w:val="2"/>
          <w:wAfter w:w="26" w:type="dxa"/>
          <w:trHeight w:val="288"/>
        </w:trPr>
        <w:tc>
          <w:tcPr>
            <w:tcW w:w="1028" w:type="dxa"/>
            <w:vMerge/>
            <w:vAlign w:val="center"/>
            <w:hideMark/>
          </w:tcPr>
          <w:p w14:paraId="2949D62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0A926B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443F8CE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550C6F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91995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582C7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52A84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B2481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2845C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AE7FF6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13E0C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47A19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13.9%</w:t>
            </w:r>
          </w:p>
        </w:tc>
        <w:tc>
          <w:tcPr>
            <w:tcW w:w="867" w:type="dxa"/>
            <w:gridSpan w:val="2"/>
            <w:shd w:val="clear" w:color="auto" w:fill="auto"/>
            <w:noWrap/>
            <w:vAlign w:val="center"/>
            <w:hideMark/>
          </w:tcPr>
          <w:p w14:paraId="4B36E1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c>
          <w:tcPr>
            <w:tcW w:w="867" w:type="dxa"/>
            <w:gridSpan w:val="2"/>
            <w:shd w:val="clear" w:color="000000" w:fill="FFFFCC"/>
            <w:noWrap/>
            <w:vAlign w:val="center"/>
            <w:hideMark/>
          </w:tcPr>
          <w:p w14:paraId="137010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c>
          <w:tcPr>
            <w:tcW w:w="867" w:type="dxa"/>
            <w:gridSpan w:val="2"/>
            <w:shd w:val="clear" w:color="auto" w:fill="auto"/>
            <w:noWrap/>
            <w:vAlign w:val="center"/>
            <w:hideMark/>
          </w:tcPr>
          <w:p w14:paraId="4D3D05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c>
          <w:tcPr>
            <w:tcW w:w="867" w:type="dxa"/>
            <w:gridSpan w:val="2"/>
            <w:shd w:val="clear" w:color="auto" w:fill="auto"/>
            <w:noWrap/>
            <w:vAlign w:val="center"/>
            <w:hideMark/>
          </w:tcPr>
          <w:p w14:paraId="390350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c>
          <w:tcPr>
            <w:tcW w:w="867" w:type="dxa"/>
            <w:gridSpan w:val="2"/>
            <w:shd w:val="clear" w:color="auto" w:fill="auto"/>
            <w:noWrap/>
            <w:vAlign w:val="center"/>
            <w:hideMark/>
          </w:tcPr>
          <w:p w14:paraId="4F37BD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c>
          <w:tcPr>
            <w:tcW w:w="867" w:type="dxa"/>
            <w:gridSpan w:val="2"/>
            <w:shd w:val="clear" w:color="auto" w:fill="auto"/>
            <w:noWrap/>
            <w:vAlign w:val="center"/>
            <w:hideMark/>
          </w:tcPr>
          <w:p w14:paraId="287068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c>
          <w:tcPr>
            <w:tcW w:w="867" w:type="dxa"/>
            <w:gridSpan w:val="2"/>
            <w:shd w:val="clear" w:color="auto" w:fill="auto"/>
            <w:noWrap/>
            <w:vAlign w:val="center"/>
            <w:hideMark/>
          </w:tcPr>
          <w:p w14:paraId="7B66B8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c>
          <w:tcPr>
            <w:tcW w:w="867" w:type="dxa"/>
            <w:gridSpan w:val="2"/>
            <w:shd w:val="clear" w:color="auto" w:fill="auto"/>
            <w:noWrap/>
            <w:vAlign w:val="center"/>
            <w:hideMark/>
          </w:tcPr>
          <w:p w14:paraId="2EBCBA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c>
          <w:tcPr>
            <w:tcW w:w="867" w:type="dxa"/>
            <w:gridSpan w:val="2"/>
            <w:shd w:val="clear" w:color="auto" w:fill="auto"/>
            <w:noWrap/>
            <w:vAlign w:val="center"/>
            <w:hideMark/>
          </w:tcPr>
          <w:p w14:paraId="195563A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c>
          <w:tcPr>
            <w:tcW w:w="867" w:type="dxa"/>
            <w:gridSpan w:val="2"/>
            <w:shd w:val="clear" w:color="auto" w:fill="auto"/>
            <w:noWrap/>
            <w:vAlign w:val="center"/>
            <w:hideMark/>
          </w:tcPr>
          <w:p w14:paraId="7BDC69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14.0%</w:t>
            </w:r>
          </w:p>
        </w:tc>
      </w:tr>
      <w:tr w:rsidR="00D46E3A" w:rsidRPr="001E05F5" w14:paraId="22544760" w14:textId="77777777" w:rsidTr="00E20967">
        <w:trPr>
          <w:gridAfter w:val="2"/>
          <w:wAfter w:w="26" w:type="dxa"/>
          <w:trHeight w:val="288"/>
        </w:trPr>
        <w:tc>
          <w:tcPr>
            <w:tcW w:w="1028" w:type="dxa"/>
            <w:vMerge/>
            <w:vAlign w:val="center"/>
            <w:hideMark/>
          </w:tcPr>
          <w:p w14:paraId="722B7312"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7EA6657"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4664C131"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-9.2%</w:t>
            </w:r>
          </w:p>
        </w:tc>
      </w:tr>
      <w:tr w:rsidR="009E7571" w:rsidRPr="001E05F5" w14:paraId="480C9C90"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1642E7CC"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2d</w:t>
            </w:r>
          </w:p>
        </w:tc>
        <w:tc>
          <w:tcPr>
            <w:tcW w:w="1129" w:type="dxa"/>
            <w:shd w:val="clear" w:color="auto" w:fill="D9D9D9" w:themeFill="background1" w:themeFillShade="D9"/>
            <w:noWrap/>
            <w:vAlign w:val="center"/>
            <w:hideMark/>
          </w:tcPr>
          <w:p w14:paraId="1FC3403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2084812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165AE3C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37E1D8E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6E4B274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542EB75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1F3B874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49C0808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790EE86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4BF65D7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456D1C0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05D8814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5DE325C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6E2D1F9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54224EC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43342D0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43B093D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6823F28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461BD59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34DE1D0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4F43C43A" w14:textId="77777777" w:rsidTr="00E20967">
        <w:trPr>
          <w:gridAfter w:val="2"/>
          <w:wAfter w:w="26" w:type="dxa"/>
          <w:trHeight w:val="288"/>
        </w:trPr>
        <w:tc>
          <w:tcPr>
            <w:tcW w:w="1028" w:type="dxa"/>
            <w:vMerge w:val="restart"/>
            <w:shd w:val="clear" w:color="auto" w:fill="auto"/>
            <w:vAlign w:val="center"/>
            <w:hideMark/>
          </w:tcPr>
          <w:p w14:paraId="26DF264B"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59CCC6E3"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1FF6E2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5D66F7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5226A35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2F5425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4A40DF1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351,723</w:t>
            </w:r>
          </w:p>
        </w:tc>
        <w:tc>
          <w:tcPr>
            <w:tcW w:w="867" w:type="dxa"/>
            <w:gridSpan w:val="2"/>
            <w:shd w:val="clear" w:color="auto" w:fill="auto"/>
            <w:noWrap/>
            <w:vAlign w:val="center"/>
            <w:hideMark/>
          </w:tcPr>
          <w:p w14:paraId="35BAC9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353,674</w:t>
            </w:r>
          </w:p>
        </w:tc>
        <w:tc>
          <w:tcPr>
            <w:tcW w:w="867" w:type="dxa"/>
            <w:gridSpan w:val="2"/>
            <w:shd w:val="clear" w:color="auto" w:fill="auto"/>
            <w:noWrap/>
            <w:vAlign w:val="center"/>
            <w:hideMark/>
          </w:tcPr>
          <w:p w14:paraId="59C38A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355,551</w:t>
            </w:r>
          </w:p>
        </w:tc>
        <w:tc>
          <w:tcPr>
            <w:tcW w:w="867" w:type="dxa"/>
            <w:gridSpan w:val="2"/>
            <w:shd w:val="clear" w:color="auto" w:fill="auto"/>
            <w:noWrap/>
            <w:vAlign w:val="center"/>
            <w:hideMark/>
          </w:tcPr>
          <w:p w14:paraId="3D99A6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357,293</w:t>
            </w:r>
          </w:p>
        </w:tc>
        <w:tc>
          <w:tcPr>
            <w:tcW w:w="867" w:type="dxa"/>
            <w:gridSpan w:val="2"/>
            <w:shd w:val="clear" w:color="auto" w:fill="auto"/>
            <w:noWrap/>
            <w:vAlign w:val="center"/>
            <w:hideMark/>
          </w:tcPr>
          <w:p w14:paraId="4A9E5CD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359,055</w:t>
            </w:r>
          </w:p>
        </w:tc>
        <w:tc>
          <w:tcPr>
            <w:tcW w:w="867" w:type="dxa"/>
            <w:gridSpan w:val="2"/>
            <w:shd w:val="clear" w:color="auto" w:fill="auto"/>
            <w:noWrap/>
            <w:vAlign w:val="center"/>
            <w:hideMark/>
          </w:tcPr>
          <w:p w14:paraId="385C05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360,821</w:t>
            </w:r>
          </w:p>
        </w:tc>
        <w:tc>
          <w:tcPr>
            <w:tcW w:w="867" w:type="dxa"/>
            <w:gridSpan w:val="2"/>
            <w:shd w:val="clear" w:color="auto" w:fill="auto"/>
            <w:noWrap/>
            <w:vAlign w:val="center"/>
            <w:hideMark/>
          </w:tcPr>
          <w:p w14:paraId="3D476E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362,693</w:t>
            </w:r>
          </w:p>
        </w:tc>
        <w:tc>
          <w:tcPr>
            <w:tcW w:w="867" w:type="dxa"/>
            <w:gridSpan w:val="2"/>
            <w:shd w:val="clear" w:color="000000" w:fill="FFFFCC"/>
            <w:noWrap/>
            <w:vAlign w:val="center"/>
            <w:hideMark/>
          </w:tcPr>
          <w:p w14:paraId="786D8F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364,481</w:t>
            </w:r>
          </w:p>
        </w:tc>
        <w:tc>
          <w:tcPr>
            <w:tcW w:w="867" w:type="dxa"/>
            <w:gridSpan w:val="2"/>
            <w:shd w:val="clear" w:color="auto" w:fill="auto"/>
            <w:noWrap/>
            <w:vAlign w:val="center"/>
            <w:hideMark/>
          </w:tcPr>
          <w:p w14:paraId="1E32AB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366,235</w:t>
            </w:r>
          </w:p>
        </w:tc>
        <w:tc>
          <w:tcPr>
            <w:tcW w:w="867" w:type="dxa"/>
            <w:gridSpan w:val="2"/>
            <w:shd w:val="clear" w:color="auto" w:fill="auto"/>
            <w:noWrap/>
            <w:vAlign w:val="center"/>
            <w:hideMark/>
          </w:tcPr>
          <w:p w14:paraId="18D9DE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367,930</w:t>
            </w:r>
          </w:p>
        </w:tc>
        <w:tc>
          <w:tcPr>
            <w:tcW w:w="867" w:type="dxa"/>
            <w:gridSpan w:val="2"/>
            <w:shd w:val="clear" w:color="auto" w:fill="auto"/>
            <w:noWrap/>
            <w:vAlign w:val="center"/>
            <w:hideMark/>
          </w:tcPr>
          <w:p w14:paraId="793EA1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369,645</w:t>
            </w:r>
          </w:p>
        </w:tc>
        <w:tc>
          <w:tcPr>
            <w:tcW w:w="867" w:type="dxa"/>
            <w:gridSpan w:val="2"/>
            <w:shd w:val="clear" w:color="auto" w:fill="auto"/>
            <w:noWrap/>
            <w:vAlign w:val="center"/>
            <w:hideMark/>
          </w:tcPr>
          <w:p w14:paraId="72C4A6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371,437</w:t>
            </w:r>
          </w:p>
        </w:tc>
        <w:tc>
          <w:tcPr>
            <w:tcW w:w="867" w:type="dxa"/>
            <w:gridSpan w:val="2"/>
            <w:shd w:val="clear" w:color="auto" w:fill="auto"/>
            <w:noWrap/>
            <w:vAlign w:val="center"/>
            <w:hideMark/>
          </w:tcPr>
          <w:p w14:paraId="7D2AA7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373,117</w:t>
            </w:r>
          </w:p>
        </w:tc>
        <w:tc>
          <w:tcPr>
            <w:tcW w:w="867" w:type="dxa"/>
            <w:gridSpan w:val="2"/>
            <w:shd w:val="clear" w:color="auto" w:fill="auto"/>
            <w:noWrap/>
            <w:vAlign w:val="center"/>
            <w:hideMark/>
          </w:tcPr>
          <w:p w14:paraId="685F90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374,777</w:t>
            </w:r>
          </w:p>
        </w:tc>
        <w:tc>
          <w:tcPr>
            <w:tcW w:w="867" w:type="dxa"/>
            <w:gridSpan w:val="2"/>
            <w:shd w:val="clear" w:color="auto" w:fill="auto"/>
            <w:noWrap/>
            <w:vAlign w:val="center"/>
            <w:hideMark/>
          </w:tcPr>
          <w:p w14:paraId="352CE7A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376,331</w:t>
            </w:r>
          </w:p>
        </w:tc>
        <w:tc>
          <w:tcPr>
            <w:tcW w:w="867" w:type="dxa"/>
            <w:gridSpan w:val="2"/>
            <w:shd w:val="clear" w:color="auto" w:fill="auto"/>
            <w:noWrap/>
            <w:vAlign w:val="center"/>
            <w:hideMark/>
          </w:tcPr>
          <w:p w14:paraId="16BF98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377,899</w:t>
            </w:r>
          </w:p>
        </w:tc>
      </w:tr>
      <w:tr w:rsidR="009E7571" w:rsidRPr="001E05F5" w14:paraId="73F56CEB" w14:textId="77777777" w:rsidTr="00E20967">
        <w:trPr>
          <w:gridAfter w:val="2"/>
          <w:wAfter w:w="26" w:type="dxa"/>
          <w:trHeight w:val="288"/>
        </w:trPr>
        <w:tc>
          <w:tcPr>
            <w:tcW w:w="1028" w:type="dxa"/>
            <w:vMerge/>
            <w:vAlign w:val="center"/>
            <w:hideMark/>
          </w:tcPr>
          <w:p w14:paraId="75CBCC9E"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675CAA7"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0FEC28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71E933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1A5B48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AF2F2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155C10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07F207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6B0CC25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638793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633B8C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7E82739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34.5%</w:t>
            </w:r>
          </w:p>
        </w:tc>
        <w:tc>
          <w:tcPr>
            <w:tcW w:w="867" w:type="dxa"/>
            <w:gridSpan w:val="2"/>
            <w:shd w:val="clear" w:color="auto" w:fill="auto"/>
            <w:noWrap/>
            <w:vAlign w:val="center"/>
            <w:hideMark/>
          </w:tcPr>
          <w:p w14:paraId="6D9926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34.5%</w:t>
            </w:r>
          </w:p>
        </w:tc>
        <w:tc>
          <w:tcPr>
            <w:tcW w:w="867" w:type="dxa"/>
            <w:gridSpan w:val="2"/>
            <w:shd w:val="clear" w:color="000000" w:fill="FFFFCC"/>
            <w:noWrap/>
            <w:vAlign w:val="center"/>
            <w:hideMark/>
          </w:tcPr>
          <w:p w14:paraId="277509B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34.5%</w:t>
            </w:r>
          </w:p>
        </w:tc>
        <w:tc>
          <w:tcPr>
            <w:tcW w:w="867" w:type="dxa"/>
            <w:gridSpan w:val="2"/>
            <w:shd w:val="clear" w:color="auto" w:fill="auto"/>
            <w:noWrap/>
            <w:vAlign w:val="center"/>
            <w:hideMark/>
          </w:tcPr>
          <w:p w14:paraId="500256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04C5B5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2FC71B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046415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34.4%</w:t>
            </w:r>
          </w:p>
        </w:tc>
        <w:tc>
          <w:tcPr>
            <w:tcW w:w="867" w:type="dxa"/>
            <w:gridSpan w:val="2"/>
            <w:shd w:val="clear" w:color="auto" w:fill="auto"/>
            <w:noWrap/>
            <w:vAlign w:val="center"/>
            <w:hideMark/>
          </w:tcPr>
          <w:p w14:paraId="0EA775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4957AF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43F856D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c>
          <w:tcPr>
            <w:tcW w:w="867" w:type="dxa"/>
            <w:gridSpan w:val="2"/>
            <w:shd w:val="clear" w:color="auto" w:fill="auto"/>
            <w:noWrap/>
            <w:vAlign w:val="center"/>
            <w:hideMark/>
          </w:tcPr>
          <w:p w14:paraId="2927B9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34.3%</w:t>
            </w:r>
          </w:p>
        </w:tc>
      </w:tr>
      <w:tr w:rsidR="009E7571" w:rsidRPr="001E05F5" w14:paraId="3E3C05DE" w14:textId="77777777" w:rsidTr="00E20967">
        <w:trPr>
          <w:gridAfter w:val="2"/>
          <w:wAfter w:w="26" w:type="dxa"/>
          <w:trHeight w:val="288"/>
        </w:trPr>
        <w:tc>
          <w:tcPr>
            <w:tcW w:w="1028" w:type="dxa"/>
            <w:vMerge/>
            <w:vAlign w:val="center"/>
            <w:hideMark/>
          </w:tcPr>
          <w:p w14:paraId="296055FA"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FCF332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7AEA6F7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0EC395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004C3F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08375F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4F5F4E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66242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5290D2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18D7D8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2BA134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62774EA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1610E9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000000" w:fill="FFFFCC"/>
            <w:noWrap/>
            <w:vAlign w:val="center"/>
            <w:hideMark/>
          </w:tcPr>
          <w:p w14:paraId="21E56F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79ECC2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0AFE0C8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4F32A2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64A343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66545C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4D7812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12768B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c>
          <w:tcPr>
            <w:tcW w:w="867" w:type="dxa"/>
            <w:gridSpan w:val="2"/>
            <w:shd w:val="clear" w:color="auto" w:fill="auto"/>
            <w:noWrap/>
            <w:vAlign w:val="center"/>
            <w:hideMark/>
          </w:tcPr>
          <w:p w14:paraId="68C73B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r>
      <w:tr w:rsidR="009E7571" w:rsidRPr="001E05F5" w14:paraId="3F8F0DDA" w14:textId="77777777" w:rsidTr="00E20967">
        <w:trPr>
          <w:gridAfter w:val="2"/>
          <w:wAfter w:w="26" w:type="dxa"/>
          <w:trHeight w:val="288"/>
        </w:trPr>
        <w:tc>
          <w:tcPr>
            <w:tcW w:w="1028" w:type="dxa"/>
            <w:vMerge/>
            <w:vAlign w:val="center"/>
            <w:hideMark/>
          </w:tcPr>
          <w:p w14:paraId="1FB9F542"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C02B620"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4F11B8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75E3B0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AFCE6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131697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64BFC7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2C4F68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7D71F8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1855FD5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35E3F1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6.0%</w:t>
            </w:r>
          </w:p>
        </w:tc>
        <w:tc>
          <w:tcPr>
            <w:tcW w:w="867" w:type="dxa"/>
            <w:gridSpan w:val="2"/>
            <w:shd w:val="clear" w:color="auto" w:fill="auto"/>
            <w:noWrap/>
            <w:vAlign w:val="center"/>
            <w:hideMark/>
          </w:tcPr>
          <w:p w14:paraId="04BA7CB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014F6BA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000000" w:fill="FFFFCC"/>
            <w:noWrap/>
            <w:vAlign w:val="center"/>
            <w:hideMark/>
          </w:tcPr>
          <w:p w14:paraId="5EE179B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0B0888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6161D7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0189A89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91502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561055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4BAC4F1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C635A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7A94F5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r>
      <w:tr w:rsidR="00D46E3A" w:rsidRPr="001E05F5" w14:paraId="71A5503A" w14:textId="77777777" w:rsidTr="00E20967">
        <w:trPr>
          <w:gridAfter w:val="1"/>
          <w:wAfter w:w="13" w:type="dxa"/>
          <w:trHeight w:val="288"/>
        </w:trPr>
        <w:tc>
          <w:tcPr>
            <w:tcW w:w="1028" w:type="dxa"/>
            <w:vMerge/>
            <w:vAlign w:val="center"/>
            <w:hideMark/>
          </w:tcPr>
          <w:p w14:paraId="6E132EBF"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0F54B52"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0D578566"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£477,131,043</w:t>
            </w:r>
          </w:p>
        </w:tc>
      </w:tr>
      <w:tr w:rsidR="009E7571" w:rsidRPr="001E05F5" w14:paraId="5478235D" w14:textId="77777777" w:rsidTr="00E20967">
        <w:trPr>
          <w:gridAfter w:val="2"/>
          <w:wAfter w:w="26" w:type="dxa"/>
          <w:trHeight w:val="288"/>
        </w:trPr>
        <w:tc>
          <w:tcPr>
            <w:tcW w:w="1028" w:type="dxa"/>
            <w:vMerge w:val="restart"/>
            <w:shd w:val="clear" w:color="auto" w:fill="auto"/>
            <w:vAlign w:val="center"/>
            <w:hideMark/>
          </w:tcPr>
          <w:p w14:paraId="6E03A76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1D3AB8D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70D306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6AA84F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6050E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B1CDE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D9B03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7EEBFB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3E1479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3296B2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5A40EE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805003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2E6DC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000000" w:fill="FFFFCC"/>
            <w:noWrap/>
            <w:vAlign w:val="center"/>
            <w:hideMark/>
          </w:tcPr>
          <w:p w14:paraId="2D9AB2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22AB6E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25AEE6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1C0414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7953C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033350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62A75F1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49F7AB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c>
          <w:tcPr>
            <w:tcW w:w="867" w:type="dxa"/>
            <w:gridSpan w:val="2"/>
            <w:shd w:val="clear" w:color="auto" w:fill="auto"/>
            <w:noWrap/>
            <w:vAlign w:val="center"/>
            <w:hideMark/>
          </w:tcPr>
          <w:p w14:paraId="3D7F37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-1.8%</w:t>
            </w:r>
          </w:p>
        </w:tc>
      </w:tr>
      <w:tr w:rsidR="009E7571" w:rsidRPr="001E05F5" w14:paraId="0A345BBD" w14:textId="77777777" w:rsidTr="00E20967">
        <w:trPr>
          <w:gridAfter w:val="2"/>
          <w:wAfter w:w="26" w:type="dxa"/>
          <w:trHeight w:val="288"/>
        </w:trPr>
        <w:tc>
          <w:tcPr>
            <w:tcW w:w="1028" w:type="dxa"/>
            <w:vMerge/>
            <w:vAlign w:val="center"/>
            <w:hideMark/>
          </w:tcPr>
          <w:p w14:paraId="1FF183B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F56267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770FA0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D7A970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3012F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F8920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AA3C8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78401C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4E982E1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3F2C6F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26AC87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43E3CE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1584085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000000" w:fill="FFFFCC"/>
            <w:noWrap/>
            <w:vAlign w:val="center"/>
            <w:hideMark/>
          </w:tcPr>
          <w:p w14:paraId="0540EED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271669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21C8AF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2B0C24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0BE25A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05C761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4CEFCF4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26EFDF7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c>
          <w:tcPr>
            <w:tcW w:w="867" w:type="dxa"/>
            <w:gridSpan w:val="2"/>
            <w:shd w:val="clear" w:color="auto" w:fill="auto"/>
            <w:noWrap/>
            <w:vAlign w:val="center"/>
            <w:hideMark/>
          </w:tcPr>
          <w:p w14:paraId="5B5C97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0.6%</w:t>
            </w:r>
          </w:p>
        </w:tc>
      </w:tr>
      <w:tr w:rsidR="009E7571" w:rsidRPr="001E05F5" w14:paraId="3651E994" w14:textId="77777777" w:rsidTr="00E20967">
        <w:trPr>
          <w:gridAfter w:val="2"/>
          <w:wAfter w:w="26" w:type="dxa"/>
          <w:trHeight w:val="288"/>
        </w:trPr>
        <w:tc>
          <w:tcPr>
            <w:tcW w:w="1028" w:type="dxa"/>
            <w:vMerge/>
            <w:vAlign w:val="center"/>
            <w:hideMark/>
          </w:tcPr>
          <w:p w14:paraId="15B00D7F"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E027E95"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60BECB8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29208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760D5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8F091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01BF8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C28D0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4C508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5D2F6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93EB8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63B64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3F7A043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000000" w:fill="FFFFCC"/>
            <w:noWrap/>
            <w:vAlign w:val="center"/>
            <w:hideMark/>
          </w:tcPr>
          <w:p w14:paraId="470176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1E3A13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3501F1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26A4D2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1C370F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07617BE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41DBF44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2E376F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c>
          <w:tcPr>
            <w:tcW w:w="867" w:type="dxa"/>
            <w:gridSpan w:val="2"/>
            <w:shd w:val="clear" w:color="auto" w:fill="auto"/>
            <w:noWrap/>
            <w:vAlign w:val="center"/>
            <w:hideMark/>
          </w:tcPr>
          <w:p w14:paraId="1FB9CF4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4.0%</w:t>
            </w:r>
          </w:p>
        </w:tc>
      </w:tr>
      <w:tr w:rsidR="009E7571" w:rsidRPr="001E05F5" w14:paraId="1D52564C" w14:textId="77777777" w:rsidTr="00E20967">
        <w:trPr>
          <w:gridAfter w:val="2"/>
          <w:wAfter w:w="26" w:type="dxa"/>
          <w:trHeight w:val="288"/>
        </w:trPr>
        <w:tc>
          <w:tcPr>
            <w:tcW w:w="1028" w:type="dxa"/>
            <w:vMerge/>
            <w:vAlign w:val="center"/>
            <w:hideMark/>
          </w:tcPr>
          <w:p w14:paraId="7F7AA63B"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F4832F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2FD858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9D8F1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2AC7D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E61AD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44FDDA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6F6039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6F38D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87E6CE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5238F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04C23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33F190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000000" w:fill="FFFFCC"/>
            <w:noWrap/>
            <w:vAlign w:val="center"/>
            <w:hideMark/>
          </w:tcPr>
          <w:p w14:paraId="553D18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23D1A99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3D6480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5396AC5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565D9B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6020BC6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62E8956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0FB8966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c>
          <w:tcPr>
            <w:tcW w:w="867" w:type="dxa"/>
            <w:gridSpan w:val="2"/>
            <w:shd w:val="clear" w:color="auto" w:fill="auto"/>
            <w:noWrap/>
            <w:vAlign w:val="center"/>
            <w:hideMark/>
          </w:tcPr>
          <w:p w14:paraId="376E4B7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-2.3%</w:t>
            </w:r>
          </w:p>
        </w:tc>
      </w:tr>
      <w:tr w:rsidR="00D46E3A" w:rsidRPr="001E05F5" w14:paraId="063323AC" w14:textId="77777777" w:rsidTr="00E20967">
        <w:trPr>
          <w:gridAfter w:val="2"/>
          <w:wAfter w:w="26" w:type="dxa"/>
          <w:trHeight w:val="288"/>
        </w:trPr>
        <w:tc>
          <w:tcPr>
            <w:tcW w:w="1028" w:type="dxa"/>
            <w:vMerge/>
            <w:vAlign w:val="center"/>
            <w:hideMark/>
          </w:tcPr>
          <w:p w14:paraId="7AC56651"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1F320EC"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6742BBFF"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-5.6%</w:t>
            </w:r>
          </w:p>
        </w:tc>
      </w:tr>
      <w:tr w:rsidR="009E7571" w:rsidRPr="001E05F5" w14:paraId="5A850BAE"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72EC3587" w14:textId="77777777" w:rsidR="009E7571" w:rsidRPr="001E05F5" w:rsidRDefault="009E7571" w:rsidP="00E20967">
            <w:pPr>
              <w:keepNext/>
              <w:keepLines/>
              <w:spacing w:after="0" w:line="240" w:lineRule="auto"/>
              <w:rPr>
                <w:rFonts w:cs="Arial"/>
                <w:b/>
                <w:color w:val="000000"/>
                <w:sz w:val="18"/>
                <w:szCs w:val="18"/>
                <w:lang w:eastAsia="en-GB"/>
              </w:rPr>
            </w:pPr>
            <w:r w:rsidRPr="001E05F5">
              <w:rPr>
                <w:rFonts w:cs="Arial"/>
                <w:b/>
                <w:color w:val="000000"/>
                <w:sz w:val="18"/>
                <w:szCs w:val="18"/>
                <w:lang w:eastAsia="en-GB"/>
              </w:rPr>
              <w:lastRenderedPageBreak/>
              <w:t>Scenario 2e</w:t>
            </w:r>
          </w:p>
        </w:tc>
        <w:tc>
          <w:tcPr>
            <w:tcW w:w="1129" w:type="dxa"/>
            <w:shd w:val="clear" w:color="auto" w:fill="D9D9D9" w:themeFill="background1" w:themeFillShade="D9"/>
            <w:noWrap/>
            <w:vAlign w:val="center"/>
            <w:hideMark/>
          </w:tcPr>
          <w:p w14:paraId="6ACE7726"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0DBDD76E"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46FE5CB8"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2737DCCE"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251E9C23"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2258A144"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3D2F6A2C"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5F08E3DD"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731A72DE"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58B5A9D4"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4C411B88"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78CA115C"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7B08F845"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22296707"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29624A0A"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3ABF3AF3"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55454388"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5D3CAEA4"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7C04BB8A"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5C9BA7E6"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67D01B85" w14:textId="77777777" w:rsidTr="00E20967">
        <w:trPr>
          <w:gridAfter w:val="2"/>
          <w:wAfter w:w="26" w:type="dxa"/>
          <w:trHeight w:val="288"/>
        </w:trPr>
        <w:tc>
          <w:tcPr>
            <w:tcW w:w="1028" w:type="dxa"/>
            <w:vMerge w:val="restart"/>
            <w:shd w:val="clear" w:color="auto" w:fill="auto"/>
            <w:vAlign w:val="center"/>
            <w:hideMark/>
          </w:tcPr>
          <w:p w14:paraId="3D1DE5FB" w14:textId="77777777" w:rsidR="000B6808" w:rsidRPr="001E05F5" w:rsidRDefault="000B6808" w:rsidP="00E20967">
            <w:pPr>
              <w:keepNext/>
              <w:keepLines/>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3F0CAADF" w14:textId="77777777" w:rsidR="000B6808" w:rsidRPr="001E05F5" w:rsidRDefault="000B6808" w:rsidP="00E20967">
            <w:pPr>
              <w:keepNext/>
              <w:keepLines/>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6403FAEF"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07BE9F6F"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36F71B6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40E3DD9E"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00B9D902"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351,908</w:t>
            </w:r>
          </w:p>
        </w:tc>
        <w:tc>
          <w:tcPr>
            <w:tcW w:w="867" w:type="dxa"/>
            <w:gridSpan w:val="2"/>
            <w:shd w:val="clear" w:color="auto" w:fill="auto"/>
            <w:noWrap/>
            <w:vAlign w:val="center"/>
            <w:hideMark/>
          </w:tcPr>
          <w:p w14:paraId="74C6D6B3"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353,859</w:t>
            </w:r>
          </w:p>
        </w:tc>
        <w:tc>
          <w:tcPr>
            <w:tcW w:w="867" w:type="dxa"/>
            <w:gridSpan w:val="2"/>
            <w:shd w:val="clear" w:color="auto" w:fill="auto"/>
            <w:noWrap/>
            <w:vAlign w:val="center"/>
            <w:hideMark/>
          </w:tcPr>
          <w:p w14:paraId="0B277AFB"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355,738</w:t>
            </w:r>
          </w:p>
        </w:tc>
        <w:tc>
          <w:tcPr>
            <w:tcW w:w="867" w:type="dxa"/>
            <w:gridSpan w:val="2"/>
            <w:shd w:val="clear" w:color="auto" w:fill="auto"/>
            <w:noWrap/>
            <w:vAlign w:val="center"/>
            <w:hideMark/>
          </w:tcPr>
          <w:p w14:paraId="04A5A80F"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357,480</w:t>
            </w:r>
          </w:p>
        </w:tc>
        <w:tc>
          <w:tcPr>
            <w:tcW w:w="867" w:type="dxa"/>
            <w:gridSpan w:val="2"/>
            <w:shd w:val="clear" w:color="auto" w:fill="auto"/>
            <w:noWrap/>
            <w:vAlign w:val="center"/>
            <w:hideMark/>
          </w:tcPr>
          <w:p w14:paraId="622CF5C1"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359,243</w:t>
            </w:r>
          </w:p>
        </w:tc>
        <w:tc>
          <w:tcPr>
            <w:tcW w:w="867" w:type="dxa"/>
            <w:gridSpan w:val="2"/>
            <w:shd w:val="clear" w:color="auto" w:fill="auto"/>
            <w:noWrap/>
            <w:vAlign w:val="center"/>
            <w:hideMark/>
          </w:tcPr>
          <w:p w14:paraId="71DCD0B1"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361,009</w:t>
            </w:r>
          </w:p>
        </w:tc>
        <w:tc>
          <w:tcPr>
            <w:tcW w:w="867" w:type="dxa"/>
            <w:gridSpan w:val="2"/>
            <w:shd w:val="clear" w:color="auto" w:fill="auto"/>
            <w:noWrap/>
            <w:vAlign w:val="center"/>
            <w:hideMark/>
          </w:tcPr>
          <w:p w14:paraId="3F3EFF80"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362,882</w:t>
            </w:r>
          </w:p>
        </w:tc>
        <w:tc>
          <w:tcPr>
            <w:tcW w:w="867" w:type="dxa"/>
            <w:gridSpan w:val="2"/>
            <w:shd w:val="clear" w:color="000000" w:fill="FFFFCC"/>
            <w:noWrap/>
            <w:vAlign w:val="center"/>
            <w:hideMark/>
          </w:tcPr>
          <w:p w14:paraId="6EDCAC3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364,671</w:t>
            </w:r>
          </w:p>
        </w:tc>
        <w:tc>
          <w:tcPr>
            <w:tcW w:w="867" w:type="dxa"/>
            <w:gridSpan w:val="2"/>
            <w:shd w:val="clear" w:color="auto" w:fill="auto"/>
            <w:noWrap/>
            <w:vAlign w:val="center"/>
            <w:hideMark/>
          </w:tcPr>
          <w:p w14:paraId="22C878BA"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366,425</w:t>
            </w:r>
          </w:p>
        </w:tc>
        <w:tc>
          <w:tcPr>
            <w:tcW w:w="867" w:type="dxa"/>
            <w:gridSpan w:val="2"/>
            <w:shd w:val="clear" w:color="auto" w:fill="auto"/>
            <w:noWrap/>
            <w:vAlign w:val="center"/>
            <w:hideMark/>
          </w:tcPr>
          <w:p w14:paraId="7FCC4604"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368,121</w:t>
            </w:r>
          </w:p>
        </w:tc>
        <w:tc>
          <w:tcPr>
            <w:tcW w:w="867" w:type="dxa"/>
            <w:gridSpan w:val="2"/>
            <w:shd w:val="clear" w:color="auto" w:fill="auto"/>
            <w:noWrap/>
            <w:vAlign w:val="center"/>
            <w:hideMark/>
          </w:tcPr>
          <w:p w14:paraId="5AA70E7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369,836</w:t>
            </w:r>
          </w:p>
        </w:tc>
        <w:tc>
          <w:tcPr>
            <w:tcW w:w="867" w:type="dxa"/>
            <w:gridSpan w:val="2"/>
            <w:shd w:val="clear" w:color="auto" w:fill="auto"/>
            <w:noWrap/>
            <w:vAlign w:val="center"/>
            <w:hideMark/>
          </w:tcPr>
          <w:p w14:paraId="55E31E15"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371,628</w:t>
            </w:r>
          </w:p>
        </w:tc>
        <w:tc>
          <w:tcPr>
            <w:tcW w:w="867" w:type="dxa"/>
            <w:gridSpan w:val="2"/>
            <w:shd w:val="clear" w:color="auto" w:fill="auto"/>
            <w:noWrap/>
            <w:vAlign w:val="center"/>
            <w:hideMark/>
          </w:tcPr>
          <w:p w14:paraId="0505FB93"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373,309</w:t>
            </w:r>
          </w:p>
        </w:tc>
        <w:tc>
          <w:tcPr>
            <w:tcW w:w="867" w:type="dxa"/>
            <w:gridSpan w:val="2"/>
            <w:shd w:val="clear" w:color="auto" w:fill="auto"/>
            <w:noWrap/>
            <w:vAlign w:val="center"/>
            <w:hideMark/>
          </w:tcPr>
          <w:p w14:paraId="5190F81D"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374,969</w:t>
            </w:r>
          </w:p>
        </w:tc>
        <w:tc>
          <w:tcPr>
            <w:tcW w:w="867" w:type="dxa"/>
            <w:gridSpan w:val="2"/>
            <w:shd w:val="clear" w:color="auto" w:fill="auto"/>
            <w:noWrap/>
            <w:vAlign w:val="center"/>
            <w:hideMark/>
          </w:tcPr>
          <w:p w14:paraId="418B55D7"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376,523</w:t>
            </w:r>
          </w:p>
        </w:tc>
        <w:tc>
          <w:tcPr>
            <w:tcW w:w="867" w:type="dxa"/>
            <w:gridSpan w:val="2"/>
            <w:shd w:val="clear" w:color="auto" w:fill="auto"/>
            <w:noWrap/>
            <w:vAlign w:val="center"/>
            <w:hideMark/>
          </w:tcPr>
          <w:p w14:paraId="1968E2C3"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378,091</w:t>
            </w:r>
          </w:p>
        </w:tc>
      </w:tr>
      <w:tr w:rsidR="009E7571" w:rsidRPr="001E05F5" w14:paraId="6BB40DDC" w14:textId="77777777" w:rsidTr="00E20967">
        <w:trPr>
          <w:gridAfter w:val="2"/>
          <w:wAfter w:w="26" w:type="dxa"/>
          <w:trHeight w:val="288"/>
        </w:trPr>
        <w:tc>
          <w:tcPr>
            <w:tcW w:w="1028" w:type="dxa"/>
            <w:vMerge/>
            <w:vAlign w:val="center"/>
            <w:hideMark/>
          </w:tcPr>
          <w:p w14:paraId="35BC9E8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0195E8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084C4C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722223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22AF40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84AE1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2BCABA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1B5488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14F3DCF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6A7101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0C4697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0B3885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1261B1E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000000" w:fill="FFFFCC"/>
            <w:noWrap/>
            <w:vAlign w:val="center"/>
            <w:hideMark/>
          </w:tcPr>
          <w:p w14:paraId="48F2D8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c>
          <w:tcPr>
            <w:tcW w:w="867" w:type="dxa"/>
            <w:gridSpan w:val="2"/>
            <w:shd w:val="clear" w:color="auto" w:fill="auto"/>
            <w:noWrap/>
            <w:vAlign w:val="center"/>
            <w:hideMark/>
          </w:tcPr>
          <w:p w14:paraId="276FB5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c>
          <w:tcPr>
            <w:tcW w:w="867" w:type="dxa"/>
            <w:gridSpan w:val="2"/>
            <w:shd w:val="clear" w:color="auto" w:fill="auto"/>
            <w:noWrap/>
            <w:vAlign w:val="center"/>
            <w:hideMark/>
          </w:tcPr>
          <w:p w14:paraId="039C4A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c>
          <w:tcPr>
            <w:tcW w:w="867" w:type="dxa"/>
            <w:gridSpan w:val="2"/>
            <w:shd w:val="clear" w:color="auto" w:fill="auto"/>
            <w:noWrap/>
            <w:vAlign w:val="center"/>
            <w:hideMark/>
          </w:tcPr>
          <w:p w14:paraId="1DD3F9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c>
          <w:tcPr>
            <w:tcW w:w="867" w:type="dxa"/>
            <w:gridSpan w:val="2"/>
            <w:shd w:val="clear" w:color="auto" w:fill="auto"/>
            <w:noWrap/>
            <w:vAlign w:val="center"/>
            <w:hideMark/>
          </w:tcPr>
          <w:p w14:paraId="6810C7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43.0%</w:t>
            </w:r>
          </w:p>
        </w:tc>
        <w:tc>
          <w:tcPr>
            <w:tcW w:w="867" w:type="dxa"/>
            <w:gridSpan w:val="2"/>
            <w:shd w:val="clear" w:color="auto" w:fill="auto"/>
            <w:noWrap/>
            <w:vAlign w:val="center"/>
            <w:hideMark/>
          </w:tcPr>
          <w:p w14:paraId="66B819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43.0%</w:t>
            </w:r>
          </w:p>
        </w:tc>
        <w:tc>
          <w:tcPr>
            <w:tcW w:w="867" w:type="dxa"/>
            <w:gridSpan w:val="2"/>
            <w:shd w:val="clear" w:color="auto" w:fill="auto"/>
            <w:noWrap/>
            <w:vAlign w:val="center"/>
            <w:hideMark/>
          </w:tcPr>
          <w:p w14:paraId="3FBF88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43.0%</w:t>
            </w:r>
          </w:p>
        </w:tc>
        <w:tc>
          <w:tcPr>
            <w:tcW w:w="867" w:type="dxa"/>
            <w:gridSpan w:val="2"/>
            <w:shd w:val="clear" w:color="auto" w:fill="auto"/>
            <w:noWrap/>
            <w:vAlign w:val="center"/>
            <w:hideMark/>
          </w:tcPr>
          <w:p w14:paraId="31DBDC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43.0%</w:t>
            </w:r>
          </w:p>
        </w:tc>
        <w:tc>
          <w:tcPr>
            <w:tcW w:w="867" w:type="dxa"/>
            <w:gridSpan w:val="2"/>
            <w:shd w:val="clear" w:color="auto" w:fill="auto"/>
            <w:noWrap/>
            <w:vAlign w:val="center"/>
            <w:hideMark/>
          </w:tcPr>
          <w:p w14:paraId="5AB4F8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42.9%</w:t>
            </w:r>
          </w:p>
        </w:tc>
      </w:tr>
      <w:tr w:rsidR="009E7571" w:rsidRPr="001E05F5" w14:paraId="071C0060" w14:textId="77777777" w:rsidTr="00E20967">
        <w:trPr>
          <w:gridAfter w:val="2"/>
          <w:wAfter w:w="26" w:type="dxa"/>
          <w:trHeight w:val="288"/>
        </w:trPr>
        <w:tc>
          <w:tcPr>
            <w:tcW w:w="1028" w:type="dxa"/>
            <w:vMerge/>
            <w:vAlign w:val="center"/>
            <w:hideMark/>
          </w:tcPr>
          <w:p w14:paraId="7584A00A"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BFC87D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21F4CFE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47D78C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34293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C276A6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F2A9B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0A16C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BDF2F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C3307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CBE6A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0126B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7DC2EF3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000000" w:fill="FFFFCC"/>
            <w:noWrap/>
            <w:vAlign w:val="center"/>
            <w:hideMark/>
          </w:tcPr>
          <w:p w14:paraId="3A60BAF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2BF1A4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704AE9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04FB9EE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440AE9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71AC52B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7AEF70A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4EC0CB7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5549B11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r>
      <w:tr w:rsidR="009E7571" w:rsidRPr="001E05F5" w14:paraId="1FF937BA" w14:textId="77777777" w:rsidTr="00E20967">
        <w:trPr>
          <w:gridAfter w:val="2"/>
          <w:wAfter w:w="26" w:type="dxa"/>
          <w:trHeight w:val="288"/>
        </w:trPr>
        <w:tc>
          <w:tcPr>
            <w:tcW w:w="1028" w:type="dxa"/>
            <w:vMerge/>
            <w:vAlign w:val="center"/>
            <w:hideMark/>
          </w:tcPr>
          <w:p w14:paraId="584712C1"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9A75293"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6317B0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1EE5F1A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7673627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439532D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4DCB4F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0BC01C3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640780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0ED9F83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5B13E2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24D962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42B59C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000000" w:fill="FFFFCC"/>
            <w:noWrap/>
            <w:vAlign w:val="center"/>
            <w:hideMark/>
          </w:tcPr>
          <w:p w14:paraId="4C2FA8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5B6544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570FAF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0FC6B3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54EA1B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342610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3364E1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40330B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01511E0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r>
      <w:tr w:rsidR="00E20967" w:rsidRPr="001E05F5" w14:paraId="6A746AC5" w14:textId="77777777" w:rsidTr="00EF353C">
        <w:trPr>
          <w:gridAfter w:val="1"/>
          <w:wAfter w:w="13" w:type="dxa"/>
          <w:trHeight w:val="288"/>
        </w:trPr>
        <w:tc>
          <w:tcPr>
            <w:tcW w:w="1028" w:type="dxa"/>
            <w:vMerge/>
            <w:vAlign w:val="center"/>
            <w:hideMark/>
          </w:tcPr>
          <w:p w14:paraId="36DB9DDC" w14:textId="77777777" w:rsidR="00E20967" w:rsidRPr="001E05F5" w:rsidRDefault="00E20967"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243C43F" w14:textId="77777777" w:rsidR="00E20967" w:rsidRPr="001E05F5" w:rsidRDefault="00E20967"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1CCC736A" w14:textId="77777777" w:rsidR="00E20967" w:rsidRPr="001E05F5" w:rsidRDefault="00E20967" w:rsidP="00E20967">
            <w:pPr>
              <w:spacing w:after="0" w:line="240" w:lineRule="auto"/>
              <w:rPr>
                <w:rFonts w:cs="Arial"/>
                <w:sz w:val="18"/>
                <w:szCs w:val="18"/>
                <w:lang w:eastAsia="en-GB"/>
              </w:rPr>
            </w:pPr>
            <w:r w:rsidRPr="001E05F5">
              <w:rPr>
                <w:rFonts w:cs="Arial"/>
                <w:color w:val="000000"/>
                <w:sz w:val="18"/>
                <w:szCs w:val="18"/>
                <w:lang w:eastAsia="en-GB"/>
              </w:rPr>
              <w:t>£492,540,215</w:t>
            </w:r>
          </w:p>
        </w:tc>
      </w:tr>
      <w:tr w:rsidR="009E7571" w:rsidRPr="001E05F5" w14:paraId="775B85CA" w14:textId="77777777" w:rsidTr="00E20967">
        <w:trPr>
          <w:gridAfter w:val="2"/>
          <w:wAfter w:w="26" w:type="dxa"/>
          <w:trHeight w:val="288"/>
        </w:trPr>
        <w:tc>
          <w:tcPr>
            <w:tcW w:w="1028" w:type="dxa"/>
            <w:vMerge w:val="restart"/>
            <w:shd w:val="clear" w:color="auto" w:fill="auto"/>
            <w:vAlign w:val="center"/>
            <w:hideMark/>
          </w:tcPr>
          <w:p w14:paraId="0F30E96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6277B69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25A591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5BD868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82731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292F9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B71DBE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6A0F09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5DF4533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1289B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DDBAA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3F1B5C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17B1F6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000000" w:fill="FFFFCC"/>
            <w:noWrap/>
            <w:vAlign w:val="center"/>
            <w:hideMark/>
          </w:tcPr>
          <w:p w14:paraId="2154A31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47021DD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373FDBE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27E4377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79307E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5461F2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4C9291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2DDB96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5C34F9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r>
      <w:tr w:rsidR="009E7571" w:rsidRPr="001E05F5" w14:paraId="7B4E183E" w14:textId="77777777" w:rsidTr="00E20967">
        <w:trPr>
          <w:gridAfter w:val="2"/>
          <w:wAfter w:w="26" w:type="dxa"/>
          <w:trHeight w:val="288"/>
        </w:trPr>
        <w:tc>
          <w:tcPr>
            <w:tcW w:w="1028" w:type="dxa"/>
            <w:vMerge/>
            <w:vAlign w:val="center"/>
            <w:hideMark/>
          </w:tcPr>
          <w:p w14:paraId="0D2880B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5DE7000"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217B9E7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E7A4B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4A441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C760C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7CCB2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22F0545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78DF98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34F296E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5993B7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12E4D1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6F3CEF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000000" w:fill="FFFFCC"/>
            <w:noWrap/>
            <w:vAlign w:val="center"/>
            <w:hideMark/>
          </w:tcPr>
          <w:p w14:paraId="0FC0AEE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6E01AF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51BA73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78FA273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2FBF405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571468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44F527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0BEA16C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2E7937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r>
      <w:tr w:rsidR="009E7571" w:rsidRPr="001E05F5" w14:paraId="5303883C" w14:textId="77777777" w:rsidTr="00E20967">
        <w:trPr>
          <w:gridAfter w:val="2"/>
          <w:wAfter w:w="26" w:type="dxa"/>
          <w:trHeight w:val="288"/>
        </w:trPr>
        <w:tc>
          <w:tcPr>
            <w:tcW w:w="1028" w:type="dxa"/>
            <w:vMerge/>
            <w:vAlign w:val="center"/>
            <w:hideMark/>
          </w:tcPr>
          <w:p w14:paraId="7E04EF77"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E63ACA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70E274D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3AA8C8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82B33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C56A6E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34EB5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DA256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67E855E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73372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6BAB4A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54FE1D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497E7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000000" w:fill="FFFFCC"/>
            <w:noWrap/>
            <w:vAlign w:val="center"/>
            <w:hideMark/>
          </w:tcPr>
          <w:p w14:paraId="528E41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0.09%</w:t>
            </w:r>
          </w:p>
        </w:tc>
        <w:tc>
          <w:tcPr>
            <w:tcW w:w="867" w:type="dxa"/>
            <w:gridSpan w:val="2"/>
            <w:shd w:val="clear" w:color="auto" w:fill="auto"/>
            <w:noWrap/>
            <w:vAlign w:val="center"/>
            <w:hideMark/>
          </w:tcPr>
          <w:p w14:paraId="367AB77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CDCD8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F5833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5C8F0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8C80FE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E17B0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DD4F1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6D32DA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r>
      <w:tr w:rsidR="009E7571" w:rsidRPr="001E05F5" w14:paraId="5B48BE47" w14:textId="77777777" w:rsidTr="00E20967">
        <w:trPr>
          <w:gridAfter w:val="2"/>
          <w:wAfter w:w="26" w:type="dxa"/>
          <w:trHeight w:val="288"/>
        </w:trPr>
        <w:tc>
          <w:tcPr>
            <w:tcW w:w="1028" w:type="dxa"/>
            <w:vMerge/>
            <w:vAlign w:val="center"/>
            <w:hideMark/>
          </w:tcPr>
          <w:p w14:paraId="498E3CF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0C4A68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4335F6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08498A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8556E5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07794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67BF9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2D2B38E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6E3344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3FC92E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240246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065645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36A7E8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000000" w:fill="FFFFCC"/>
            <w:noWrap/>
            <w:vAlign w:val="center"/>
            <w:hideMark/>
          </w:tcPr>
          <w:p w14:paraId="627CF5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-0.85%</w:t>
            </w:r>
          </w:p>
        </w:tc>
        <w:tc>
          <w:tcPr>
            <w:tcW w:w="867" w:type="dxa"/>
            <w:gridSpan w:val="2"/>
            <w:shd w:val="clear" w:color="auto" w:fill="auto"/>
            <w:noWrap/>
            <w:vAlign w:val="center"/>
            <w:hideMark/>
          </w:tcPr>
          <w:p w14:paraId="6EE379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-0.9%</w:t>
            </w:r>
          </w:p>
        </w:tc>
        <w:tc>
          <w:tcPr>
            <w:tcW w:w="867" w:type="dxa"/>
            <w:gridSpan w:val="2"/>
            <w:shd w:val="clear" w:color="auto" w:fill="auto"/>
            <w:noWrap/>
            <w:vAlign w:val="center"/>
            <w:hideMark/>
          </w:tcPr>
          <w:p w14:paraId="27B65E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-0.9%</w:t>
            </w:r>
          </w:p>
        </w:tc>
        <w:tc>
          <w:tcPr>
            <w:tcW w:w="867" w:type="dxa"/>
            <w:gridSpan w:val="2"/>
            <w:shd w:val="clear" w:color="auto" w:fill="auto"/>
            <w:noWrap/>
            <w:vAlign w:val="center"/>
            <w:hideMark/>
          </w:tcPr>
          <w:p w14:paraId="1A5FE9C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-0.9%</w:t>
            </w:r>
          </w:p>
        </w:tc>
        <w:tc>
          <w:tcPr>
            <w:tcW w:w="867" w:type="dxa"/>
            <w:gridSpan w:val="2"/>
            <w:shd w:val="clear" w:color="auto" w:fill="auto"/>
            <w:noWrap/>
            <w:vAlign w:val="center"/>
            <w:hideMark/>
          </w:tcPr>
          <w:p w14:paraId="6C97D1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-0.9%</w:t>
            </w:r>
          </w:p>
        </w:tc>
        <w:tc>
          <w:tcPr>
            <w:tcW w:w="867" w:type="dxa"/>
            <w:gridSpan w:val="2"/>
            <w:shd w:val="clear" w:color="auto" w:fill="auto"/>
            <w:noWrap/>
            <w:vAlign w:val="center"/>
            <w:hideMark/>
          </w:tcPr>
          <w:p w14:paraId="174853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-0.9%</w:t>
            </w:r>
          </w:p>
        </w:tc>
        <w:tc>
          <w:tcPr>
            <w:tcW w:w="867" w:type="dxa"/>
            <w:gridSpan w:val="2"/>
            <w:shd w:val="clear" w:color="auto" w:fill="auto"/>
            <w:noWrap/>
            <w:vAlign w:val="center"/>
            <w:hideMark/>
          </w:tcPr>
          <w:p w14:paraId="4CB91B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-0.9%</w:t>
            </w:r>
          </w:p>
        </w:tc>
        <w:tc>
          <w:tcPr>
            <w:tcW w:w="867" w:type="dxa"/>
            <w:gridSpan w:val="2"/>
            <w:shd w:val="clear" w:color="auto" w:fill="auto"/>
            <w:noWrap/>
            <w:vAlign w:val="center"/>
            <w:hideMark/>
          </w:tcPr>
          <w:p w14:paraId="7450176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-0.9%</w:t>
            </w:r>
          </w:p>
        </w:tc>
        <w:tc>
          <w:tcPr>
            <w:tcW w:w="867" w:type="dxa"/>
            <w:gridSpan w:val="2"/>
            <w:shd w:val="clear" w:color="auto" w:fill="auto"/>
            <w:noWrap/>
            <w:vAlign w:val="center"/>
            <w:hideMark/>
          </w:tcPr>
          <w:p w14:paraId="3F9F3F3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-0.9%</w:t>
            </w:r>
          </w:p>
        </w:tc>
      </w:tr>
      <w:tr w:rsidR="00D46E3A" w:rsidRPr="001E05F5" w14:paraId="0B6BD000" w14:textId="77777777" w:rsidTr="00E20967">
        <w:trPr>
          <w:gridAfter w:val="2"/>
          <w:wAfter w:w="26" w:type="dxa"/>
          <w:trHeight w:val="288"/>
        </w:trPr>
        <w:tc>
          <w:tcPr>
            <w:tcW w:w="1028" w:type="dxa"/>
            <w:vMerge/>
            <w:vAlign w:val="center"/>
            <w:hideMark/>
          </w:tcPr>
          <w:p w14:paraId="10B88476"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1BE4E1B"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4CC70DDE"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-2.5%</w:t>
            </w:r>
          </w:p>
        </w:tc>
      </w:tr>
      <w:tr w:rsidR="009E7571" w:rsidRPr="001E05F5" w14:paraId="21AB4971"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42173504"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2f</w:t>
            </w:r>
          </w:p>
        </w:tc>
        <w:tc>
          <w:tcPr>
            <w:tcW w:w="1129" w:type="dxa"/>
            <w:shd w:val="clear" w:color="auto" w:fill="D9D9D9" w:themeFill="background1" w:themeFillShade="D9"/>
            <w:noWrap/>
            <w:vAlign w:val="center"/>
            <w:hideMark/>
          </w:tcPr>
          <w:p w14:paraId="0F59A9F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7DD9C4C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265E65D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0E761D2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644973E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70EF4B3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27264E7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039CBC8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2EF9D26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41096BD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217B20A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0BA1533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4701E13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2E2A917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321C485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020F387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1CF5524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0A61E74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68F260D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3579EDF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5D81657B" w14:textId="77777777" w:rsidTr="00E20967">
        <w:trPr>
          <w:gridAfter w:val="2"/>
          <w:wAfter w:w="26" w:type="dxa"/>
          <w:trHeight w:val="288"/>
        </w:trPr>
        <w:tc>
          <w:tcPr>
            <w:tcW w:w="1028" w:type="dxa"/>
            <w:vMerge w:val="restart"/>
            <w:shd w:val="clear" w:color="auto" w:fill="auto"/>
            <w:vAlign w:val="center"/>
            <w:hideMark/>
          </w:tcPr>
          <w:p w14:paraId="432D41AD"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3A3D6A95"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612E9CB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543ED0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08BE80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0F5BE75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53C68A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351,908</w:t>
            </w:r>
          </w:p>
        </w:tc>
        <w:tc>
          <w:tcPr>
            <w:tcW w:w="867" w:type="dxa"/>
            <w:gridSpan w:val="2"/>
            <w:shd w:val="clear" w:color="auto" w:fill="auto"/>
            <w:noWrap/>
            <w:vAlign w:val="center"/>
            <w:hideMark/>
          </w:tcPr>
          <w:p w14:paraId="02B5D2A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353,859</w:t>
            </w:r>
          </w:p>
        </w:tc>
        <w:tc>
          <w:tcPr>
            <w:tcW w:w="867" w:type="dxa"/>
            <w:gridSpan w:val="2"/>
            <w:shd w:val="clear" w:color="auto" w:fill="auto"/>
            <w:noWrap/>
            <w:vAlign w:val="center"/>
            <w:hideMark/>
          </w:tcPr>
          <w:p w14:paraId="145ECF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355,738</w:t>
            </w:r>
          </w:p>
        </w:tc>
        <w:tc>
          <w:tcPr>
            <w:tcW w:w="867" w:type="dxa"/>
            <w:gridSpan w:val="2"/>
            <w:shd w:val="clear" w:color="auto" w:fill="auto"/>
            <w:noWrap/>
            <w:vAlign w:val="center"/>
            <w:hideMark/>
          </w:tcPr>
          <w:p w14:paraId="14558B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357,480</w:t>
            </w:r>
          </w:p>
        </w:tc>
        <w:tc>
          <w:tcPr>
            <w:tcW w:w="867" w:type="dxa"/>
            <w:gridSpan w:val="2"/>
            <w:shd w:val="clear" w:color="auto" w:fill="auto"/>
            <w:noWrap/>
            <w:vAlign w:val="center"/>
            <w:hideMark/>
          </w:tcPr>
          <w:p w14:paraId="30D614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359,243</w:t>
            </w:r>
          </w:p>
        </w:tc>
        <w:tc>
          <w:tcPr>
            <w:tcW w:w="867" w:type="dxa"/>
            <w:gridSpan w:val="2"/>
            <w:shd w:val="clear" w:color="auto" w:fill="auto"/>
            <w:noWrap/>
            <w:vAlign w:val="center"/>
            <w:hideMark/>
          </w:tcPr>
          <w:p w14:paraId="1FD7B2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361,009</w:t>
            </w:r>
          </w:p>
        </w:tc>
        <w:tc>
          <w:tcPr>
            <w:tcW w:w="867" w:type="dxa"/>
            <w:gridSpan w:val="2"/>
            <w:shd w:val="clear" w:color="auto" w:fill="auto"/>
            <w:noWrap/>
            <w:vAlign w:val="center"/>
            <w:hideMark/>
          </w:tcPr>
          <w:p w14:paraId="30F681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362,882</w:t>
            </w:r>
          </w:p>
        </w:tc>
        <w:tc>
          <w:tcPr>
            <w:tcW w:w="867" w:type="dxa"/>
            <w:gridSpan w:val="2"/>
            <w:shd w:val="clear" w:color="000000" w:fill="FFFFCC"/>
            <w:noWrap/>
            <w:vAlign w:val="center"/>
            <w:hideMark/>
          </w:tcPr>
          <w:p w14:paraId="7BCF75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364,671</w:t>
            </w:r>
          </w:p>
        </w:tc>
        <w:tc>
          <w:tcPr>
            <w:tcW w:w="867" w:type="dxa"/>
            <w:gridSpan w:val="2"/>
            <w:shd w:val="clear" w:color="auto" w:fill="auto"/>
            <w:noWrap/>
            <w:vAlign w:val="center"/>
            <w:hideMark/>
          </w:tcPr>
          <w:p w14:paraId="60EB1A2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366,425</w:t>
            </w:r>
          </w:p>
        </w:tc>
        <w:tc>
          <w:tcPr>
            <w:tcW w:w="867" w:type="dxa"/>
            <w:gridSpan w:val="2"/>
            <w:shd w:val="clear" w:color="auto" w:fill="auto"/>
            <w:noWrap/>
            <w:vAlign w:val="center"/>
            <w:hideMark/>
          </w:tcPr>
          <w:p w14:paraId="3658028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368,121</w:t>
            </w:r>
          </w:p>
        </w:tc>
        <w:tc>
          <w:tcPr>
            <w:tcW w:w="867" w:type="dxa"/>
            <w:gridSpan w:val="2"/>
            <w:shd w:val="clear" w:color="auto" w:fill="auto"/>
            <w:noWrap/>
            <w:vAlign w:val="center"/>
            <w:hideMark/>
          </w:tcPr>
          <w:p w14:paraId="696672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369,836</w:t>
            </w:r>
          </w:p>
        </w:tc>
        <w:tc>
          <w:tcPr>
            <w:tcW w:w="867" w:type="dxa"/>
            <w:gridSpan w:val="2"/>
            <w:shd w:val="clear" w:color="auto" w:fill="auto"/>
            <w:noWrap/>
            <w:vAlign w:val="center"/>
            <w:hideMark/>
          </w:tcPr>
          <w:p w14:paraId="1A3BCB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371,628</w:t>
            </w:r>
          </w:p>
        </w:tc>
        <w:tc>
          <w:tcPr>
            <w:tcW w:w="867" w:type="dxa"/>
            <w:gridSpan w:val="2"/>
            <w:shd w:val="clear" w:color="auto" w:fill="auto"/>
            <w:noWrap/>
            <w:vAlign w:val="center"/>
            <w:hideMark/>
          </w:tcPr>
          <w:p w14:paraId="0302F9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373,309</w:t>
            </w:r>
          </w:p>
        </w:tc>
        <w:tc>
          <w:tcPr>
            <w:tcW w:w="867" w:type="dxa"/>
            <w:gridSpan w:val="2"/>
            <w:shd w:val="clear" w:color="auto" w:fill="auto"/>
            <w:noWrap/>
            <w:vAlign w:val="center"/>
            <w:hideMark/>
          </w:tcPr>
          <w:p w14:paraId="243820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374,969</w:t>
            </w:r>
          </w:p>
        </w:tc>
        <w:tc>
          <w:tcPr>
            <w:tcW w:w="867" w:type="dxa"/>
            <w:gridSpan w:val="2"/>
            <w:shd w:val="clear" w:color="auto" w:fill="auto"/>
            <w:noWrap/>
            <w:vAlign w:val="center"/>
            <w:hideMark/>
          </w:tcPr>
          <w:p w14:paraId="1839FA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376,523</w:t>
            </w:r>
          </w:p>
        </w:tc>
        <w:tc>
          <w:tcPr>
            <w:tcW w:w="867" w:type="dxa"/>
            <w:gridSpan w:val="2"/>
            <w:shd w:val="clear" w:color="auto" w:fill="auto"/>
            <w:noWrap/>
            <w:vAlign w:val="center"/>
            <w:hideMark/>
          </w:tcPr>
          <w:p w14:paraId="035E8E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378,091</w:t>
            </w:r>
          </w:p>
        </w:tc>
      </w:tr>
      <w:tr w:rsidR="009E7571" w:rsidRPr="001E05F5" w14:paraId="4A679DD2" w14:textId="77777777" w:rsidTr="00E20967">
        <w:trPr>
          <w:gridAfter w:val="2"/>
          <w:wAfter w:w="26" w:type="dxa"/>
          <w:trHeight w:val="288"/>
        </w:trPr>
        <w:tc>
          <w:tcPr>
            <w:tcW w:w="1028" w:type="dxa"/>
            <w:vMerge/>
            <w:vAlign w:val="center"/>
            <w:hideMark/>
          </w:tcPr>
          <w:p w14:paraId="481F19AB"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C2883DE"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6957D82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6A0D32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1751982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04650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1492E90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630176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4A1E5E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0A26E3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10ED564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7C13C6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43.4%</w:t>
            </w:r>
          </w:p>
        </w:tc>
        <w:tc>
          <w:tcPr>
            <w:tcW w:w="867" w:type="dxa"/>
            <w:gridSpan w:val="2"/>
            <w:shd w:val="clear" w:color="auto" w:fill="auto"/>
            <w:noWrap/>
            <w:vAlign w:val="center"/>
            <w:hideMark/>
          </w:tcPr>
          <w:p w14:paraId="1DAFF4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000000" w:fill="FFFFCC"/>
            <w:noWrap/>
            <w:vAlign w:val="center"/>
            <w:hideMark/>
          </w:tcPr>
          <w:p w14:paraId="025309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469F52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6934A4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23A5FB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31BE38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698456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150566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0B43C7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c>
          <w:tcPr>
            <w:tcW w:w="867" w:type="dxa"/>
            <w:gridSpan w:val="2"/>
            <w:shd w:val="clear" w:color="auto" w:fill="auto"/>
            <w:noWrap/>
            <w:vAlign w:val="center"/>
            <w:hideMark/>
          </w:tcPr>
          <w:p w14:paraId="42441F0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r>
      <w:tr w:rsidR="009E7571" w:rsidRPr="001E05F5" w14:paraId="5EFA542F" w14:textId="77777777" w:rsidTr="00E20967">
        <w:trPr>
          <w:gridAfter w:val="2"/>
          <w:wAfter w:w="26" w:type="dxa"/>
          <w:trHeight w:val="288"/>
        </w:trPr>
        <w:tc>
          <w:tcPr>
            <w:tcW w:w="1028" w:type="dxa"/>
            <w:vMerge/>
            <w:vAlign w:val="center"/>
            <w:hideMark/>
          </w:tcPr>
          <w:p w14:paraId="041E5D4E"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BEE2EE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1B8A759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29CEE1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009F61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7D6622D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525382F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68D378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3BFA06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97948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CE852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7BC67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11CDE1F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000000" w:fill="FFFFCC"/>
            <w:noWrap/>
            <w:vAlign w:val="center"/>
            <w:hideMark/>
          </w:tcPr>
          <w:p w14:paraId="22628D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39D6BB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7DE2E6B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04BB2C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1BB12C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771646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2CA0A55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29F306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6B600D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r>
      <w:tr w:rsidR="009E7571" w:rsidRPr="001E05F5" w14:paraId="209719DB" w14:textId="77777777" w:rsidTr="00E20967">
        <w:trPr>
          <w:gridAfter w:val="2"/>
          <w:wAfter w:w="26" w:type="dxa"/>
          <w:trHeight w:val="288"/>
        </w:trPr>
        <w:tc>
          <w:tcPr>
            <w:tcW w:w="1028" w:type="dxa"/>
            <w:vMerge/>
            <w:vAlign w:val="center"/>
            <w:hideMark/>
          </w:tcPr>
          <w:p w14:paraId="447C65EB"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35EAFD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128D22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4B8390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113D54D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78ECE3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2D7B1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17B2D1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42104A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06001F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4DD2D5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2C649B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2A9BC6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000000" w:fill="FFFFCC"/>
            <w:noWrap/>
            <w:vAlign w:val="center"/>
            <w:hideMark/>
          </w:tcPr>
          <w:p w14:paraId="3523214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1FC0E05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456A1B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129BBD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7BC953E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75A53A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5EC91D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646B33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7FACBB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r>
      <w:tr w:rsidR="00D46E3A" w:rsidRPr="001E05F5" w14:paraId="09815E13" w14:textId="77777777" w:rsidTr="00E20967">
        <w:trPr>
          <w:gridAfter w:val="1"/>
          <w:wAfter w:w="13" w:type="dxa"/>
          <w:trHeight w:val="288"/>
        </w:trPr>
        <w:tc>
          <w:tcPr>
            <w:tcW w:w="1028" w:type="dxa"/>
            <w:vMerge/>
            <w:vAlign w:val="center"/>
            <w:hideMark/>
          </w:tcPr>
          <w:p w14:paraId="5FC7972F"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6FFE1DC"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21886B19"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£500,738,857</w:t>
            </w:r>
          </w:p>
        </w:tc>
      </w:tr>
      <w:tr w:rsidR="009E7571" w:rsidRPr="001E05F5" w14:paraId="6A5124FD" w14:textId="77777777" w:rsidTr="00E20967">
        <w:trPr>
          <w:gridAfter w:val="2"/>
          <w:wAfter w:w="26" w:type="dxa"/>
          <w:trHeight w:val="288"/>
        </w:trPr>
        <w:tc>
          <w:tcPr>
            <w:tcW w:w="1028" w:type="dxa"/>
            <w:vMerge w:val="restart"/>
            <w:shd w:val="clear" w:color="auto" w:fill="auto"/>
            <w:vAlign w:val="center"/>
            <w:hideMark/>
          </w:tcPr>
          <w:p w14:paraId="4302B706"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5A343CE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2110DD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F04EC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AE11F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98C890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F70CD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15809F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27772E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3B7F8B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2718160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621107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4248134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000000" w:fill="FFFFCC"/>
            <w:noWrap/>
            <w:vAlign w:val="center"/>
            <w:hideMark/>
          </w:tcPr>
          <w:p w14:paraId="621956C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123CA8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551E08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7C4052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4A9AB9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2CB894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4031B88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4E8183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5992A8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r>
      <w:tr w:rsidR="009E7571" w:rsidRPr="001E05F5" w14:paraId="0AAFD9BC" w14:textId="77777777" w:rsidTr="00E20967">
        <w:trPr>
          <w:gridAfter w:val="2"/>
          <w:wAfter w:w="26" w:type="dxa"/>
          <w:trHeight w:val="288"/>
        </w:trPr>
        <w:tc>
          <w:tcPr>
            <w:tcW w:w="1028" w:type="dxa"/>
            <w:vMerge/>
            <w:vAlign w:val="center"/>
            <w:hideMark/>
          </w:tcPr>
          <w:p w14:paraId="4604E2C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47C3F6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6D9980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34E580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3725DC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583FCE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388DA9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5436BC0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52D93FD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73725A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04FBE4A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4E7F60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07AF01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000000" w:fill="FFFFCC"/>
            <w:noWrap/>
            <w:vAlign w:val="center"/>
            <w:hideMark/>
          </w:tcPr>
          <w:p w14:paraId="5FD8CF2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1B910F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270A6C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55E957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73E01C4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77A8EA0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2627685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50DB6C7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0CDCB8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r>
      <w:tr w:rsidR="009E7571" w:rsidRPr="001E05F5" w14:paraId="0BF66C27" w14:textId="77777777" w:rsidTr="00E20967">
        <w:trPr>
          <w:gridAfter w:val="2"/>
          <w:wAfter w:w="26" w:type="dxa"/>
          <w:trHeight w:val="288"/>
        </w:trPr>
        <w:tc>
          <w:tcPr>
            <w:tcW w:w="1028" w:type="dxa"/>
            <w:vMerge/>
            <w:vAlign w:val="center"/>
            <w:hideMark/>
          </w:tcPr>
          <w:p w14:paraId="1740AF28"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78C4B4E"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4C31A4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781F4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F8475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7A31E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7CF44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570726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5E2321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61A941B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54A4E9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EB5B32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BA781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000000" w:fill="FFFFCC"/>
            <w:noWrap/>
            <w:vAlign w:val="center"/>
            <w:hideMark/>
          </w:tcPr>
          <w:p w14:paraId="0417D9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207EF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56FD6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4E89E8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1BAF4C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F2116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36188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6FAC38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3CF7DD6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r>
      <w:tr w:rsidR="009E7571" w:rsidRPr="001E05F5" w14:paraId="18035482" w14:textId="77777777" w:rsidTr="00E20967">
        <w:trPr>
          <w:gridAfter w:val="2"/>
          <w:wAfter w:w="26" w:type="dxa"/>
          <w:trHeight w:val="288"/>
        </w:trPr>
        <w:tc>
          <w:tcPr>
            <w:tcW w:w="1028" w:type="dxa"/>
            <w:vMerge/>
            <w:vAlign w:val="center"/>
            <w:hideMark/>
          </w:tcPr>
          <w:p w14:paraId="079FC79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7B7F6B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0781B4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5F7B9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B98D8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1A4B1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647D7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3D17CC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54FAA5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2EAADBA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6BB8DD6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2E125C1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11637D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000000" w:fill="FFFFCC"/>
            <w:noWrap/>
            <w:vAlign w:val="center"/>
            <w:hideMark/>
          </w:tcPr>
          <w:p w14:paraId="30C50DB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12AD24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175604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5A02DE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3B2841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12532B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1BB570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1A9A73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32418E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r>
      <w:tr w:rsidR="00D46E3A" w:rsidRPr="001E05F5" w14:paraId="3C773E68" w14:textId="77777777" w:rsidTr="00E20967">
        <w:trPr>
          <w:gridAfter w:val="2"/>
          <w:wAfter w:w="26" w:type="dxa"/>
          <w:trHeight w:val="288"/>
        </w:trPr>
        <w:tc>
          <w:tcPr>
            <w:tcW w:w="1028" w:type="dxa"/>
            <w:vMerge/>
            <w:vAlign w:val="center"/>
            <w:hideMark/>
          </w:tcPr>
          <w:p w14:paraId="52CDBA92"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97B477C"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49722EB9"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-0.9%</w:t>
            </w:r>
          </w:p>
        </w:tc>
      </w:tr>
      <w:tr w:rsidR="009E7571" w:rsidRPr="001E05F5" w14:paraId="69CDC50C"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45A1F565"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2g</w:t>
            </w:r>
          </w:p>
        </w:tc>
        <w:tc>
          <w:tcPr>
            <w:tcW w:w="1129" w:type="dxa"/>
            <w:shd w:val="clear" w:color="auto" w:fill="D9D9D9" w:themeFill="background1" w:themeFillShade="D9"/>
            <w:noWrap/>
            <w:vAlign w:val="center"/>
            <w:hideMark/>
          </w:tcPr>
          <w:p w14:paraId="715006D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26228C0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16634F4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7AE4082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1919284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752A94C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7D9AEC4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3B67A3B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1201167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4EC7FC1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691FF4C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09FE1CA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749E32D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741266A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00FA211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16D531C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0BE3436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289DE74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4CBD6B1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19C3061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0F7E69DD" w14:textId="77777777" w:rsidTr="00E20967">
        <w:trPr>
          <w:gridAfter w:val="2"/>
          <w:wAfter w:w="26" w:type="dxa"/>
          <w:trHeight w:val="288"/>
        </w:trPr>
        <w:tc>
          <w:tcPr>
            <w:tcW w:w="1028" w:type="dxa"/>
            <w:vMerge w:val="restart"/>
            <w:shd w:val="clear" w:color="auto" w:fill="auto"/>
            <w:vAlign w:val="center"/>
            <w:hideMark/>
          </w:tcPr>
          <w:p w14:paraId="160D40A4"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1575A0E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5CAAA92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1A27A1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7D5DE4D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162071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75AC6F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351,908</w:t>
            </w:r>
          </w:p>
        </w:tc>
        <w:tc>
          <w:tcPr>
            <w:tcW w:w="867" w:type="dxa"/>
            <w:gridSpan w:val="2"/>
            <w:shd w:val="clear" w:color="auto" w:fill="auto"/>
            <w:noWrap/>
            <w:vAlign w:val="center"/>
            <w:hideMark/>
          </w:tcPr>
          <w:p w14:paraId="73458DE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353,859</w:t>
            </w:r>
          </w:p>
        </w:tc>
        <w:tc>
          <w:tcPr>
            <w:tcW w:w="867" w:type="dxa"/>
            <w:gridSpan w:val="2"/>
            <w:shd w:val="clear" w:color="auto" w:fill="auto"/>
            <w:noWrap/>
            <w:vAlign w:val="center"/>
            <w:hideMark/>
          </w:tcPr>
          <w:p w14:paraId="4E619E2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355,738</w:t>
            </w:r>
          </w:p>
        </w:tc>
        <w:tc>
          <w:tcPr>
            <w:tcW w:w="867" w:type="dxa"/>
            <w:gridSpan w:val="2"/>
            <w:shd w:val="clear" w:color="auto" w:fill="auto"/>
            <w:noWrap/>
            <w:vAlign w:val="center"/>
            <w:hideMark/>
          </w:tcPr>
          <w:p w14:paraId="11FDF44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357,480</w:t>
            </w:r>
          </w:p>
        </w:tc>
        <w:tc>
          <w:tcPr>
            <w:tcW w:w="867" w:type="dxa"/>
            <w:gridSpan w:val="2"/>
            <w:shd w:val="clear" w:color="auto" w:fill="auto"/>
            <w:noWrap/>
            <w:vAlign w:val="center"/>
            <w:hideMark/>
          </w:tcPr>
          <w:p w14:paraId="5691DA2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359,243</w:t>
            </w:r>
          </w:p>
        </w:tc>
        <w:tc>
          <w:tcPr>
            <w:tcW w:w="867" w:type="dxa"/>
            <w:gridSpan w:val="2"/>
            <w:shd w:val="clear" w:color="auto" w:fill="auto"/>
            <w:noWrap/>
            <w:vAlign w:val="center"/>
            <w:hideMark/>
          </w:tcPr>
          <w:p w14:paraId="346BF6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361,009</w:t>
            </w:r>
          </w:p>
        </w:tc>
        <w:tc>
          <w:tcPr>
            <w:tcW w:w="867" w:type="dxa"/>
            <w:gridSpan w:val="2"/>
            <w:shd w:val="clear" w:color="auto" w:fill="auto"/>
            <w:noWrap/>
            <w:vAlign w:val="center"/>
            <w:hideMark/>
          </w:tcPr>
          <w:p w14:paraId="2CEF57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362,882</w:t>
            </w:r>
          </w:p>
        </w:tc>
        <w:tc>
          <w:tcPr>
            <w:tcW w:w="867" w:type="dxa"/>
            <w:gridSpan w:val="2"/>
            <w:shd w:val="clear" w:color="000000" w:fill="FFFFCC"/>
            <w:noWrap/>
            <w:vAlign w:val="center"/>
            <w:hideMark/>
          </w:tcPr>
          <w:p w14:paraId="7507172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364,671</w:t>
            </w:r>
          </w:p>
        </w:tc>
        <w:tc>
          <w:tcPr>
            <w:tcW w:w="867" w:type="dxa"/>
            <w:gridSpan w:val="2"/>
            <w:shd w:val="clear" w:color="auto" w:fill="auto"/>
            <w:noWrap/>
            <w:vAlign w:val="center"/>
            <w:hideMark/>
          </w:tcPr>
          <w:p w14:paraId="2C1107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366,425</w:t>
            </w:r>
          </w:p>
        </w:tc>
        <w:tc>
          <w:tcPr>
            <w:tcW w:w="867" w:type="dxa"/>
            <w:gridSpan w:val="2"/>
            <w:shd w:val="clear" w:color="auto" w:fill="auto"/>
            <w:noWrap/>
            <w:vAlign w:val="center"/>
            <w:hideMark/>
          </w:tcPr>
          <w:p w14:paraId="2464C6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368,121</w:t>
            </w:r>
          </w:p>
        </w:tc>
        <w:tc>
          <w:tcPr>
            <w:tcW w:w="867" w:type="dxa"/>
            <w:gridSpan w:val="2"/>
            <w:shd w:val="clear" w:color="auto" w:fill="auto"/>
            <w:noWrap/>
            <w:vAlign w:val="center"/>
            <w:hideMark/>
          </w:tcPr>
          <w:p w14:paraId="49276D3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369,836</w:t>
            </w:r>
          </w:p>
        </w:tc>
        <w:tc>
          <w:tcPr>
            <w:tcW w:w="867" w:type="dxa"/>
            <w:gridSpan w:val="2"/>
            <w:shd w:val="clear" w:color="auto" w:fill="auto"/>
            <w:noWrap/>
            <w:vAlign w:val="center"/>
            <w:hideMark/>
          </w:tcPr>
          <w:p w14:paraId="089677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371,628</w:t>
            </w:r>
          </w:p>
        </w:tc>
        <w:tc>
          <w:tcPr>
            <w:tcW w:w="867" w:type="dxa"/>
            <w:gridSpan w:val="2"/>
            <w:shd w:val="clear" w:color="auto" w:fill="auto"/>
            <w:noWrap/>
            <w:vAlign w:val="center"/>
            <w:hideMark/>
          </w:tcPr>
          <w:p w14:paraId="0F6323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373,309</w:t>
            </w:r>
          </w:p>
        </w:tc>
        <w:tc>
          <w:tcPr>
            <w:tcW w:w="867" w:type="dxa"/>
            <w:gridSpan w:val="2"/>
            <w:shd w:val="clear" w:color="auto" w:fill="auto"/>
            <w:noWrap/>
            <w:vAlign w:val="center"/>
            <w:hideMark/>
          </w:tcPr>
          <w:p w14:paraId="695FE6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374,969</w:t>
            </w:r>
          </w:p>
        </w:tc>
        <w:tc>
          <w:tcPr>
            <w:tcW w:w="867" w:type="dxa"/>
            <w:gridSpan w:val="2"/>
            <w:shd w:val="clear" w:color="auto" w:fill="auto"/>
            <w:noWrap/>
            <w:vAlign w:val="center"/>
            <w:hideMark/>
          </w:tcPr>
          <w:p w14:paraId="1F18B83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376,523</w:t>
            </w:r>
          </w:p>
        </w:tc>
        <w:tc>
          <w:tcPr>
            <w:tcW w:w="867" w:type="dxa"/>
            <w:gridSpan w:val="2"/>
            <w:shd w:val="clear" w:color="auto" w:fill="auto"/>
            <w:noWrap/>
            <w:vAlign w:val="center"/>
            <w:hideMark/>
          </w:tcPr>
          <w:p w14:paraId="126032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378,091</w:t>
            </w:r>
          </w:p>
        </w:tc>
      </w:tr>
      <w:tr w:rsidR="009E7571" w:rsidRPr="001E05F5" w14:paraId="3703AF3D" w14:textId="77777777" w:rsidTr="00E20967">
        <w:trPr>
          <w:gridAfter w:val="2"/>
          <w:wAfter w:w="26" w:type="dxa"/>
          <w:trHeight w:val="288"/>
        </w:trPr>
        <w:tc>
          <w:tcPr>
            <w:tcW w:w="1028" w:type="dxa"/>
            <w:vMerge/>
            <w:vAlign w:val="center"/>
            <w:hideMark/>
          </w:tcPr>
          <w:p w14:paraId="7FB00571"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ECDCF2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589155B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5A918CE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1CD6F10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7CE875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7CF45E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45D2833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3800CD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11DFCA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516F44B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34ABC9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43.4%</w:t>
            </w:r>
          </w:p>
        </w:tc>
        <w:tc>
          <w:tcPr>
            <w:tcW w:w="867" w:type="dxa"/>
            <w:gridSpan w:val="2"/>
            <w:shd w:val="clear" w:color="auto" w:fill="auto"/>
            <w:noWrap/>
            <w:vAlign w:val="center"/>
            <w:hideMark/>
          </w:tcPr>
          <w:p w14:paraId="3D54222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000000" w:fill="FFFFCC"/>
            <w:noWrap/>
            <w:vAlign w:val="center"/>
            <w:hideMark/>
          </w:tcPr>
          <w:p w14:paraId="5FAFB2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726DFA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002B9E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247DBB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068375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7C2FA1E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4A62539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392D7E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c>
          <w:tcPr>
            <w:tcW w:w="867" w:type="dxa"/>
            <w:gridSpan w:val="2"/>
            <w:shd w:val="clear" w:color="auto" w:fill="auto"/>
            <w:noWrap/>
            <w:vAlign w:val="center"/>
            <w:hideMark/>
          </w:tcPr>
          <w:p w14:paraId="215438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r>
      <w:tr w:rsidR="009E7571" w:rsidRPr="001E05F5" w14:paraId="01F7E9AC" w14:textId="77777777" w:rsidTr="00E20967">
        <w:trPr>
          <w:gridAfter w:val="2"/>
          <w:wAfter w:w="26" w:type="dxa"/>
          <w:trHeight w:val="288"/>
        </w:trPr>
        <w:tc>
          <w:tcPr>
            <w:tcW w:w="1028" w:type="dxa"/>
            <w:vMerge/>
            <w:vAlign w:val="center"/>
            <w:hideMark/>
          </w:tcPr>
          <w:p w14:paraId="2366945F"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156D8D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6BCA02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3FE029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5AD8B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DC8D4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5C93621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D26C8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3D931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6E5455F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47329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410300A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64.3%</w:t>
            </w:r>
          </w:p>
        </w:tc>
        <w:tc>
          <w:tcPr>
            <w:tcW w:w="867" w:type="dxa"/>
            <w:gridSpan w:val="2"/>
            <w:shd w:val="clear" w:color="auto" w:fill="auto"/>
            <w:noWrap/>
            <w:vAlign w:val="center"/>
            <w:hideMark/>
          </w:tcPr>
          <w:p w14:paraId="2B3BDB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64.4%</w:t>
            </w:r>
          </w:p>
        </w:tc>
        <w:tc>
          <w:tcPr>
            <w:tcW w:w="867" w:type="dxa"/>
            <w:gridSpan w:val="2"/>
            <w:shd w:val="clear" w:color="000000" w:fill="FFFFCC"/>
            <w:noWrap/>
            <w:vAlign w:val="center"/>
            <w:hideMark/>
          </w:tcPr>
          <w:p w14:paraId="32678F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64.4%</w:t>
            </w:r>
          </w:p>
        </w:tc>
        <w:tc>
          <w:tcPr>
            <w:tcW w:w="867" w:type="dxa"/>
            <w:gridSpan w:val="2"/>
            <w:shd w:val="clear" w:color="auto" w:fill="auto"/>
            <w:noWrap/>
            <w:vAlign w:val="center"/>
            <w:hideMark/>
          </w:tcPr>
          <w:p w14:paraId="49E8EF8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64.4%</w:t>
            </w:r>
          </w:p>
        </w:tc>
        <w:tc>
          <w:tcPr>
            <w:tcW w:w="867" w:type="dxa"/>
            <w:gridSpan w:val="2"/>
            <w:shd w:val="clear" w:color="auto" w:fill="auto"/>
            <w:noWrap/>
            <w:vAlign w:val="center"/>
            <w:hideMark/>
          </w:tcPr>
          <w:p w14:paraId="083A9C5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64.5%</w:t>
            </w:r>
          </w:p>
        </w:tc>
        <w:tc>
          <w:tcPr>
            <w:tcW w:w="867" w:type="dxa"/>
            <w:gridSpan w:val="2"/>
            <w:shd w:val="clear" w:color="auto" w:fill="auto"/>
            <w:noWrap/>
            <w:vAlign w:val="center"/>
            <w:hideMark/>
          </w:tcPr>
          <w:p w14:paraId="4B8B63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64.5%</w:t>
            </w:r>
          </w:p>
        </w:tc>
        <w:tc>
          <w:tcPr>
            <w:tcW w:w="867" w:type="dxa"/>
            <w:gridSpan w:val="2"/>
            <w:shd w:val="clear" w:color="auto" w:fill="auto"/>
            <w:noWrap/>
            <w:vAlign w:val="center"/>
            <w:hideMark/>
          </w:tcPr>
          <w:p w14:paraId="3D6F80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64.5%</w:t>
            </w:r>
          </w:p>
        </w:tc>
        <w:tc>
          <w:tcPr>
            <w:tcW w:w="867" w:type="dxa"/>
            <w:gridSpan w:val="2"/>
            <w:shd w:val="clear" w:color="auto" w:fill="auto"/>
            <w:noWrap/>
            <w:vAlign w:val="center"/>
            <w:hideMark/>
          </w:tcPr>
          <w:p w14:paraId="798FBB4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64.6%</w:t>
            </w:r>
          </w:p>
        </w:tc>
        <w:tc>
          <w:tcPr>
            <w:tcW w:w="867" w:type="dxa"/>
            <w:gridSpan w:val="2"/>
            <w:shd w:val="clear" w:color="auto" w:fill="auto"/>
            <w:noWrap/>
            <w:vAlign w:val="center"/>
            <w:hideMark/>
          </w:tcPr>
          <w:p w14:paraId="1A105C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64.6%</w:t>
            </w:r>
          </w:p>
        </w:tc>
        <w:tc>
          <w:tcPr>
            <w:tcW w:w="867" w:type="dxa"/>
            <w:gridSpan w:val="2"/>
            <w:shd w:val="clear" w:color="auto" w:fill="auto"/>
            <w:noWrap/>
            <w:vAlign w:val="center"/>
            <w:hideMark/>
          </w:tcPr>
          <w:p w14:paraId="00C2F0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64.6%</w:t>
            </w:r>
          </w:p>
        </w:tc>
        <w:tc>
          <w:tcPr>
            <w:tcW w:w="867" w:type="dxa"/>
            <w:gridSpan w:val="2"/>
            <w:shd w:val="clear" w:color="auto" w:fill="auto"/>
            <w:noWrap/>
            <w:vAlign w:val="center"/>
            <w:hideMark/>
          </w:tcPr>
          <w:p w14:paraId="517EA1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64.6%</w:t>
            </w:r>
          </w:p>
        </w:tc>
      </w:tr>
      <w:tr w:rsidR="009E7571" w:rsidRPr="001E05F5" w14:paraId="578D38DB" w14:textId="77777777" w:rsidTr="00E20967">
        <w:trPr>
          <w:gridAfter w:val="2"/>
          <w:wAfter w:w="26" w:type="dxa"/>
          <w:trHeight w:val="288"/>
        </w:trPr>
        <w:tc>
          <w:tcPr>
            <w:tcW w:w="1028" w:type="dxa"/>
            <w:vMerge/>
            <w:vAlign w:val="center"/>
            <w:hideMark/>
          </w:tcPr>
          <w:p w14:paraId="1ECC2E6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A1CBA67"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5B27C6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1FF708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630CD9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7F134B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24CD4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787C042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48B8E6A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787540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452713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0713D6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17.8%</w:t>
            </w:r>
          </w:p>
        </w:tc>
        <w:tc>
          <w:tcPr>
            <w:tcW w:w="867" w:type="dxa"/>
            <w:gridSpan w:val="2"/>
            <w:shd w:val="clear" w:color="auto" w:fill="auto"/>
            <w:noWrap/>
            <w:vAlign w:val="center"/>
            <w:hideMark/>
          </w:tcPr>
          <w:p w14:paraId="1F27762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17.8%</w:t>
            </w:r>
          </w:p>
        </w:tc>
        <w:tc>
          <w:tcPr>
            <w:tcW w:w="867" w:type="dxa"/>
            <w:gridSpan w:val="2"/>
            <w:shd w:val="clear" w:color="000000" w:fill="FFFFCC"/>
            <w:noWrap/>
            <w:vAlign w:val="center"/>
            <w:hideMark/>
          </w:tcPr>
          <w:p w14:paraId="47ED0F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17.8%</w:t>
            </w:r>
          </w:p>
        </w:tc>
        <w:tc>
          <w:tcPr>
            <w:tcW w:w="867" w:type="dxa"/>
            <w:gridSpan w:val="2"/>
            <w:shd w:val="clear" w:color="auto" w:fill="auto"/>
            <w:noWrap/>
            <w:vAlign w:val="center"/>
            <w:hideMark/>
          </w:tcPr>
          <w:p w14:paraId="6C8551C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17.8%</w:t>
            </w:r>
          </w:p>
        </w:tc>
        <w:tc>
          <w:tcPr>
            <w:tcW w:w="867" w:type="dxa"/>
            <w:gridSpan w:val="2"/>
            <w:shd w:val="clear" w:color="auto" w:fill="auto"/>
            <w:noWrap/>
            <w:vAlign w:val="center"/>
            <w:hideMark/>
          </w:tcPr>
          <w:p w14:paraId="519EC1E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17.8%</w:t>
            </w:r>
          </w:p>
        </w:tc>
        <w:tc>
          <w:tcPr>
            <w:tcW w:w="867" w:type="dxa"/>
            <w:gridSpan w:val="2"/>
            <w:shd w:val="clear" w:color="auto" w:fill="auto"/>
            <w:noWrap/>
            <w:vAlign w:val="center"/>
            <w:hideMark/>
          </w:tcPr>
          <w:p w14:paraId="528215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17.8%</w:t>
            </w:r>
          </w:p>
        </w:tc>
        <w:tc>
          <w:tcPr>
            <w:tcW w:w="867" w:type="dxa"/>
            <w:gridSpan w:val="2"/>
            <w:shd w:val="clear" w:color="auto" w:fill="auto"/>
            <w:noWrap/>
            <w:vAlign w:val="center"/>
            <w:hideMark/>
          </w:tcPr>
          <w:p w14:paraId="6384C9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17.9%</w:t>
            </w:r>
          </w:p>
        </w:tc>
        <w:tc>
          <w:tcPr>
            <w:tcW w:w="867" w:type="dxa"/>
            <w:gridSpan w:val="2"/>
            <w:shd w:val="clear" w:color="auto" w:fill="auto"/>
            <w:noWrap/>
            <w:vAlign w:val="center"/>
            <w:hideMark/>
          </w:tcPr>
          <w:p w14:paraId="783B07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17.9%</w:t>
            </w:r>
          </w:p>
        </w:tc>
        <w:tc>
          <w:tcPr>
            <w:tcW w:w="867" w:type="dxa"/>
            <w:gridSpan w:val="2"/>
            <w:shd w:val="clear" w:color="auto" w:fill="auto"/>
            <w:noWrap/>
            <w:vAlign w:val="center"/>
            <w:hideMark/>
          </w:tcPr>
          <w:p w14:paraId="0B8D90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17.9%</w:t>
            </w:r>
          </w:p>
        </w:tc>
        <w:tc>
          <w:tcPr>
            <w:tcW w:w="867" w:type="dxa"/>
            <w:gridSpan w:val="2"/>
            <w:shd w:val="clear" w:color="auto" w:fill="auto"/>
            <w:noWrap/>
            <w:vAlign w:val="center"/>
            <w:hideMark/>
          </w:tcPr>
          <w:p w14:paraId="50DFD1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17.9%</w:t>
            </w:r>
          </w:p>
        </w:tc>
        <w:tc>
          <w:tcPr>
            <w:tcW w:w="867" w:type="dxa"/>
            <w:gridSpan w:val="2"/>
            <w:shd w:val="clear" w:color="auto" w:fill="auto"/>
            <w:noWrap/>
            <w:vAlign w:val="center"/>
            <w:hideMark/>
          </w:tcPr>
          <w:p w14:paraId="357EAB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17.9%</w:t>
            </w:r>
          </w:p>
        </w:tc>
      </w:tr>
      <w:tr w:rsidR="00D46E3A" w:rsidRPr="001E05F5" w14:paraId="162B76F9" w14:textId="77777777" w:rsidTr="00E20967">
        <w:trPr>
          <w:gridAfter w:val="1"/>
          <w:wAfter w:w="13" w:type="dxa"/>
          <w:trHeight w:val="288"/>
        </w:trPr>
        <w:tc>
          <w:tcPr>
            <w:tcW w:w="1028" w:type="dxa"/>
            <w:vMerge/>
            <w:vAlign w:val="center"/>
            <w:hideMark/>
          </w:tcPr>
          <w:p w14:paraId="5FCB130E"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CA6F6B3"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7C52F91B"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£483,813,313</w:t>
            </w:r>
          </w:p>
        </w:tc>
      </w:tr>
      <w:tr w:rsidR="009E7571" w:rsidRPr="001E05F5" w14:paraId="3159D1CC" w14:textId="77777777" w:rsidTr="00E20967">
        <w:trPr>
          <w:gridAfter w:val="2"/>
          <w:wAfter w:w="26" w:type="dxa"/>
          <w:trHeight w:val="288"/>
        </w:trPr>
        <w:tc>
          <w:tcPr>
            <w:tcW w:w="1028" w:type="dxa"/>
            <w:vMerge w:val="restart"/>
            <w:shd w:val="clear" w:color="auto" w:fill="auto"/>
            <w:vAlign w:val="center"/>
            <w:hideMark/>
          </w:tcPr>
          <w:p w14:paraId="1C7FF32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73A081C0"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6F9E87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FBC6B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A874A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34709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744A6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5FA8FA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70AE13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612F46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6DBB37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424D29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253750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000000" w:fill="FFFFCC"/>
            <w:noWrap/>
            <w:vAlign w:val="center"/>
            <w:hideMark/>
          </w:tcPr>
          <w:p w14:paraId="5625DD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5AEEE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230F32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190620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1B271F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46FE44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23A4BB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1B95E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3F761D9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r>
      <w:tr w:rsidR="009E7571" w:rsidRPr="001E05F5" w14:paraId="4592F53F" w14:textId="77777777" w:rsidTr="00E20967">
        <w:trPr>
          <w:gridAfter w:val="2"/>
          <w:wAfter w:w="26" w:type="dxa"/>
          <w:trHeight w:val="288"/>
        </w:trPr>
        <w:tc>
          <w:tcPr>
            <w:tcW w:w="1028" w:type="dxa"/>
            <w:vMerge/>
            <w:vAlign w:val="center"/>
            <w:hideMark/>
          </w:tcPr>
          <w:p w14:paraId="5DD24278"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64CDAB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2D70B3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57A1D3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63C4F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2BE5A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B90F9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63CB91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138C5C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0ACC85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6326CC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628CF0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53ED98E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000000" w:fill="FFFFCC"/>
            <w:noWrap/>
            <w:vAlign w:val="center"/>
            <w:hideMark/>
          </w:tcPr>
          <w:p w14:paraId="5D0F47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2E40AA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01DFA5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7BEE60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030A25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375D78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17E374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0BE9F8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29EEB49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r>
      <w:tr w:rsidR="009E7571" w:rsidRPr="001E05F5" w14:paraId="7ED55B59" w14:textId="77777777" w:rsidTr="00E20967">
        <w:trPr>
          <w:gridAfter w:val="2"/>
          <w:wAfter w:w="26" w:type="dxa"/>
          <w:trHeight w:val="288"/>
        </w:trPr>
        <w:tc>
          <w:tcPr>
            <w:tcW w:w="1028" w:type="dxa"/>
            <w:vMerge/>
            <w:vAlign w:val="center"/>
            <w:hideMark/>
          </w:tcPr>
          <w:p w14:paraId="31D75D69"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E2751B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3576F21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F32F61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11782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DFB56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E23B1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A6B33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DA42C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E533E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A98F5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911EA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-25.0%</w:t>
            </w:r>
          </w:p>
        </w:tc>
        <w:tc>
          <w:tcPr>
            <w:tcW w:w="867" w:type="dxa"/>
            <w:gridSpan w:val="2"/>
            <w:shd w:val="clear" w:color="auto" w:fill="auto"/>
            <w:noWrap/>
            <w:vAlign w:val="center"/>
            <w:hideMark/>
          </w:tcPr>
          <w:p w14:paraId="5F4F08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-25.0%</w:t>
            </w:r>
          </w:p>
        </w:tc>
        <w:tc>
          <w:tcPr>
            <w:tcW w:w="867" w:type="dxa"/>
            <w:gridSpan w:val="2"/>
            <w:shd w:val="clear" w:color="000000" w:fill="FFFFCC"/>
            <w:noWrap/>
            <w:vAlign w:val="center"/>
            <w:hideMark/>
          </w:tcPr>
          <w:p w14:paraId="760A64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-25.0%</w:t>
            </w:r>
          </w:p>
        </w:tc>
        <w:tc>
          <w:tcPr>
            <w:tcW w:w="867" w:type="dxa"/>
            <w:gridSpan w:val="2"/>
            <w:shd w:val="clear" w:color="auto" w:fill="auto"/>
            <w:noWrap/>
            <w:vAlign w:val="center"/>
            <w:hideMark/>
          </w:tcPr>
          <w:p w14:paraId="07ADFC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-25.0%</w:t>
            </w:r>
          </w:p>
        </w:tc>
        <w:tc>
          <w:tcPr>
            <w:tcW w:w="867" w:type="dxa"/>
            <w:gridSpan w:val="2"/>
            <w:shd w:val="clear" w:color="auto" w:fill="auto"/>
            <w:noWrap/>
            <w:vAlign w:val="center"/>
            <w:hideMark/>
          </w:tcPr>
          <w:p w14:paraId="38AD4B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-25.0%</w:t>
            </w:r>
          </w:p>
        </w:tc>
        <w:tc>
          <w:tcPr>
            <w:tcW w:w="867" w:type="dxa"/>
            <w:gridSpan w:val="2"/>
            <w:shd w:val="clear" w:color="auto" w:fill="auto"/>
            <w:noWrap/>
            <w:vAlign w:val="center"/>
            <w:hideMark/>
          </w:tcPr>
          <w:p w14:paraId="6B2841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-24.9%</w:t>
            </w:r>
          </w:p>
        </w:tc>
        <w:tc>
          <w:tcPr>
            <w:tcW w:w="867" w:type="dxa"/>
            <w:gridSpan w:val="2"/>
            <w:shd w:val="clear" w:color="auto" w:fill="auto"/>
            <w:noWrap/>
            <w:vAlign w:val="center"/>
            <w:hideMark/>
          </w:tcPr>
          <w:p w14:paraId="0263BA6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-24.9%</w:t>
            </w:r>
          </w:p>
        </w:tc>
        <w:tc>
          <w:tcPr>
            <w:tcW w:w="867" w:type="dxa"/>
            <w:gridSpan w:val="2"/>
            <w:shd w:val="clear" w:color="auto" w:fill="auto"/>
            <w:noWrap/>
            <w:vAlign w:val="center"/>
            <w:hideMark/>
          </w:tcPr>
          <w:p w14:paraId="46F31B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-24.9%</w:t>
            </w:r>
          </w:p>
        </w:tc>
        <w:tc>
          <w:tcPr>
            <w:tcW w:w="867" w:type="dxa"/>
            <w:gridSpan w:val="2"/>
            <w:shd w:val="clear" w:color="auto" w:fill="auto"/>
            <w:noWrap/>
            <w:vAlign w:val="center"/>
            <w:hideMark/>
          </w:tcPr>
          <w:p w14:paraId="777A556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-24.9%</w:t>
            </w:r>
          </w:p>
        </w:tc>
        <w:tc>
          <w:tcPr>
            <w:tcW w:w="867" w:type="dxa"/>
            <w:gridSpan w:val="2"/>
            <w:shd w:val="clear" w:color="auto" w:fill="auto"/>
            <w:noWrap/>
            <w:vAlign w:val="center"/>
            <w:hideMark/>
          </w:tcPr>
          <w:p w14:paraId="2B2C3EA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-24.9%</w:t>
            </w:r>
          </w:p>
        </w:tc>
        <w:tc>
          <w:tcPr>
            <w:tcW w:w="867" w:type="dxa"/>
            <w:gridSpan w:val="2"/>
            <w:shd w:val="clear" w:color="auto" w:fill="auto"/>
            <w:noWrap/>
            <w:vAlign w:val="center"/>
            <w:hideMark/>
          </w:tcPr>
          <w:p w14:paraId="5B6CFA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-24.8%</w:t>
            </w:r>
          </w:p>
        </w:tc>
      </w:tr>
      <w:tr w:rsidR="009E7571" w:rsidRPr="001E05F5" w14:paraId="14A0E337" w14:textId="77777777" w:rsidTr="00E20967">
        <w:trPr>
          <w:gridAfter w:val="2"/>
          <w:wAfter w:w="26" w:type="dxa"/>
          <w:trHeight w:val="288"/>
        </w:trPr>
        <w:tc>
          <w:tcPr>
            <w:tcW w:w="1028" w:type="dxa"/>
            <w:vMerge/>
            <w:vAlign w:val="center"/>
            <w:hideMark/>
          </w:tcPr>
          <w:p w14:paraId="5A1E5AE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991DCE1"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4BD38D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0DF52C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1B42C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8164B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A5AEF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2DA69D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6BFD6D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7453BA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4B3468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34A1B9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auto" w:fill="auto"/>
            <w:noWrap/>
            <w:vAlign w:val="center"/>
            <w:hideMark/>
          </w:tcPr>
          <w:p w14:paraId="3B4504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000000" w:fill="FFFFCC"/>
            <w:noWrap/>
            <w:vAlign w:val="center"/>
            <w:hideMark/>
          </w:tcPr>
          <w:p w14:paraId="61CF9D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auto" w:fill="auto"/>
            <w:noWrap/>
            <w:vAlign w:val="center"/>
            <w:hideMark/>
          </w:tcPr>
          <w:p w14:paraId="74E10C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auto" w:fill="auto"/>
            <w:noWrap/>
            <w:vAlign w:val="center"/>
            <w:hideMark/>
          </w:tcPr>
          <w:p w14:paraId="78A79BB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auto" w:fill="auto"/>
            <w:noWrap/>
            <w:vAlign w:val="center"/>
            <w:hideMark/>
          </w:tcPr>
          <w:p w14:paraId="510E037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auto" w:fill="auto"/>
            <w:noWrap/>
            <w:vAlign w:val="center"/>
            <w:hideMark/>
          </w:tcPr>
          <w:p w14:paraId="21A7BE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auto" w:fill="auto"/>
            <w:noWrap/>
            <w:vAlign w:val="center"/>
            <w:hideMark/>
          </w:tcPr>
          <w:p w14:paraId="3B413F6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auto" w:fill="auto"/>
            <w:noWrap/>
            <w:vAlign w:val="center"/>
            <w:hideMark/>
          </w:tcPr>
          <w:p w14:paraId="512A2A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auto" w:fill="auto"/>
            <w:noWrap/>
            <w:vAlign w:val="center"/>
            <w:hideMark/>
          </w:tcPr>
          <w:p w14:paraId="59A035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c>
          <w:tcPr>
            <w:tcW w:w="867" w:type="dxa"/>
            <w:gridSpan w:val="2"/>
            <w:shd w:val="clear" w:color="auto" w:fill="auto"/>
            <w:noWrap/>
            <w:vAlign w:val="center"/>
            <w:hideMark/>
          </w:tcPr>
          <w:p w14:paraId="722871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11.7%</w:t>
            </w:r>
          </w:p>
        </w:tc>
      </w:tr>
      <w:tr w:rsidR="00D46E3A" w:rsidRPr="001E05F5" w14:paraId="035D02B8" w14:textId="77777777" w:rsidTr="00E20967">
        <w:trPr>
          <w:gridAfter w:val="2"/>
          <w:wAfter w:w="26" w:type="dxa"/>
          <w:trHeight w:val="288"/>
        </w:trPr>
        <w:tc>
          <w:tcPr>
            <w:tcW w:w="1028" w:type="dxa"/>
            <w:vMerge/>
            <w:vAlign w:val="center"/>
            <w:hideMark/>
          </w:tcPr>
          <w:p w14:paraId="7B39703F"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59414B9"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7CEBF683"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-4.2%</w:t>
            </w:r>
          </w:p>
        </w:tc>
      </w:tr>
      <w:tr w:rsidR="009E7571" w:rsidRPr="001E05F5" w14:paraId="01E51F45"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223DFB87"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2h</w:t>
            </w:r>
          </w:p>
        </w:tc>
        <w:tc>
          <w:tcPr>
            <w:tcW w:w="1129" w:type="dxa"/>
            <w:shd w:val="clear" w:color="auto" w:fill="D9D9D9" w:themeFill="background1" w:themeFillShade="D9"/>
            <w:noWrap/>
            <w:vAlign w:val="center"/>
            <w:hideMark/>
          </w:tcPr>
          <w:p w14:paraId="3EE723B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4452DE4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3A25403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421DB80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0929BEE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218DA65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5234470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3A96B4E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42A80E4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4439021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5A1180E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6C8AC3E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228A78A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3543120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691695D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227E4A8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61FD90C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57A71E0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4138755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2DFA99A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17775D48" w14:textId="77777777" w:rsidTr="00E20967">
        <w:trPr>
          <w:gridAfter w:val="2"/>
          <w:wAfter w:w="26" w:type="dxa"/>
          <w:trHeight w:val="288"/>
        </w:trPr>
        <w:tc>
          <w:tcPr>
            <w:tcW w:w="1028" w:type="dxa"/>
            <w:vMerge w:val="restart"/>
            <w:shd w:val="clear" w:color="auto" w:fill="auto"/>
            <w:vAlign w:val="center"/>
            <w:hideMark/>
          </w:tcPr>
          <w:p w14:paraId="4DED42C0"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2226B1C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417F94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567AB26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3C1B617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01775E6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5B6DBA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351,908</w:t>
            </w:r>
          </w:p>
        </w:tc>
        <w:tc>
          <w:tcPr>
            <w:tcW w:w="867" w:type="dxa"/>
            <w:gridSpan w:val="2"/>
            <w:shd w:val="clear" w:color="auto" w:fill="auto"/>
            <w:noWrap/>
            <w:vAlign w:val="center"/>
            <w:hideMark/>
          </w:tcPr>
          <w:p w14:paraId="1BA666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353,859</w:t>
            </w:r>
          </w:p>
        </w:tc>
        <w:tc>
          <w:tcPr>
            <w:tcW w:w="867" w:type="dxa"/>
            <w:gridSpan w:val="2"/>
            <w:shd w:val="clear" w:color="auto" w:fill="auto"/>
            <w:noWrap/>
            <w:vAlign w:val="center"/>
            <w:hideMark/>
          </w:tcPr>
          <w:p w14:paraId="59AA08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355,738</w:t>
            </w:r>
          </w:p>
        </w:tc>
        <w:tc>
          <w:tcPr>
            <w:tcW w:w="867" w:type="dxa"/>
            <w:gridSpan w:val="2"/>
            <w:shd w:val="clear" w:color="auto" w:fill="auto"/>
            <w:noWrap/>
            <w:vAlign w:val="center"/>
            <w:hideMark/>
          </w:tcPr>
          <w:p w14:paraId="6B21E0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357,480</w:t>
            </w:r>
          </w:p>
        </w:tc>
        <w:tc>
          <w:tcPr>
            <w:tcW w:w="867" w:type="dxa"/>
            <w:gridSpan w:val="2"/>
            <w:shd w:val="clear" w:color="auto" w:fill="auto"/>
            <w:noWrap/>
            <w:vAlign w:val="center"/>
            <w:hideMark/>
          </w:tcPr>
          <w:p w14:paraId="0DB5D62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359,243</w:t>
            </w:r>
          </w:p>
        </w:tc>
        <w:tc>
          <w:tcPr>
            <w:tcW w:w="867" w:type="dxa"/>
            <w:gridSpan w:val="2"/>
            <w:shd w:val="clear" w:color="auto" w:fill="auto"/>
            <w:noWrap/>
            <w:vAlign w:val="center"/>
            <w:hideMark/>
          </w:tcPr>
          <w:p w14:paraId="13E610C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361,009</w:t>
            </w:r>
          </w:p>
        </w:tc>
        <w:tc>
          <w:tcPr>
            <w:tcW w:w="867" w:type="dxa"/>
            <w:gridSpan w:val="2"/>
            <w:shd w:val="clear" w:color="auto" w:fill="auto"/>
            <w:noWrap/>
            <w:vAlign w:val="center"/>
            <w:hideMark/>
          </w:tcPr>
          <w:p w14:paraId="7C1F78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362,882</w:t>
            </w:r>
          </w:p>
        </w:tc>
        <w:tc>
          <w:tcPr>
            <w:tcW w:w="867" w:type="dxa"/>
            <w:gridSpan w:val="2"/>
            <w:shd w:val="clear" w:color="000000" w:fill="FFFFCC"/>
            <w:noWrap/>
            <w:vAlign w:val="center"/>
            <w:hideMark/>
          </w:tcPr>
          <w:p w14:paraId="5E6CA1C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364,671</w:t>
            </w:r>
          </w:p>
        </w:tc>
        <w:tc>
          <w:tcPr>
            <w:tcW w:w="867" w:type="dxa"/>
            <w:gridSpan w:val="2"/>
            <w:shd w:val="clear" w:color="auto" w:fill="auto"/>
            <w:noWrap/>
            <w:vAlign w:val="center"/>
            <w:hideMark/>
          </w:tcPr>
          <w:p w14:paraId="08884E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366,425</w:t>
            </w:r>
          </w:p>
        </w:tc>
        <w:tc>
          <w:tcPr>
            <w:tcW w:w="867" w:type="dxa"/>
            <w:gridSpan w:val="2"/>
            <w:shd w:val="clear" w:color="auto" w:fill="auto"/>
            <w:noWrap/>
            <w:vAlign w:val="center"/>
            <w:hideMark/>
          </w:tcPr>
          <w:p w14:paraId="7045D4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368,121</w:t>
            </w:r>
          </w:p>
        </w:tc>
        <w:tc>
          <w:tcPr>
            <w:tcW w:w="867" w:type="dxa"/>
            <w:gridSpan w:val="2"/>
            <w:shd w:val="clear" w:color="auto" w:fill="auto"/>
            <w:noWrap/>
            <w:vAlign w:val="center"/>
            <w:hideMark/>
          </w:tcPr>
          <w:p w14:paraId="41E565F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369,836</w:t>
            </w:r>
          </w:p>
        </w:tc>
        <w:tc>
          <w:tcPr>
            <w:tcW w:w="867" w:type="dxa"/>
            <w:gridSpan w:val="2"/>
            <w:shd w:val="clear" w:color="auto" w:fill="auto"/>
            <w:noWrap/>
            <w:vAlign w:val="center"/>
            <w:hideMark/>
          </w:tcPr>
          <w:p w14:paraId="1885B4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371,628</w:t>
            </w:r>
          </w:p>
        </w:tc>
        <w:tc>
          <w:tcPr>
            <w:tcW w:w="867" w:type="dxa"/>
            <w:gridSpan w:val="2"/>
            <w:shd w:val="clear" w:color="auto" w:fill="auto"/>
            <w:noWrap/>
            <w:vAlign w:val="center"/>
            <w:hideMark/>
          </w:tcPr>
          <w:p w14:paraId="5C5E47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373,309</w:t>
            </w:r>
          </w:p>
        </w:tc>
        <w:tc>
          <w:tcPr>
            <w:tcW w:w="867" w:type="dxa"/>
            <w:gridSpan w:val="2"/>
            <w:shd w:val="clear" w:color="auto" w:fill="auto"/>
            <w:noWrap/>
            <w:vAlign w:val="center"/>
            <w:hideMark/>
          </w:tcPr>
          <w:p w14:paraId="27F4EC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374,969</w:t>
            </w:r>
          </w:p>
        </w:tc>
        <w:tc>
          <w:tcPr>
            <w:tcW w:w="867" w:type="dxa"/>
            <w:gridSpan w:val="2"/>
            <w:shd w:val="clear" w:color="auto" w:fill="auto"/>
            <w:noWrap/>
            <w:vAlign w:val="center"/>
            <w:hideMark/>
          </w:tcPr>
          <w:p w14:paraId="7A265A3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376,523</w:t>
            </w:r>
          </w:p>
        </w:tc>
        <w:tc>
          <w:tcPr>
            <w:tcW w:w="867" w:type="dxa"/>
            <w:gridSpan w:val="2"/>
            <w:shd w:val="clear" w:color="auto" w:fill="auto"/>
            <w:noWrap/>
            <w:vAlign w:val="center"/>
            <w:hideMark/>
          </w:tcPr>
          <w:p w14:paraId="2C60C5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378,091</w:t>
            </w:r>
          </w:p>
        </w:tc>
      </w:tr>
      <w:tr w:rsidR="009E7571" w:rsidRPr="001E05F5" w14:paraId="31B9C0C2" w14:textId="77777777" w:rsidTr="00E20967">
        <w:trPr>
          <w:gridAfter w:val="2"/>
          <w:wAfter w:w="26" w:type="dxa"/>
          <w:trHeight w:val="288"/>
        </w:trPr>
        <w:tc>
          <w:tcPr>
            <w:tcW w:w="1028" w:type="dxa"/>
            <w:vMerge/>
            <w:vAlign w:val="center"/>
            <w:hideMark/>
          </w:tcPr>
          <w:p w14:paraId="594241E9"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DE76EA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128D8CF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5B656F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5D8626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7E87D9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3CBE445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6A5068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29CD12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3B56839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0103C2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0841DA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43.4%</w:t>
            </w:r>
          </w:p>
        </w:tc>
        <w:tc>
          <w:tcPr>
            <w:tcW w:w="867" w:type="dxa"/>
            <w:gridSpan w:val="2"/>
            <w:shd w:val="clear" w:color="auto" w:fill="auto"/>
            <w:noWrap/>
            <w:vAlign w:val="center"/>
            <w:hideMark/>
          </w:tcPr>
          <w:p w14:paraId="6168CBE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000000" w:fill="FFFFCC"/>
            <w:noWrap/>
            <w:vAlign w:val="center"/>
            <w:hideMark/>
          </w:tcPr>
          <w:p w14:paraId="0C641D8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77CC83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7BEDFF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43.3%</w:t>
            </w:r>
          </w:p>
        </w:tc>
        <w:tc>
          <w:tcPr>
            <w:tcW w:w="867" w:type="dxa"/>
            <w:gridSpan w:val="2"/>
            <w:shd w:val="clear" w:color="auto" w:fill="auto"/>
            <w:noWrap/>
            <w:vAlign w:val="center"/>
            <w:hideMark/>
          </w:tcPr>
          <w:p w14:paraId="746CDAD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0F13D5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0703AA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32B138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43.2%</w:t>
            </w:r>
          </w:p>
        </w:tc>
        <w:tc>
          <w:tcPr>
            <w:tcW w:w="867" w:type="dxa"/>
            <w:gridSpan w:val="2"/>
            <w:shd w:val="clear" w:color="auto" w:fill="auto"/>
            <w:noWrap/>
            <w:vAlign w:val="center"/>
            <w:hideMark/>
          </w:tcPr>
          <w:p w14:paraId="53C81F8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c>
          <w:tcPr>
            <w:tcW w:w="867" w:type="dxa"/>
            <w:gridSpan w:val="2"/>
            <w:shd w:val="clear" w:color="auto" w:fill="auto"/>
            <w:noWrap/>
            <w:vAlign w:val="center"/>
            <w:hideMark/>
          </w:tcPr>
          <w:p w14:paraId="3F6F73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43.1%</w:t>
            </w:r>
          </w:p>
        </w:tc>
      </w:tr>
      <w:tr w:rsidR="009E7571" w:rsidRPr="001E05F5" w14:paraId="6A714B72" w14:textId="77777777" w:rsidTr="00E20967">
        <w:trPr>
          <w:gridAfter w:val="2"/>
          <w:wAfter w:w="26" w:type="dxa"/>
          <w:trHeight w:val="288"/>
        </w:trPr>
        <w:tc>
          <w:tcPr>
            <w:tcW w:w="1028" w:type="dxa"/>
            <w:vMerge/>
            <w:vAlign w:val="center"/>
            <w:hideMark/>
          </w:tcPr>
          <w:p w14:paraId="3E24AB0B"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FC2934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06999D5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4E358D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778B46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51E869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6F1DE9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6997B3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BC3A2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B454C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4C8EC9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CD40A5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0D9C73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000000" w:fill="FFFFCC"/>
            <w:noWrap/>
            <w:vAlign w:val="center"/>
            <w:hideMark/>
          </w:tcPr>
          <w:p w14:paraId="460251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61F0695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5F05E1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7F99B2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46742F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7259FB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010D65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79EA48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c>
          <w:tcPr>
            <w:tcW w:w="867" w:type="dxa"/>
            <w:gridSpan w:val="2"/>
            <w:shd w:val="clear" w:color="auto" w:fill="auto"/>
            <w:noWrap/>
            <w:vAlign w:val="center"/>
            <w:hideMark/>
          </w:tcPr>
          <w:p w14:paraId="2BF82A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93.2%</w:t>
            </w:r>
          </w:p>
        </w:tc>
      </w:tr>
      <w:tr w:rsidR="009E7571" w:rsidRPr="001E05F5" w14:paraId="5BF4AD5F" w14:textId="77777777" w:rsidTr="00E20967">
        <w:trPr>
          <w:gridAfter w:val="2"/>
          <w:wAfter w:w="26" w:type="dxa"/>
          <w:trHeight w:val="288"/>
        </w:trPr>
        <w:tc>
          <w:tcPr>
            <w:tcW w:w="1028" w:type="dxa"/>
            <w:vMerge/>
            <w:vAlign w:val="center"/>
            <w:hideMark/>
          </w:tcPr>
          <w:p w14:paraId="17684CC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75530A7"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3A3834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193F6D6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1549F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1688E2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1C56DB7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4B2DF37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3CE10B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207097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1A8078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5.3%</w:t>
            </w:r>
          </w:p>
        </w:tc>
        <w:tc>
          <w:tcPr>
            <w:tcW w:w="867" w:type="dxa"/>
            <w:gridSpan w:val="2"/>
            <w:shd w:val="clear" w:color="auto" w:fill="auto"/>
            <w:noWrap/>
            <w:vAlign w:val="center"/>
            <w:hideMark/>
          </w:tcPr>
          <w:p w14:paraId="4D884D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012054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000000" w:fill="FFFFCC"/>
            <w:noWrap/>
            <w:vAlign w:val="center"/>
            <w:hideMark/>
          </w:tcPr>
          <w:p w14:paraId="50641E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2BE60B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3352FA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1163962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3484D5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66FA90F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35989D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3AD12B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057105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r>
      <w:tr w:rsidR="00D46E3A" w:rsidRPr="001E05F5" w14:paraId="76A8C2E1" w14:textId="77777777" w:rsidTr="00E20967">
        <w:trPr>
          <w:gridAfter w:val="1"/>
          <w:wAfter w:w="13" w:type="dxa"/>
          <w:trHeight w:val="288"/>
        </w:trPr>
        <w:tc>
          <w:tcPr>
            <w:tcW w:w="1028" w:type="dxa"/>
            <w:vMerge/>
            <w:vAlign w:val="center"/>
            <w:hideMark/>
          </w:tcPr>
          <w:p w14:paraId="54ABED54"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2BC84DB"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7541C17D" w14:textId="77777777" w:rsidR="00D46E3A" w:rsidRPr="001E05F5" w:rsidRDefault="00D46E3A" w:rsidP="00D46E3A">
            <w:pPr>
              <w:spacing w:after="0" w:line="240" w:lineRule="auto"/>
              <w:rPr>
                <w:rFonts w:cs="Arial"/>
                <w:color w:val="000000"/>
                <w:sz w:val="18"/>
                <w:szCs w:val="18"/>
                <w:lang w:eastAsia="en-GB"/>
              </w:rPr>
            </w:pPr>
            <w:r w:rsidRPr="001E05F5">
              <w:rPr>
                <w:rFonts w:cs="Arial"/>
                <w:color w:val="000000"/>
                <w:sz w:val="18"/>
                <w:szCs w:val="18"/>
                <w:lang w:eastAsia="en-GB"/>
              </w:rPr>
              <w:t>£500,193,169c</w:t>
            </w:r>
          </w:p>
        </w:tc>
      </w:tr>
      <w:tr w:rsidR="009E7571" w:rsidRPr="001E05F5" w14:paraId="783B7AE1" w14:textId="77777777" w:rsidTr="00E20967">
        <w:trPr>
          <w:gridAfter w:val="2"/>
          <w:wAfter w:w="26" w:type="dxa"/>
          <w:trHeight w:val="288"/>
        </w:trPr>
        <w:tc>
          <w:tcPr>
            <w:tcW w:w="1028" w:type="dxa"/>
            <w:vMerge w:val="restart"/>
            <w:shd w:val="clear" w:color="auto" w:fill="auto"/>
            <w:vAlign w:val="center"/>
            <w:hideMark/>
          </w:tcPr>
          <w:p w14:paraId="4349364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6AB474C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27F18DA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8D312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48B270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9662D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FE144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600966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63B9A2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63958B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7B0BA6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90852A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1F5717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000000" w:fill="FFFFCC"/>
            <w:noWrap/>
            <w:vAlign w:val="center"/>
            <w:hideMark/>
          </w:tcPr>
          <w:p w14:paraId="6B1C0D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2E3B5E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3696912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494C0A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53C59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773D6F2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ADEC6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1F7C610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c>
          <w:tcPr>
            <w:tcW w:w="867" w:type="dxa"/>
            <w:gridSpan w:val="2"/>
            <w:shd w:val="clear" w:color="auto" w:fill="auto"/>
            <w:noWrap/>
            <w:vAlign w:val="center"/>
            <w:hideMark/>
          </w:tcPr>
          <w:p w14:paraId="01A37E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w:t>
            </w:r>
          </w:p>
        </w:tc>
      </w:tr>
      <w:tr w:rsidR="009E7571" w:rsidRPr="001E05F5" w14:paraId="31500AFD" w14:textId="77777777" w:rsidTr="00E20967">
        <w:trPr>
          <w:gridAfter w:val="2"/>
          <w:wAfter w:w="26" w:type="dxa"/>
          <w:trHeight w:val="288"/>
        </w:trPr>
        <w:tc>
          <w:tcPr>
            <w:tcW w:w="1028" w:type="dxa"/>
            <w:vMerge/>
            <w:vAlign w:val="center"/>
            <w:hideMark/>
          </w:tcPr>
          <w:p w14:paraId="1CE613C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190CED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6B5B23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27B73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4F8D8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986D0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3FBCE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3E2DC2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7C7BD2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3535696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5D196E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9.2%</w:t>
            </w:r>
          </w:p>
        </w:tc>
        <w:tc>
          <w:tcPr>
            <w:tcW w:w="867" w:type="dxa"/>
            <w:gridSpan w:val="2"/>
            <w:shd w:val="clear" w:color="auto" w:fill="auto"/>
            <w:noWrap/>
            <w:vAlign w:val="center"/>
            <w:hideMark/>
          </w:tcPr>
          <w:p w14:paraId="33BEAA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34A427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000000" w:fill="FFFFCC"/>
            <w:noWrap/>
            <w:vAlign w:val="center"/>
            <w:hideMark/>
          </w:tcPr>
          <w:p w14:paraId="189874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2BBA9B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30ED97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25D46DE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6189FE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05E9FA5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7C34BE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0E84F1F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c>
          <w:tcPr>
            <w:tcW w:w="867" w:type="dxa"/>
            <w:gridSpan w:val="2"/>
            <w:shd w:val="clear" w:color="auto" w:fill="auto"/>
            <w:noWrap/>
            <w:vAlign w:val="center"/>
            <w:hideMark/>
          </w:tcPr>
          <w:p w14:paraId="1D43138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9.4%</w:t>
            </w:r>
          </w:p>
        </w:tc>
      </w:tr>
      <w:tr w:rsidR="009E7571" w:rsidRPr="001E05F5" w14:paraId="1F1997B8" w14:textId="77777777" w:rsidTr="00E20967">
        <w:trPr>
          <w:gridAfter w:val="2"/>
          <w:wAfter w:w="26" w:type="dxa"/>
          <w:trHeight w:val="288"/>
        </w:trPr>
        <w:tc>
          <w:tcPr>
            <w:tcW w:w="1028" w:type="dxa"/>
            <w:vMerge/>
            <w:vAlign w:val="center"/>
            <w:hideMark/>
          </w:tcPr>
          <w:p w14:paraId="66C25E8E"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9B254D6"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596D7B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581924E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7A8DD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43410B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C72E92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F67ED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110959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44755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FB2E5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D2E49A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43CC08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000000" w:fill="FFFFCC"/>
            <w:noWrap/>
            <w:vAlign w:val="center"/>
            <w:hideMark/>
          </w:tcPr>
          <w:p w14:paraId="057E1D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5247F9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E2B8C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57BAA7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EC25D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719CD3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2858BA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6EE8CD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c>
          <w:tcPr>
            <w:tcW w:w="867" w:type="dxa"/>
            <w:gridSpan w:val="2"/>
            <w:shd w:val="clear" w:color="auto" w:fill="auto"/>
            <w:noWrap/>
            <w:vAlign w:val="center"/>
            <w:hideMark/>
          </w:tcPr>
          <w:p w14:paraId="740FD98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3.8%</w:t>
            </w:r>
          </w:p>
        </w:tc>
      </w:tr>
      <w:tr w:rsidR="009E7571" w:rsidRPr="001E05F5" w14:paraId="29342352" w14:textId="77777777" w:rsidTr="00E20967">
        <w:trPr>
          <w:gridAfter w:val="2"/>
          <w:wAfter w:w="26" w:type="dxa"/>
          <w:trHeight w:val="288"/>
        </w:trPr>
        <w:tc>
          <w:tcPr>
            <w:tcW w:w="1028" w:type="dxa"/>
            <w:vMerge/>
            <w:vAlign w:val="center"/>
            <w:hideMark/>
          </w:tcPr>
          <w:p w14:paraId="33DE28D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CD08B87"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17859D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BF146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22C81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06D92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69848F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4B347AA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375359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13A5F9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615BE8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-0.8%</w:t>
            </w:r>
          </w:p>
        </w:tc>
        <w:tc>
          <w:tcPr>
            <w:tcW w:w="867" w:type="dxa"/>
            <w:gridSpan w:val="2"/>
            <w:shd w:val="clear" w:color="auto" w:fill="auto"/>
            <w:noWrap/>
            <w:vAlign w:val="center"/>
            <w:hideMark/>
          </w:tcPr>
          <w:p w14:paraId="1DE627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217482A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000000" w:fill="FFFFCC"/>
            <w:noWrap/>
            <w:vAlign w:val="center"/>
            <w:hideMark/>
          </w:tcPr>
          <w:p w14:paraId="0DC5EA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7CCAF7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1185D5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564CF3A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612B2F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50C144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21682C2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3473A1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c>
          <w:tcPr>
            <w:tcW w:w="867" w:type="dxa"/>
            <w:gridSpan w:val="2"/>
            <w:shd w:val="clear" w:color="auto" w:fill="auto"/>
            <w:noWrap/>
            <w:vAlign w:val="center"/>
            <w:hideMark/>
          </w:tcPr>
          <w:p w14:paraId="5302B05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-2.7%</w:t>
            </w:r>
          </w:p>
        </w:tc>
      </w:tr>
      <w:tr w:rsidR="009E7571" w:rsidRPr="001E05F5" w14:paraId="7DF86019" w14:textId="77777777" w:rsidTr="00E20967">
        <w:trPr>
          <w:gridAfter w:val="2"/>
          <w:wAfter w:w="26" w:type="dxa"/>
          <w:trHeight w:val="288"/>
        </w:trPr>
        <w:tc>
          <w:tcPr>
            <w:tcW w:w="1028" w:type="dxa"/>
            <w:vMerge/>
            <w:vAlign w:val="center"/>
            <w:hideMark/>
          </w:tcPr>
          <w:p w14:paraId="503BC439"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FE3AAD5"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129" w:type="dxa"/>
            <w:shd w:val="clear" w:color="auto" w:fill="auto"/>
            <w:noWrap/>
            <w:vAlign w:val="center"/>
            <w:hideMark/>
          </w:tcPr>
          <w:p w14:paraId="7C1D64F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w:t>
            </w:r>
          </w:p>
        </w:tc>
        <w:tc>
          <w:tcPr>
            <w:tcW w:w="867" w:type="dxa"/>
            <w:shd w:val="clear" w:color="auto" w:fill="auto"/>
            <w:noWrap/>
            <w:vAlign w:val="center"/>
            <w:hideMark/>
          </w:tcPr>
          <w:p w14:paraId="0EB79C1F" w14:textId="77777777" w:rsidR="000B6808" w:rsidRPr="001E05F5" w:rsidRDefault="000B6808" w:rsidP="009E7571">
            <w:pPr>
              <w:spacing w:after="0" w:line="240" w:lineRule="auto"/>
              <w:jc w:val="right"/>
              <w:rPr>
                <w:rFonts w:cs="Arial"/>
                <w:color w:val="000000"/>
                <w:sz w:val="18"/>
                <w:szCs w:val="18"/>
                <w:lang w:eastAsia="en-GB"/>
              </w:rPr>
            </w:pPr>
          </w:p>
        </w:tc>
        <w:tc>
          <w:tcPr>
            <w:tcW w:w="867" w:type="dxa"/>
            <w:gridSpan w:val="2"/>
            <w:shd w:val="clear" w:color="auto" w:fill="auto"/>
            <w:noWrap/>
            <w:vAlign w:val="center"/>
            <w:hideMark/>
          </w:tcPr>
          <w:p w14:paraId="34ED07E3"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045452E7"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31FD2DAD"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58CE23CE"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77408D7E"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02811E0D"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2E6A9531"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49EA42AF"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3B0D01CD"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000000" w:fill="FFFFCC"/>
            <w:noWrap/>
            <w:vAlign w:val="center"/>
            <w:hideMark/>
          </w:tcPr>
          <w:p w14:paraId="7D0AE139" w14:textId="77777777" w:rsidR="000B6808" w:rsidRPr="001E05F5" w:rsidRDefault="000B6808" w:rsidP="009E7571">
            <w:pPr>
              <w:spacing w:after="0" w:line="240" w:lineRule="auto"/>
              <w:jc w:val="right"/>
              <w:rPr>
                <w:rFonts w:cs="Arial"/>
                <w:color w:val="000000"/>
                <w:sz w:val="18"/>
                <w:szCs w:val="18"/>
                <w:lang w:eastAsia="en-GB"/>
              </w:rPr>
            </w:pPr>
          </w:p>
        </w:tc>
        <w:tc>
          <w:tcPr>
            <w:tcW w:w="867" w:type="dxa"/>
            <w:gridSpan w:val="2"/>
            <w:shd w:val="clear" w:color="auto" w:fill="auto"/>
            <w:noWrap/>
            <w:vAlign w:val="center"/>
            <w:hideMark/>
          </w:tcPr>
          <w:p w14:paraId="256F3A0D" w14:textId="77777777" w:rsidR="000B6808" w:rsidRPr="001E05F5" w:rsidRDefault="000B6808" w:rsidP="009E7571">
            <w:pPr>
              <w:spacing w:after="0" w:line="240" w:lineRule="auto"/>
              <w:jc w:val="right"/>
              <w:rPr>
                <w:rFonts w:cs="Arial"/>
                <w:color w:val="000000"/>
                <w:sz w:val="18"/>
                <w:szCs w:val="18"/>
                <w:lang w:eastAsia="en-GB"/>
              </w:rPr>
            </w:pPr>
          </w:p>
        </w:tc>
        <w:tc>
          <w:tcPr>
            <w:tcW w:w="867" w:type="dxa"/>
            <w:gridSpan w:val="2"/>
            <w:shd w:val="clear" w:color="auto" w:fill="auto"/>
            <w:noWrap/>
            <w:vAlign w:val="center"/>
            <w:hideMark/>
          </w:tcPr>
          <w:p w14:paraId="3712BF64"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654541C8"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2CF9896C"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7C19C00F"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02E9F8C3"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64F90750" w14:textId="77777777" w:rsidR="000B6808" w:rsidRPr="001E05F5" w:rsidRDefault="000B6808"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409A63ED" w14:textId="77777777" w:rsidR="000B6808" w:rsidRPr="001E05F5" w:rsidRDefault="000B6808" w:rsidP="009E7571">
            <w:pPr>
              <w:spacing w:after="0" w:line="240" w:lineRule="auto"/>
              <w:jc w:val="right"/>
              <w:rPr>
                <w:rFonts w:cs="Arial"/>
                <w:sz w:val="18"/>
                <w:szCs w:val="18"/>
                <w:lang w:eastAsia="en-GB"/>
              </w:rPr>
            </w:pPr>
          </w:p>
        </w:tc>
      </w:tr>
      <w:tr w:rsidR="009E7571" w:rsidRPr="001E05F5" w14:paraId="5E57BCEB"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3C8B9997" w14:textId="77777777" w:rsidR="009E7571" w:rsidRPr="001E05F5" w:rsidRDefault="009E7571" w:rsidP="00E20967">
            <w:pPr>
              <w:keepNext/>
              <w:keepLines/>
              <w:spacing w:after="0" w:line="240" w:lineRule="auto"/>
              <w:rPr>
                <w:rFonts w:cs="Arial"/>
                <w:b/>
                <w:color w:val="000000"/>
                <w:sz w:val="18"/>
                <w:szCs w:val="18"/>
                <w:lang w:eastAsia="en-GB"/>
              </w:rPr>
            </w:pPr>
            <w:r w:rsidRPr="001E05F5">
              <w:rPr>
                <w:rFonts w:cs="Arial"/>
                <w:b/>
                <w:color w:val="000000"/>
                <w:sz w:val="18"/>
                <w:szCs w:val="18"/>
                <w:lang w:eastAsia="en-GB"/>
              </w:rPr>
              <w:lastRenderedPageBreak/>
              <w:t>Scenario 3a</w:t>
            </w:r>
          </w:p>
        </w:tc>
        <w:tc>
          <w:tcPr>
            <w:tcW w:w="1129" w:type="dxa"/>
            <w:shd w:val="clear" w:color="auto" w:fill="D9D9D9" w:themeFill="background1" w:themeFillShade="D9"/>
            <w:noWrap/>
            <w:vAlign w:val="center"/>
            <w:hideMark/>
          </w:tcPr>
          <w:p w14:paraId="52900F18"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7B9FF25E"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4221FA82"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2C941888"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487DE1F0"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2051876F"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72C57F98"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1DBCD4FE"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7043E7F7"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7826EACF"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080AFF9D"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28FCD99E"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073542FE"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2157AD6B"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3BA49C9E"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35191C76"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1F65A426"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19571202"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3C5AA627"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7CA4EE52"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05F41899" w14:textId="77777777" w:rsidTr="00E20967">
        <w:trPr>
          <w:gridAfter w:val="2"/>
          <w:wAfter w:w="26" w:type="dxa"/>
          <w:trHeight w:val="288"/>
        </w:trPr>
        <w:tc>
          <w:tcPr>
            <w:tcW w:w="1028" w:type="dxa"/>
            <w:vMerge w:val="restart"/>
            <w:shd w:val="clear" w:color="auto" w:fill="auto"/>
            <w:vAlign w:val="center"/>
            <w:hideMark/>
          </w:tcPr>
          <w:p w14:paraId="66F76A65" w14:textId="77777777" w:rsidR="000B6808" w:rsidRPr="001E05F5" w:rsidRDefault="000B6808" w:rsidP="00E20967">
            <w:pPr>
              <w:keepNext/>
              <w:keepLines/>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3CB99B87" w14:textId="77777777" w:rsidR="000B6808" w:rsidRPr="001E05F5" w:rsidRDefault="000B6808" w:rsidP="00E20967">
            <w:pPr>
              <w:keepNext/>
              <w:keepLines/>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37906708"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39CD6158"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171C32BB"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2FD2E788"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49091DB4"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350,427</w:t>
            </w:r>
          </w:p>
        </w:tc>
        <w:tc>
          <w:tcPr>
            <w:tcW w:w="867" w:type="dxa"/>
            <w:gridSpan w:val="2"/>
            <w:shd w:val="clear" w:color="auto" w:fill="auto"/>
            <w:noWrap/>
            <w:vAlign w:val="center"/>
            <w:hideMark/>
          </w:tcPr>
          <w:p w14:paraId="7DC55F4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352,369</w:t>
            </w:r>
          </w:p>
        </w:tc>
        <w:tc>
          <w:tcPr>
            <w:tcW w:w="867" w:type="dxa"/>
            <w:gridSpan w:val="2"/>
            <w:shd w:val="clear" w:color="auto" w:fill="auto"/>
            <w:noWrap/>
            <w:vAlign w:val="center"/>
            <w:hideMark/>
          </w:tcPr>
          <w:p w14:paraId="17E5EFCE"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354,238</w:t>
            </w:r>
          </w:p>
        </w:tc>
        <w:tc>
          <w:tcPr>
            <w:tcW w:w="867" w:type="dxa"/>
            <w:gridSpan w:val="2"/>
            <w:shd w:val="clear" w:color="auto" w:fill="auto"/>
            <w:noWrap/>
            <w:vAlign w:val="center"/>
            <w:hideMark/>
          </w:tcPr>
          <w:p w14:paraId="6B2D7BCA"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355,970</w:t>
            </w:r>
          </w:p>
        </w:tc>
        <w:tc>
          <w:tcPr>
            <w:tcW w:w="867" w:type="dxa"/>
            <w:gridSpan w:val="2"/>
            <w:shd w:val="clear" w:color="auto" w:fill="auto"/>
            <w:noWrap/>
            <w:vAlign w:val="center"/>
            <w:hideMark/>
          </w:tcPr>
          <w:p w14:paraId="4AF2D8F0"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357,725</w:t>
            </w:r>
          </w:p>
        </w:tc>
        <w:tc>
          <w:tcPr>
            <w:tcW w:w="867" w:type="dxa"/>
            <w:gridSpan w:val="2"/>
            <w:shd w:val="clear" w:color="auto" w:fill="auto"/>
            <w:noWrap/>
            <w:vAlign w:val="center"/>
            <w:hideMark/>
          </w:tcPr>
          <w:p w14:paraId="6179400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359,482</w:t>
            </w:r>
          </w:p>
        </w:tc>
        <w:tc>
          <w:tcPr>
            <w:tcW w:w="867" w:type="dxa"/>
            <w:gridSpan w:val="2"/>
            <w:shd w:val="clear" w:color="auto" w:fill="auto"/>
            <w:noWrap/>
            <w:vAlign w:val="center"/>
            <w:hideMark/>
          </w:tcPr>
          <w:p w14:paraId="039A72BD"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361,345</w:t>
            </w:r>
          </w:p>
        </w:tc>
        <w:tc>
          <w:tcPr>
            <w:tcW w:w="867" w:type="dxa"/>
            <w:gridSpan w:val="2"/>
            <w:shd w:val="clear" w:color="000000" w:fill="FFFFCC"/>
            <w:noWrap/>
            <w:vAlign w:val="center"/>
            <w:hideMark/>
          </w:tcPr>
          <w:p w14:paraId="57306B7D"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363,125</w:t>
            </w:r>
          </w:p>
        </w:tc>
        <w:tc>
          <w:tcPr>
            <w:tcW w:w="867" w:type="dxa"/>
            <w:gridSpan w:val="2"/>
            <w:shd w:val="clear" w:color="auto" w:fill="auto"/>
            <w:noWrap/>
            <w:vAlign w:val="center"/>
            <w:hideMark/>
          </w:tcPr>
          <w:p w14:paraId="77988867"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364,871</w:t>
            </w:r>
          </w:p>
        </w:tc>
        <w:tc>
          <w:tcPr>
            <w:tcW w:w="867" w:type="dxa"/>
            <w:gridSpan w:val="2"/>
            <w:shd w:val="clear" w:color="auto" w:fill="auto"/>
            <w:noWrap/>
            <w:vAlign w:val="center"/>
            <w:hideMark/>
          </w:tcPr>
          <w:p w14:paraId="31B5CA22"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366,559</w:t>
            </w:r>
          </w:p>
        </w:tc>
        <w:tc>
          <w:tcPr>
            <w:tcW w:w="867" w:type="dxa"/>
            <w:gridSpan w:val="2"/>
            <w:shd w:val="clear" w:color="auto" w:fill="auto"/>
            <w:noWrap/>
            <w:vAlign w:val="center"/>
            <w:hideMark/>
          </w:tcPr>
          <w:p w14:paraId="261857CA"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368,266</w:t>
            </w:r>
          </w:p>
        </w:tc>
        <w:tc>
          <w:tcPr>
            <w:tcW w:w="867" w:type="dxa"/>
            <w:gridSpan w:val="2"/>
            <w:shd w:val="clear" w:color="auto" w:fill="auto"/>
            <w:noWrap/>
            <w:vAlign w:val="center"/>
            <w:hideMark/>
          </w:tcPr>
          <w:p w14:paraId="0EECA745"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370,050</w:t>
            </w:r>
          </w:p>
        </w:tc>
        <w:tc>
          <w:tcPr>
            <w:tcW w:w="867" w:type="dxa"/>
            <w:gridSpan w:val="2"/>
            <w:shd w:val="clear" w:color="auto" w:fill="auto"/>
            <w:noWrap/>
            <w:vAlign w:val="center"/>
            <w:hideMark/>
          </w:tcPr>
          <w:p w14:paraId="27D9AF1A"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371,722</w:t>
            </w:r>
          </w:p>
        </w:tc>
        <w:tc>
          <w:tcPr>
            <w:tcW w:w="867" w:type="dxa"/>
            <w:gridSpan w:val="2"/>
            <w:shd w:val="clear" w:color="auto" w:fill="auto"/>
            <w:noWrap/>
            <w:vAlign w:val="center"/>
            <w:hideMark/>
          </w:tcPr>
          <w:p w14:paraId="651F324A"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373,375</w:t>
            </w:r>
          </w:p>
        </w:tc>
        <w:tc>
          <w:tcPr>
            <w:tcW w:w="867" w:type="dxa"/>
            <w:gridSpan w:val="2"/>
            <w:shd w:val="clear" w:color="auto" w:fill="auto"/>
            <w:noWrap/>
            <w:vAlign w:val="center"/>
            <w:hideMark/>
          </w:tcPr>
          <w:p w14:paraId="78D9236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374,922</w:t>
            </w:r>
          </w:p>
        </w:tc>
        <w:tc>
          <w:tcPr>
            <w:tcW w:w="867" w:type="dxa"/>
            <w:gridSpan w:val="2"/>
            <w:shd w:val="clear" w:color="auto" w:fill="auto"/>
            <w:noWrap/>
            <w:vAlign w:val="center"/>
            <w:hideMark/>
          </w:tcPr>
          <w:p w14:paraId="3D306DE1"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376,483</w:t>
            </w:r>
          </w:p>
        </w:tc>
      </w:tr>
      <w:tr w:rsidR="009E7571" w:rsidRPr="001E05F5" w14:paraId="1A033A58" w14:textId="77777777" w:rsidTr="00E20967">
        <w:trPr>
          <w:gridAfter w:val="2"/>
          <w:wAfter w:w="26" w:type="dxa"/>
          <w:trHeight w:val="288"/>
        </w:trPr>
        <w:tc>
          <w:tcPr>
            <w:tcW w:w="1028" w:type="dxa"/>
            <w:vMerge/>
            <w:vAlign w:val="center"/>
            <w:hideMark/>
          </w:tcPr>
          <w:p w14:paraId="0060607B"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C61F95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25A67F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7F82C3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568CE1A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75BA45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0608F3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w:t>
            </w:r>
          </w:p>
        </w:tc>
        <w:tc>
          <w:tcPr>
            <w:tcW w:w="867" w:type="dxa"/>
            <w:gridSpan w:val="2"/>
            <w:shd w:val="clear" w:color="auto" w:fill="auto"/>
            <w:noWrap/>
            <w:vAlign w:val="center"/>
            <w:hideMark/>
          </w:tcPr>
          <w:p w14:paraId="208390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725745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191B5D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49D032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w:t>
            </w:r>
          </w:p>
        </w:tc>
        <w:tc>
          <w:tcPr>
            <w:tcW w:w="867" w:type="dxa"/>
            <w:gridSpan w:val="2"/>
            <w:shd w:val="clear" w:color="auto" w:fill="auto"/>
            <w:noWrap/>
            <w:vAlign w:val="center"/>
            <w:hideMark/>
          </w:tcPr>
          <w:p w14:paraId="5334C4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w:t>
            </w:r>
          </w:p>
        </w:tc>
        <w:tc>
          <w:tcPr>
            <w:tcW w:w="867" w:type="dxa"/>
            <w:gridSpan w:val="2"/>
            <w:shd w:val="clear" w:color="auto" w:fill="auto"/>
            <w:noWrap/>
            <w:vAlign w:val="center"/>
            <w:hideMark/>
          </w:tcPr>
          <w:p w14:paraId="2A540E8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w:t>
            </w:r>
          </w:p>
        </w:tc>
        <w:tc>
          <w:tcPr>
            <w:tcW w:w="867" w:type="dxa"/>
            <w:gridSpan w:val="2"/>
            <w:shd w:val="clear" w:color="000000" w:fill="FFFFCC"/>
            <w:noWrap/>
            <w:vAlign w:val="center"/>
            <w:hideMark/>
          </w:tcPr>
          <w:p w14:paraId="75BF5A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w:t>
            </w:r>
          </w:p>
        </w:tc>
        <w:tc>
          <w:tcPr>
            <w:tcW w:w="867" w:type="dxa"/>
            <w:gridSpan w:val="2"/>
            <w:shd w:val="clear" w:color="auto" w:fill="auto"/>
            <w:noWrap/>
            <w:vAlign w:val="center"/>
            <w:hideMark/>
          </w:tcPr>
          <w:p w14:paraId="48F106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w:t>
            </w:r>
          </w:p>
        </w:tc>
        <w:tc>
          <w:tcPr>
            <w:tcW w:w="867" w:type="dxa"/>
            <w:gridSpan w:val="2"/>
            <w:shd w:val="clear" w:color="auto" w:fill="auto"/>
            <w:noWrap/>
            <w:vAlign w:val="center"/>
            <w:hideMark/>
          </w:tcPr>
          <w:p w14:paraId="618F0DE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c>
          <w:tcPr>
            <w:tcW w:w="867" w:type="dxa"/>
            <w:gridSpan w:val="2"/>
            <w:shd w:val="clear" w:color="auto" w:fill="auto"/>
            <w:noWrap/>
            <w:vAlign w:val="center"/>
            <w:hideMark/>
          </w:tcPr>
          <w:p w14:paraId="481566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w:t>
            </w:r>
          </w:p>
        </w:tc>
        <w:tc>
          <w:tcPr>
            <w:tcW w:w="867" w:type="dxa"/>
            <w:gridSpan w:val="2"/>
            <w:shd w:val="clear" w:color="auto" w:fill="auto"/>
            <w:noWrap/>
            <w:vAlign w:val="center"/>
            <w:hideMark/>
          </w:tcPr>
          <w:p w14:paraId="780957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w:t>
            </w:r>
          </w:p>
        </w:tc>
        <w:tc>
          <w:tcPr>
            <w:tcW w:w="867" w:type="dxa"/>
            <w:gridSpan w:val="2"/>
            <w:shd w:val="clear" w:color="auto" w:fill="auto"/>
            <w:noWrap/>
            <w:vAlign w:val="center"/>
            <w:hideMark/>
          </w:tcPr>
          <w:p w14:paraId="196BA2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w:t>
            </w:r>
          </w:p>
        </w:tc>
        <w:tc>
          <w:tcPr>
            <w:tcW w:w="867" w:type="dxa"/>
            <w:gridSpan w:val="2"/>
            <w:shd w:val="clear" w:color="auto" w:fill="auto"/>
            <w:noWrap/>
            <w:vAlign w:val="center"/>
            <w:hideMark/>
          </w:tcPr>
          <w:p w14:paraId="515160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w:t>
            </w:r>
          </w:p>
        </w:tc>
        <w:tc>
          <w:tcPr>
            <w:tcW w:w="867" w:type="dxa"/>
            <w:gridSpan w:val="2"/>
            <w:shd w:val="clear" w:color="auto" w:fill="auto"/>
            <w:noWrap/>
            <w:vAlign w:val="center"/>
            <w:hideMark/>
          </w:tcPr>
          <w:p w14:paraId="3A001E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w:t>
            </w:r>
          </w:p>
        </w:tc>
        <w:tc>
          <w:tcPr>
            <w:tcW w:w="867" w:type="dxa"/>
            <w:gridSpan w:val="2"/>
            <w:shd w:val="clear" w:color="auto" w:fill="auto"/>
            <w:noWrap/>
            <w:vAlign w:val="center"/>
            <w:hideMark/>
          </w:tcPr>
          <w:p w14:paraId="319AC8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w:t>
            </w:r>
          </w:p>
        </w:tc>
      </w:tr>
      <w:tr w:rsidR="009E7571" w:rsidRPr="001E05F5" w14:paraId="7D4D8DDC" w14:textId="77777777" w:rsidTr="00E20967">
        <w:trPr>
          <w:gridAfter w:val="2"/>
          <w:wAfter w:w="26" w:type="dxa"/>
          <w:trHeight w:val="288"/>
        </w:trPr>
        <w:tc>
          <w:tcPr>
            <w:tcW w:w="1028" w:type="dxa"/>
            <w:vMerge/>
            <w:vAlign w:val="center"/>
            <w:hideMark/>
          </w:tcPr>
          <w:p w14:paraId="08E20BED"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2F0414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3605849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0CBC13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64AF1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41E4F7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9DBCE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409622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ABD9C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7287BF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27287A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56EDEE0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00D09BF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000000" w:fill="FFFFCC"/>
            <w:noWrap/>
            <w:vAlign w:val="center"/>
            <w:hideMark/>
          </w:tcPr>
          <w:p w14:paraId="5DFC39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303238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11B21C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78F3895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31E895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42B310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6A83F4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633DCB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c>
          <w:tcPr>
            <w:tcW w:w="867" w:type="dxa"/>
            <w:gridSpan w:val="2"/>
            <w:shd w:val="clear" w:color="auto" w:fill="auto"/>
            <w:noWrap/>
            <w:vAlign w:val="center"/>
            <w:hideMark/>
          </w:tcPr>
          <w:p w14:paraId="54C0A3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89.6%</w:t>
            </w:r>
          </w:p>
        </w:tc>
      </w:tr>
      <w:tr w:rsidR="009E7571" w:rsidRPr="001E05F5" w14:paraId="3417A981" w14:textId="77777777" w:rsidTr="00E20967">
        <w:trPr>
          <w:gridAfter w:val="2"/>
          <w:wAfter w:w="26" w:type="dxa"/>
          <w:trHeight w:val="288"/>
        </w:trPr>
        <w:tc>
          <w:tcPr>
            <w:tcW w:w="1028" w:type="dxa"/>
            <w:vMerge/>
            <w:vAlign w:val="center"/>
            <w:hideMark/>
          </w:tcPr>
          <w:p w14:paraId="234836BF"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46900C0"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6B4E84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3E3F84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5C002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523F183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59910F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2D128E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3BFC2D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546E477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25B83D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281D3E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04FB77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000000" w:fill="FFFFCC"/>
            <w:noWrap/>
            <w:vAlign w:val="center"/>
            <w:hideMark/>
          </w:tcPr>
          <w:p w14:paraId="3E1E8A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34A573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4A4303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07E117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6143F5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071B6D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42353F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0FCB85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0DC405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r>
      <w:tr w:rsidR="00D46E3A" w:rsidRPr="001E05F5" w14:paraId="70AB0300" w14:textId="77777777" w:rsidTr="00E20967">
        <w:trPr>
          <w:gridAfter w:val="1"/>
          <w:wAfter w:w="13" w:type="dxa"/>
          <w:trHeight w:val="288"/>
        </w:trPr>
        <w:tc>
          <w:tcPr>
            <w:tcW w:w="1028" w:type="dxa"/>
            <w:vMerge/>
            <w:vAlign w:val="center"/>
            <w:hideMark/>
          </w:tcPr>
          <w:p w14:paraId="0ACE9B6C"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32D44BE"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6AB303F0"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£467,033,114</w:t>
            </w:r>
          </w:p>
        </w:tc>
      </w:tr>
      <w:tr w:rsidR="009E7571" w:rsidRPr="001E05F5" w14:paraId="3D6DD923" w14:textId="77777777" w:rsidTr="00E20967">
        <w:trPr>
          <w:gridAfter w:val="2"/>
          <w:wAfter w:w="26" w:type="dxa"/>
          <w:trHeight w:val="288"/>
        </w:trPr>
        <w:tc>
          <w:tcPr>
            <w:tcW w:w="1028" w:type="dxa"/>
            <w:vMerge w:val="restart"/>
            <w:shd w:val="clear" w:color="auto" w:fill="auto"/>
            <w:vAlign w:val="center"/>
            <w:hideMark/>
          </w:tcPr>
          <w:p w14:paraId="6B9EF7A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4C8FCE2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43E4C4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3A551D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E69081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E6897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D87E8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01EE83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362E6D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2E21BD7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5F6D61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023BC61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4A2AE3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000000" w:fill="FFFFCC"/>
            <w:noWrap/>
            <w:vAlign w:val="center"/>
            <w:hideMark/>
          </w:tcPr>
          <w:p w14:paraId="6A5558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672730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65748B0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430781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120BC7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68EBA9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33DD08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4191066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73AFE19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r>
      <w:tr w:rsidR="009E7571" w:rsidRPr="001E05F5" w14:paraId="750BCBC4" w14:textId="77777777" w:rsidTr="00E20967">
        <w:trPr>
          <w:gridAfter w:val="2"/>
          <w:wAfter w:w="26" w:type="dxa"/>
          <w:trHeight w:val="288"/>
        </w:trPr>
        <w:tc>
          <w:tcPr>
            <w:tcW w:w="1028" w:type="dxa"/>
            <w:vMerge/>
            <w:vAlign w:val="center"/>
            <w:hideMark/>
          </w:tcPr>
          <w:p w14:paraId="3A2FDC9F"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92F8F7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10A06C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55F018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8CB403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86C18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5FBD8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199D3D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3.0%</w:t>
            </w:r>
          </w:p>
        </w:tc>
        <w:tc>
          <w:tcPr>
            <w:tcW w:w="867" w:type="dxa"/>
            <w:gridSpan w:val="2"/>
            <w:shd w:val="clear" w:color="auto" w:fill="auto"/>
            <w:noWrap/>
            <w:vAlign w:val="center"/>
            <w:hideMark/>
          </w:tcPr>
          <w:p w14:paraId="40466C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3.1%</w:t>
            </w:r>
          </w:p>
        </w:tc>
        <w:tc>
          <w:tcPr>
            <w:tcW w:w="867" w:type="dxa"/>
            <w:gridSpan w:val="2"/>
            <w:shd w:val="clear" w:color="auto" w:fill="auto"/>
            <w:noWrap/>
            <w:vAlign w:val="center"/>
            <w:hideMark/>
          </w:tcPr>
          <w:p w14:paraId="68C1F6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3.1%</w:t>
            </w:r>
          </w:p>
        </w:tc>
        <w:tc>
          <w:tcPr>
            <w:tcW w:w="867" w:type="dxa"/>
            <w:gridSpan w:val="2"/>
            <w:shd w:val="clear" w:color="auto" w:fill="auto"/>
            <w:noWrap/>
            <w:vAlign w:val="center"/>
            <w:hideMark/>
          </w:tcPr>
          <w:p w14:paraId="742B339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3.2%</w:t>
            </w:r>
          </w:p>
        </w:tc>
        <w:tc>
          <w:tcPr>
            <w:tcW w:w="867" w:type="dxa"/>
            <w:gridSpan w:val="2"/>
            <w:shd w:val="clear" w:color="auto" w:fill="auto"/>
            <w:noWrap/>
            <w:vAlign w:val="center"/>
            <w:hideMark/>
          </w:tcPr>
          <w:p w14:paraId="386749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6D74DF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000000" w:fill="FFFFCC"/>
            <w:noWrap/>
            <w:vAlign w:val="center"/>
            <w:hideMark/>
          </w:tcPr>
          <w:p w14:paraId="37B99A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667B3FF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w:t>
            </w:r>
          </w:p>
        </w:tc>
        <w:tc>
          <w:tcPr>
            <w:tcW w:w="867" w:type="dxa"/>
            <w:gridSpan w:val="2"/>
            <w:shd w:val="clear" w:color="auto" w:fill="auto"/>
            <w:noWrap/>
            <w:vAlign w:val="center"/>
            <w:hideMark/>
          </w:tcPr>
          <w:p w14:paraId="2151A3B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auto" w:fill="auto"/>
            <w:noWrap/>
            <w:vAlign w:val="center"/>
            <w:hideMark/>
          </w:tcPr>
          <w:p w14:paraId="5402C4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auto" w:fill="auto"/>
            <w:noWrap/>
            <w:vAlign w:val="center"/>
            <w:hideMark/>
          </w:tcPr>
          <w:p w14:paraId="093949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auto" w:fill="auto"/>
            <w:noWrap/>
            <w:vAlign w:val="center"/>
            <w:hideMark/>
          </w:tcPr>
          <w:p w14:paraId="75C970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auto" w:fill="auto"/>
            <w:noWrap/>
            <w:vAlign w:val="center"/>
            <w:hideMark/>
          </w:tcPr>
          <w:p w14:paraId="4BE95ED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auto" w:fill="auto"/>
            <w:noWrap/>
            <w:vAlign w:val="center"/>
            <w:hideMark/>
          </w:tcPr>
          <w:p w14:paraId="52E7D5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auto" w:fill="auto"/>
            <w:noWrap/>
            <w:vAlign w:val="center"/>
            <w:hideMark/>
          </w:tcPr>
          <w:p w14:paraId="22F03A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r>
      <w:tr w:rsidR="009E7571" w:rsidRPr="001E05F5" w14:paraId="47C1667A" w14:textId="77777777" w:rsidTr="00E20967">
        <w:trPr>
          <w:gridAfter w:val="2"/>
          <w:wAfter w:w="26" w:type="dxa"/>
          <w:trHeight w:val="288"/>
        </w:trPr>
        <w:tc>
          <w:tcPr>
            <w:tcW w:w="1028" w:type="dxa"/>
            <w:vMerge/>
            <w:vAlign w:val="center"/>
            <w:hideMark/>
          </w:tcPr>
          <w:p w14:paraId="6095187C"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2D937A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723987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40353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EAB83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4E1B5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1FE9E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003B73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998912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D0616C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DA5D1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6D759D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42208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000000" w:fill="FFFFCC"/>
            <w:noWrap/>
            <w:vAlign w:val="center"/>
            <w:hideMark/>
          </w:tcPr>
          <w:p w14:paraId="38BCF2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0.09%</w:t>
            </w:r>
          </w:p>
        </w:tc>
        <w:tc>
          <w:tcPr>
            <w:tcW w:w="867" w:type="dxa"/>
            <w:gridSpan w:val="2"/>
            <w:shd w:val="clear" w:color="auto" w:fill="auto"/>
            <w:noWrap/>
            <w:vAlign w:val="center"/>
            <w:hideMark/>
          </w:tcPr>
          <w:p w14:paraId="439D6A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91360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77436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04FBA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DAD3C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A092F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6D7770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A18E2C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r>
      <w:tr w:rsidR="009E7571" w:rsidRPr="001E05F5" w14:paraId="0E27D9CA" w14:textId="77777777" w:rsidTr="00E20967">
        <w:trPr>
          <w:gridAfter w:val="2"/>
          <w:wAfter w:w="26" w:type="dxa"/>
          <w:trHeight w:val="288"/>
        </w:trPr>
        <w:tc>
          <w:tcPr>
            <w:tcW w:w="1028" w:type="dxa"/>
            <w:vMerge/>
            <w:vAlign w:val="center"/>
            <w:hideMark/>
          </w:tcPr>
          <w:p w14:paraId="61854344"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0726596"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4FB01C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3236181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047A6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7C24C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3EE73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5DD707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1D3A8C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6A32DD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3C789F3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7A81042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c>
          <w:tcPr>
            <w:tcW w:w="867" w:type="dxa"/>
            <w:gridSpan w:val="2"/>
            <w:shd w:val="clear" w:color="auto" w:fill="auto"/>
            <w:noWrap/>
            <w:vAlign w:val="center"/>
            <w:hideMark/>
          </w:tcPr>
          <w:p w14:paraId="428A34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c>
          <w:tcPr>
            <w:tcW w:w="867" w:type="dxa"/>
            <w:gridSpan w:val="2"/>
            <w:shd w:val="clear" w:color="000000" w:fill="FFFFCC"/>
            <w:noWrap/>
            <w:vAlign w:val="center"/>
            <w:hideMark/>
          </w:tcPr>
          <w:p w14:paraId="4B0FB9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-0.36%</w:t>
            </w:r>
          </w:p>
        </w:tc>
        <w:tc>
          <w:tcPr>
            <w:tcW w:w="867" w:type="dxa"/>
            <w:gridSpan w:val="2"/>
            <w:shd w:val="clear" w:color="auto" w:fill="auto"/>
            <w:noWrap/>
            <w:vAlign w:val="center"/>
            <w:hideMark/>
          </w:tcPr>
          <w:p w14:paraId="354E41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c>
          <w:tcPr>
            <w:tcW w:w="867" w:type="dxa"/>
            <w:gridSpan w:val="2"/>
            <w:shd w:val="clear" w:color="auto" w:fill="auto"/>
            <w:noWrap/>
            <w:vAlign w:val="center"/>
            <w:hideMark/>
          </w:tcPr>
          <w:p w14:paraId="162EA9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c>
          <w:tcPr>
            <w:tcW w:w="867" w:type="dxa"/>
            <w:gridSpan w:val="2"/>
            <w:shd w:val="clear" w:color="auto" w:fill="auto"/>
            <w:noWrap/>
            <w:vAlign w:val="center"/>
            <w:hideMark/>
          </w:tcPr>
          <w:p w14:paraId="172DA6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c>
          <w:tcPr>
            <w:tcW w:w="867" w:type="dxa"/>
            <w:gridSpan w:val="2"/>
            <w:shd w:val="clear" w:color="auto" w:fill="auto"/>
            <w:noWrap/>
            <w:vAlign w:val="center"/>
            <w:hideMark/>
          </w:tcPr>
          <w:p w14:paraId="4D4D0A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c>
          <w:tcPr>
            <w:tcW w:w="867" w:type="dxa"/>
            <w:gridSpan w:val="2"/>
            <w:shd w:val="clear" w:color="auto" w:fill="auto"/>
            <w:noWrap/>
            <w:vAlign w:val="center"/>
            <w:hideMark/>
          </w:tcPr>
          <w:p w14:paraId="1FA252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c>
          <w:tcPr>
            <w:tcW w:w="867" w:type="dxa"/>
            <w:gridSpan w:val="2"/>
            <w:shd w:val="clear" w:color="auto" w:fill="auto"/>
            <w:noWrap/>
            <w:vAlign w:val="center"/>
            <w:hideMark/>
          </w:tcPr>
          <w:p w14:paraId="313093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c>
          <w:tcPr>
            <w:tcW w:w="867" w:type="dxa"/>
            <w:gridSpan w:val="2"/>
            <w:shd w:val="clear" w:color="auto" w:fill="auto"/>
            <w:noWrap/>
            <w:vAlign w:val="center"/>
            <w:hideMark/>
          </w:tcPr>
          <w:p w14:paraId="2F8C1D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c>
          <w:tcPr>
            <w:tcW w:w="867" w:type="dxa"/>
            <w:gridSpan w:val="2"/>
            <w:shd w:val="clear" w:color="auto" w:fill="auto"/>
            <w:noWrap/>
            <w:vAlign w:val="center"/>
            <w:hideMark/>
          </w:tcPr>
          <w:p w14:paraId="2D5417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-0.4%</w:t>
            </w:r>
          </w:p>
        </w:tc>
      </w:tr>
      <w:tr w:rsidR="00D46E3A" w:rsidRPr="001E05F5" w14:paraId="2865021E" w14:textId="77777777" w:rsidTr="00E20967">
        <w:trPr>
          <w:gridAfter w:val="2"/>
          <w:wAfter w:w="26" w:type="dxa"/>
          <w:trHeight w:val="288"/>
        </w:trPr>
        <w:tc>
          <w:tcPr>
            <w:tcW w:w="1028" w:type="dxa"/>
            <w:vMerge/>
            <w:vAlign w:val="center"/>
            <w:hideMark/>
          </w:tcPr>
          <w:p w14:paraId="29DACE4F"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A2981D1"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356615F4"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-7.6%</w:t>
            </w:r>
          </w:p>
        </w:tc>
      </w:tr>
      <w:tr w:rsidR="009E7571" w:rsidRPr="001E05F5" w14:paraId="47777954"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460EEF85"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3b</w:t>
            </w:r>
          </w:p>
        </w:tc>
        <w:tc>
          <w:tcPr>
            <w:tcW w:w="1129" w:type="dxa"/>
            <w:shd w:val="clear" w:color="auto" w:fill="D9D9D9" w:themeFill="background1" w:themeFillShade="D9"/>
            <w:noWrap/>
            <w:vAlign w:val="center"/>
            <w:hideMark/>
          </w:tcPr>
          <w:p w14:paraId="4607AB1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2F3C63A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3AC801F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26013E9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18CA43F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229DA41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14AD900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617C204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71F04B8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2A8DF87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2381F4A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4B92809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4E5BA18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2C50AA3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2D9F92B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5DCD5FC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2AE076E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003EC12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0283EBD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19FAD98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41890E9A" w14:textId="77777777" w:rsidTr="00E20967">
        <w:trPr>
          <w:gridAfter w:val="2"/>
          <w:wAfter w:w="26" w:type="dxa"/>
          <w:trHeight w:val="288"/>
        </w:trPr>
        <w:tc>
          <w:tcPr>
            <w:tcW w:w="1028" w:type="dxa"/>
            <w:vMerge w:val="restart"/>
            <w:shd w:val="clear" w:color="auto" w:fill="auto"/>
            <w:vAlign w:val="center"/>
            <w:hideMark/>
          </w:tcPr>
          <w:p w14:paraId="4D76640B"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51E8D7F5"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6CB1A3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75D29DE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2BFFC9E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0EF29F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0CE879D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350,427</w:t>
            </w:r>
          </w:p>
        </w:tc>
        <w:tc>
          <w:tcPr>
            <w:tcW w:w="867" w:type="dxa"/>
            <w:gridSpan w:val="2"/>
            <w:shd w:val="clear" w:color="auto" w:fill="auto"/>
            <w:noWrap/>
            <w:vAlign w:val="center"/>
            <w:hideMark/>
          </w:tcPr>
          <w:p w14:paraId="4D974A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352,369</w:t>
            </w:r>
          </w:p>
        </w:tc>
        <w:tc>
          <w:tcPr>
            <w:tcW w:w="867" w:type="dxa"/>
            <w:gridSpan w:val="2"/>
            <w:shd w:val="clear" w:color="auto" w:fill="auto"/>
            <w:noWrap/>
            <w:vAlign w:val="center"/>
            <w:hideMark/>
          </w:tcPr>
          <w:p w14:paraId="40130EE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354,238</w:t>
            </w:r>
          </w:p>
        </w:tc>
        <w:tc>
          <w:tcPr>
            <w:tcW w:w="867" w:type="dxa"/>
            <w:gridSpan w:val="2"/>
            <w:shd w:val="clear" w:color="auto" w:fill="auto"/>
            <w:noWrap/>
            <w:vAlign w:val="center"/>
            <w:hideMark/>
          </w:tcPr>
          <w:p w14:paraId="3630C4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355,970</w:t>
            </w:r>
          </w:p>
        </w:tc>
        <w:tc>
          <w:tcPr>
            <w:tcW w:w="867" w:type="dxa"/>
            <w:gridSpan w:val="2"/>
            <w:shd w:val="clear" w:color="auto" w:fill="auto"/>
            <w:noWrap/>
            <w:vAlign w:val="center"/>
            <w:hideMark/>
          </w:tcPr>
          <w:p w14:paraId="07E605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357,725</w:t>
            </w:r>
          </w:p>
        </w:tc>
        <w:tc>
          <w:tcPr>
            <w:tcW w:w="867" w:type="dxa"/>
            <w:gridSpan w:val="2"/>
            <w:shd w:val="clear" w:color="auto" w:fill="auto"/>
            <w:noWrap/>
            <w:vAlign w:val="center"/>
            <w:hideMark/>
          </w:tcPr>
          <w:p w14:paraId="1E632F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359,482</w:t>
            </w:r>
          </w:p>
        </w:tc>
        <w:tc>
          <w:tcPr>
            <w:tcW w:w="867" w:type="dxa"/>
            <w:gridSpan w:val="2"/>
            <w:shd w:val="clear" w:color="auto" w:fill="auto"/>
            <w:noWrap/>
            <w:vAlign w:val="center"/>
            <w:hideMark/>
          </w:tcPr>
          <w:p w14:paraId="5E12D8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361,345</w:t>
            </w:r>
          </w:p>
        </w:tc>
        <w:tc>
          <w:tcPr>
            <w:tcW w:w="867" w:type="dxa"/>
            <w:gridSpan w:val="2"/>
            <w:shd w:val="clear" w:color="000000" w:fill="FFFFCC"/>
            <w:noWrap/>
            <w:vAlign w:val="center"/>
            <w:hideMark/>
          </w:tcPr>
          <w:p w14:paraId="140E61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363,125</w:t>
            </w:r>
          </w:p>
        </w:tc>
        <w:tc>
          <w:tcPr>
            <w:tcW w:w="867" w:type="dxa"/>
            <w:gridSpan w:val="2"/>
            <w:shd w:val="clear" w:color="auto" w:fill="auto"/>
            <w:noWrap/>
            <w:vAlign w:val="center"/>
            <w:hideMark/>
          </w:tcPr>
          <w:p w14:paraId="06B3B5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364,871</w:t>
            </w:r>
          </w:p>
        </w:tc>
        <w:tc>
          <w:tcPr>
            <w:tcW w:w="867" w:type="dxa"/>
            <w:gridSpan w:val="2"/>
            <w:shd w:val="clear" w:color="auto" w:fill="auto"/>
            <w:noWrap/>
            <w:vAlign w:val="center"/>
            <w:hideMark/>
          </w:tcPr>
          <w:p w14:paraId="375600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366,559</w:t>
            </w:r>
          </w:p>
        </w:tc>
        <w:tc>
          <w:tcPr>
            <w:tcW w:w="867" w:type="dxa"/>
            <w:gridSpan w:val="2"/>
            <w:shd w:val="clear" w:color="auto" w:fill="auto"/>
            <w:noWrap/>
            <w:vAlign w:val="center"/>
            <w:hideMark/>
          </w:tcPr>
          <w:p w14:paraId="7954DD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368,266</w:t>
            </w:r>
          </w:p>
        </w:tc>
        <w:tc>
          <w:tcPr>
            <w:tcW w:w="867" w:type="dxa"/>
            <w:gridSpan w:val="2"/>
            <w:shd w:val="clear" w:color="auto" w:fill="auto"/>
            <w:noWrap/>
            <w:vAlign w:val="center"/>
            <w:hideMark/>
          </w:tcPr>
          <w:p w14:paraId="47C875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370,050</w:t>
            </w:r>
          </w:p>
        </w:tc>
        <w:tc>
          <w:tcPr>
            <w:tcW w:w="867" w:type="dxa"/>
            <w:gridSpan w:val="2"/>
            <w:shd w:val="clear" w:color="auto" w:fill="auto"/>
            <w:noWrap/>
            <w:vAlign w:val="center"/>
            <w:hideMark/>
          </w:tcPr>
          <w:p w14:paraId="7055AE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371,722</w:t>
            </w:r>
          </w:p>
        </w:tc>
        <w:tc>
          <w:tcPr>
            <w:tcW w:w="867" w:type="dxa"/>
            <w:gridSpan w:val="2"/>
            <w:shd w:val="clear" w:color="auto" w:fill="auto"/>
            <w:noWrap/>
            <w:vAlign w:val="center"/>
            <w:hideMark/>
          </w:tcPr>
          <w:p w14:paraId="22173E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373,375</w:t>
            </w:r>
          </w:p>
        </w:tc>
        <w:tc>
          <w:tcPr>
            <w:tcW w:w="867" w:type="dxa"/>
            <w:gridSpan w:val="2"/>
            <w:shd w:val="clear" w:color="auto" w:fill="auto"/>
            <w:noWrap/>
            <w:vAlign w:val="center"/>
            <w:hideMark/>
          </w:tcPr>
          <w:p w14:paraId="70CE53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374,922</w:t>
            </w:r>
          </w:p>
        </w:tc>
        <w:tc>
          <w:tcPr>
            <w:tcW w:w="867" w:type="dxa"/>
            <w:gridSpan w:val="2"/>
            <w:shd w:val="clear" w:color="auto" w:fill="auto"/>
            <w:noWrap/>
            <w:vAlign w:val="center"/>
            <w:hideMark/>
          </w:tcPr>
          <w:p w14:paraId="365A4EA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376,483</w:t>
            </w:r>
          </w:p>
        </w:tc>
      </w:tr>
      <w:tr w:rsidR="009E7571" w:rsidRPr="001E05F5" w14:paraId="12F3988D" w14:textId="77777777" w:rsidTr="00E20967">
        <w:trPr>
          <w:gridAfter w:val="2"/>
          <w:wAfter w:w="26" w:type="dxa"/>
          <w:trHeight w:val="288"/>
        </w:trPr>
        <w:tc>
          <w:tcPr>
            <w:tcW w:w="1028" w:type="dxa"/>
            <w:vMerge/>
            <w:vAlign w:val="center"/>
            <w:hideMark/>
          </w:tcPr>
          <w:p w14:paraId="4201F5EC"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0443F9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354964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5BB161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EE3A1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DB8B86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7286DA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w:t>
            </w:r>
          </w:p>
        </w:tc>
        <w:tc>
          <w:tcPr>
            <w:tcW w:w="867" w:type="dxa"/>
            <w:gridSpan w:val="2"/>
            <w:shd w:val="clear" w:color="auto" w:fill="auto"/>
            <w:noWrap/>
            <w:vAlign w:val="center"/>
            <w:hideMark/>
          </w:tcPr>
          <w:p w14:paraId="3A718D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313FAD5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72E8A1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6191BB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w:t>
            </w:r>
          </w:p>
        </w:tc>
        <w:tc>
          <w:tcPr>
            <w:tcW w:w="867" w:type="dxa"/>
            <w:gridSpan w:val="2"/>
            <w:shd w:val="clear" w:color="auto" w:fill="auto"/>
            <w:noWrap/>
            <w:vAlign w:val="center"/>
            <w:hideMark/>
          </w:tcPr>
          <w:p w14:paraId="2EC106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c>
          <w:tcPr>
            <w:tcW w:w="867" w:type="dxa"/>
            <w:gridSpan w:val="2"/>
            <w:shd w:val="clear" w:color="auto" w:fill="auto"/>
            <w:noWrap/>
            <w:vAlign w:val="center"/>
            <w:hideMark/>
          </w:tcPr>
          <w:p w14:paraId="3E35CC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000000" w:fill="FFFFCC"/>
            <w:noWrap/>
            <w:vAlign w:val="center"/>
            <w:hideMark/>
          </w:tcPr>
          <w:p w14:paraId="30F944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65C35CB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12C9DF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w:t>
            </w:r>
          </w:p>
        </w:tc>
        <w:tc>
          <w:tcPr>
            <w:tcW w:w="867" w:type="dxa"/>
            <w:gridSpan w:val="2"/>
            <w:shd w:val="clear" w:color="auto" w:fill="auto"/>
            <w:noWrap/>
            <w:vAlign w:val="center"/>
            <w:hideMark/>
          </w:tcPr>
          <w:p w14:paraId="65A27C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259A65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2F2417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16A7E53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421178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c>
          <w:tcPr>
            <w:tcW w:w="867" w:type="dxa"/>
            <w:gridSpan w:val="2"/>
            <w:shd w:val="clear" w:color="auto" w:fill="auto"/>
            <w:noWrap/>
            <w:vAlign w:val="center"/>
            <w:hideMark/>
          </w:tcPr>
          <w:p w14:paraId="333F001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r>
      <w:tr w:rsidR="009E7571" w:rsidRPr="001E05F5" w14:paraId="6920228D" w14:textId="77777777" w:rsidTr="00E20967">
        <w:trPr>
          <w:gridAfter w:val="2"/>
          <w:wAfter w:w="26" w:type="dxa"/>
          <w:trHeight w:val="288"/>
        </w:trPr>
        <w:tc>
          <w:tcPr>
            <w:tcW w:w="1028" w:type="dxa"/>
            <w:vMerge/>
            <w:vAlign w:val="center"/>
            <w:hideMark/>
          </w:tcPr>
          <w:p w14:paraId="2630080E"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BB1C8B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0E6E07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2E16E6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F9688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0D10F68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5ECE2C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68093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DB521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8D44A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233EDAE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3D5F90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16394E8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000000" w:fill="FFFFCC"/>
            <w:noWrap/>
            <w:vAlign w:val="center"/>
            <w:hideMark/>
          </w:tcPr>
          <w:p w14:paraId="2F85B0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36D2536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3DD69C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6D34B9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1AC638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4172E3E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6F9E582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28A9C4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13D839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r>
      <w:tr w:rsidR="009E7571" w:rsidRPr="001E05F5" w14:paraId="46DBD846" w14:textId="77777777" w:rsidTr="00E20967">
        <w:trPr>
          <w:gridAfter w:val="2"/>
          <w:wAfter w:w="26" w:type="dxa"/>
          <w:trHeight w:val="288"/>
        </w:trPr>
        <w:tc>
          <w:tcPr>
            <w:tcW w:w="1028" w:type="dxa"/>
            <w:vMerge/>
            <w:vAlign w:val="center"/>
            <w:hideMark/>
          </w:tcPr>
          <w:p w14:paraId="10DA6327"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51A802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04B3E9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05204B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42EB5A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59ED97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0ACF73D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539C15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25E885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645586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4023BB8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35DF065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4801E8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000000" w:fill="FFFFCC"/>
            <w:noWrap/>
            <w:vAlign w:val="center"/>
            <w:hideMark/>
          </w:tcPr>
          <w:p w14:paraId="0C4A143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10F66A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585AFF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3616ED8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28A3DE0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3189F8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1517E2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50503D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315C8E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r>
      <w:tr w:rsidR="009E7571" w:rsidRPr="001E05F5" w14:paraId="1B2C1C2D" w14:textId="77777777" w:rsidTr="00E20967">
        <w:trPr>
          <w:gridAfter w:val="1"/>
          <w:wAfter w:w="13" w:type="dxa"/>
          <w:trHeight w:val="288"/>
        </w:trPr>
        <w:tc>
          <w:tcPr>
            <w:tcW w:w="1028" w:type="dxa"/>
            <w:vMerge/>
            <w:vAlign w:val="center"/>
            <w:hideMark/>
          </w:tcPr>
          <w:p w14:paraId="7B04CE71" w14:textId="77777777" w:rsidR="009E7571" w:rsidRPr="001E05F5" w:rsidRDefault="009E7571"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270BD2A" w14:textId="77777777" w:rsidR="009E7571" w:rsidRPr="001E05F5" w:rsidRDefault="009E7571"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2009" w:type="dxa"/>
            <w:gridSpan w:val="3"/>
            <w:shd w:val="clear" w:color="auto" w:fill="auto"/>
            <w:noWrap/>
            <w:vAlign w:val="center"/>
            <w:hideMark/>
          </w:tcPr>
          <w:p w14:paraId="3A15AE54" w14:textId="77777777" w:rsidR="009E7571" w:rsidRPr="001E05F5" w:rsidRDefault="009E7571" w:rsidP="00D46E3A">
            <w:pPr>
              <w:spacing w:after="0" w:line="240" w:lineRule="auto"/>
              <w:rPr>
                <w:rFonts w:cs="Arial"/>
                <w:color w:val="000000"/>
                <w:sz w:val="18"/>
                <w:szCs w:val="18"/>
                <w:lang w:eastAsia="en-GB"/>
              </w:rPr>
            </w:pPr>
            <w:r w:rsidRPr="001E05F5">
              <w:rPr>
                <w:rFonts w:cs="Arial"/>
                <w:color w:val="000000"/>
                <w:sz w:val="18"/>
                <w:szCs w:val="18"/>
                <w:lang w:eastAsia="en-GB"/>
              </w:rPr>
              <w:t>£475,864,465</w:t>
            </w:r>
          </w:p>
        </w:tc>
        <w:tc>
          <w:tcPr>
            <w:tcW w:w="867" w:type="dxa"/>
            <w:gridSpan w:val="2"/>
            <w:shd w:val="clear" w:color="auto" w:fill="auto"/>
            <w:noWrap/>
            <w:vAlign w:val="center"/>
            <w:hideMark/>
          </w:tcPr>
          <w:p w14:paraId="6CCD9D97"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272388DE"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19466C6A"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3DB9E816"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20097C12"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26E97D7B"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667FA156"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495D4F49"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1BB784B4"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000000" w:fill="FFFFCC"/>
            <w:noWrap/>
            <w:vAlign w:val="center"/>
            <w:hideMark/>
          </w:tcPr>
          <w:p w14:paraId="6A6AB76B" w14:textId="77777777" w:rsidR="009E7571" w:rsidRPr="001E05F5" w:rsidRDefault="009E7571" w:rsidP="009E7571">
            <w:pPr>
              <w:spacing w:after="0" w:line="240" w:lineRule="auto"/>
              <w:jc w:val="right"/>
              <w:rPr>
                <w:rFonts w:cs="Arial"/>
                <w:color w:val="000000"/>
                <w:sz w:val="18"/>
                <w:szCs w:val="18"/>
                <w:lang w:eastAsia="en-GB"/>
              </w:rPr>
            </w:pPr>
          </w:p>
        </w:tc>
        <w:tc>
          <w:tcPr>
            <w:tcW w:w="867" w:type="dxa"/>
            <w:gridSpan w:val="2"/>
            <w:shd w:val="clear" w:color="auto" w:fill="auto"/>
            <w:noWrap/>
            <w:vAlign w:val="center"/>
            <w:hideMark/>
          </w:tcPr>
          <w:p w14:paraId="1B0B6F65" w14:textId="77777777" w:rsidR="009E7571" w:rsidRPr="001E05F5" w:rsidRDefault="009E7571" w:rsidP="009E7571">
            <w:pPr>
              <w:spacing w:after="0" w:line="240" w:lineRule="auto"/>
              <w:jc w:val="right"/>
              <w:rPr>
                <w:rFonts w:cs="Arial"/>
                <w:color w:val="000000"/>
                <w:sz w:val="18"/>
                <w:szCs w:val="18"/>
                <w:lang w:eastAsia="en-GB"/>
              </w:rPr>
            </w:pPr>
          </w:p>
        </w:tc>
        <w:tc>
          <w:tcPr>
            <w:tcW w:w="867" w:type="dxa"/>
            <w:gridSpan w:val="2"/>
            <w:shd w:val="clear" w:color="auto" w:fill="auto"/>
            <w:noWrap/>
            <w:vAlign w:val="center"/>
            <w:hideMark/>
          </w:tcPr>
          <w:p w14:paraId="20BD4245"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17A41CF9"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0DF83003"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0556955F"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65AD0C6A"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3AC23379" w14:textId="77777777" w:rsidR="009E7571" w:rsidRPr="001E05F5" w:rsidRDefault="009E7571" w:rsidP="009E7571">
            <w:pPr>
              <w:spacing w:after="0" w:line="240" w:lineRule="auto"/>
              <w:jc w:val="right"/>
              <w:rPr>
                <w:rFonts w:cs="Arial"/>
                <w:sz w:val="18"/>
                <w:szCs w:val="18"/>
                <w:lang w:eastAsia="en-GB"/>
              </w:rPr>
            </w:pPr>
          </w:p>
        </w:tc>
        <w:tc>
          <w:tcPr>
            <w:tcW w:w="867" w:type="dxa"/>
            <w:gridSpan w:val="2"/>
            <w:shd w:val="clear" w:color="auto" w:fill="auto"/>
            <w:noWrap/>
            <w:vAlign w:val="center"/>
            <w:hideMark/>
          </w:tcPr>
          <w:p w14:paraId="473D7130" w14:textId="77777777" w:rsidR="009E7571" w:rsidRPr="001E05F5" w:rsidRDefault="009E7571" w:rsidP="009E7571">
            <w:pPr>
              <w:spacing w:after="0" w:line="240" w:lineRule="auto"/>
              <w:jc w:val="right"/>
              <w:rPr>
                <w:rFonts w:cs="Arial"/>
                <w:sz w:val="18"/>
                <w:szCs w:val="18"/>
                <w:lang w:eastAsia="en-GB"/>
              </w:rPr>
            </w:pPr>
          </w:p>
        </w:tc>
      </w:tr>
      <w:tr w:rsidR="009E7571" w:rsidRPr="001E05F5" w14:paraId="04509DD7" w14:textId="77777777" w:rsidTr="00E20967">
        <w:trPr>
          <w:gridAfter w:val="2"/>
          <w:wAfter w:w="26" w:type="dxa"/>
          <w:trHeight w:val="288"/>
        </w:trPr>
        <w:tc>
          <w:tcPr>
            <w:tcW w:w="1028" w:type="dxa"/>
            <w:vMerge w:val="restart"/>
            <w:shd w:val="clear" w:color="auto" w:fill="auto"/>
            <w:vAlign w:val="center"/>
            <w:hideMark/>
          </w:tcPr>
          <w:p w14:paraId="0641A6BE"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1FA689F0"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530677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3A2470D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30A29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7F51F3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1BB34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35CF9E9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7902E0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7E5D99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67C919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28D6B8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507582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000000" w:fill="FFFFCC"/>
            <w:noWrap/>
            <w:vAlign w:val="center"/>
            <w:hideMark/>
          </w:tcPr>
          <w:p w14:paraId="4711DC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134287B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7A5D0E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5F017BD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56F7F9E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023C2D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599A17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077BF5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3990D53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r>
      <w:tr w:rsidR="009E7571" w:rsidRPr="001E05F5" w14:paraId="598769F9" w14:textId="77777777" w:rsidTr="00E20967">
        <w:trPr>
          <w:gridAfter w:val="2"/>
          <w:wAfter w:w="26" w:type="dxa"/>
          <w:trHeight w:val="288"/>
        </w:trPr>
        <w:tc>
          <w:tcPr>
            <w:tcW w:w="1028" w:type="dxa"/>
            <w:vMerge/>
            <w:vAlign w:val="center"/>
            <w:hideMark/>
          </w:tcPr>
          <w:p w14:paraId="23C3E21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CC4C9B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147C6B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044308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AA723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8FE41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D1294A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7CDD609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3.0%</w:t>
            </w:r>
          </w:p>
        </w:tc>
        <w:tc>
          <w:tcPr>
            <w:tcW w:w="867" w:type="dxa"/>
            <w:gridSpan w:val="2"/>
            <w:shd w:val="clear" w:color="auto" w:fill="auto"/>
            <w:noWrap/>
            <w:vAlign w:val="center"/>
            <w:hideMark/>
          </w:tcPr>
          <w:p w14:paraId="53D0962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3.1%</w:t>
            </w:r>
          </w:p>
        </w:tc>
        <w:tc>
          <w:tcPr>
            <w:tcW w:w="867" w:type="dxa"/>
            <w:gridSpan w:val="2"/>
            <w:shd w:val="clear" w:color="auto" w:fill="auto"/>
            <w:noWrap/>
            <w:vAlign w:val="center"/>
            <w:hideMark/>
          </w:tcPr>
          <w:p w14:paraId="041CCF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3.1%</w:t>
            </w:r>
          </w:p>
        </w:tc>
        <w:tc>
          <w:tcPr>
            <w:tcW w:w="867" w:type="dxa"/>
            <w:gridSpan w:val="2"/>
            <w:shd w:val="clear" w:color="auto" w:fill="auto"/>
            <w:noWrap/>
            <w:vAlign w:val="center"/>
            <w:hideMark/>
          </w:tcPr>
          <w:p w14:paraId="606274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3.2%</w:t>
            </w:r>
          </w:p>
        </w:tc>
        <w:tc>
          <w:tcPr>
            <w:tcW w:w="867" w:type="dxa"/>
            <w:gridSpan w:val="2"/>
            <w:shd w:val="clear" w:color="auto" w:fill="auto"/>
            <w:noWrap/>
            <w:vAlign w:val="center"/>
            <w:hideMark/>
          </w:tcPr>
          <w:p w14:paraId="3C1070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auto" w:fill="auto"/>
            <w:noWrap/>
            <w:vAlign w:val="center"/>
            <w:hideMark/>
          </w:tcPr>
          <w:p w14:paraId="5DBD17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000000" w:fill="FFFFCC"/>
            <w:noWrap/>
            <w:vAlign w:val="center"/>
            <w:hideMark/>
          </w:tcPr>
          <w:p w14:paraId="3A42C7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2EE3D0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74CE126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20A5C4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1262DD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75C5BBE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3DC6FB9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15ADB1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437ACF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r>
      <w:tr w:rsidR="009E7571" w:rsidRPr="001E05F5" w14:paraId="4FFD7E53" w14:textId="77777777" w:rsidTr="00E20967">
        <w:trPr>
          <w:gridAfter w:val="2"/>
          <w:wAfter w:w="26" w:type="dxa"/>
          <w:trHeight w:val="288"/>
        </w:trPr>
        <w:tc>
          <w:tcPr>
            <w:tcW w:w="1028" w:type="dxa"/>
            <w:vMerge/>
            <w:vAlign w:val="center"/>
            <w:hideMark/>
          </w:tcPr>
          <w:p w14:paraId="3AF95C1C"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B4F722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01DBA6D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629CBA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1B57BD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A5CF6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B6459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3C5A0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FBB71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4ECC8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AC579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04C44E6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7A00FC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000000" w:fill="FFFFCC"/>
            <w:noWrap/>
            <w:vAlign w:val="center"/>
            <w:hideMark/>
          </w:tcPr>
          <w:p w14:paraId="12D6D84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57343A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09AC23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2BC9E6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7BAC917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2656A3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64DCBA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02E612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4F5D79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r>
      <w:tr w:rsidR="009E7571" w:rsidRPr="001E05F5" w14:paraId="2BD53228" w14:textId="77777777" w:rsidTr="00E20967">
        <w:trPr>
          <w:gridAfter w:val="2"/>
          <w:wAfter w:w="26" w:type="dxa"/>
          <w:trHeight w:val="288"/>
        </w:trPr>
        <w:tc>
          <w:tcPr>
            <w:tcW w:w="1028" w:type="dxa"/>
            <w:vMerge/>
            <w:vAlign w:val="center"/>
            <w:hideMark/>
          </w:tcPr>
          <w:p w14:paraId="4AE406A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8DF051D"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0ED3ECF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336D23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92B65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0F2A0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6F0E47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427A43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67818ED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7051CB0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0CE604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6F36A8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w:t>
            </w:r>
          </w:p>
        </w:tc>
        <w:tc>
          <w:tcPr>
            <w:tcW w:w="867" w:type="dxa"/>
            <w:gridSpan w:val="2"/>
            <w:shd w:val="clear" w:color="auto" w:fill="auto"/>
            <w:noWrap/>
            <w:vAlign w:val="center"/>
            <w:hideMark/>
          </w:tcPr>
          <w:p w14:paraId="1EF8F1F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000000" w:fill="FFFFCC"/>
            <w:noWrap/>
            <w:vAlign w:val="center"/>
            <w:hideMark/>
          </w:tcPr>
          <w:p w14:paraId="4F6755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4A56D86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00B8D9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4E83E8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357ADC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4558BF7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78B5B2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6D7DD3E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0F3629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r>
      <w:tr w:rsidR="00D46E3A" w:rsidRPr="001E05F5" w14:paraId="110A06AA" w14:textId="77777777" w:rsidTr="00E20967">
        <w:trPr>
          <w:gridAfter w:val="2"/>
          <w:wAfter w:w="26" w:type="dxa"/>
          <w:trHeight w:val="288"/>
        </w:trPr>
        <w:tc>
          <w:tcPr>
            <w:tcW w:w="1028" w:type="dxa"/>
            <w:vMerge/>
            <w:vAlign w:val="center"/>
            <w:hideMark/>
          </w:tcPr>
          <w:p w14:paraId="2CF1E779"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749D69C"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46BB0DB7"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-5.8%</w:t>
            </w:r>
          </w:p>
        </w:tc>
      </w:tr>
      <w:tr w:rsidR="009E7571" w:rsidRPr="001E05F5" w14:paraId="75B87995"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48AE71C9"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3c</w:t>
            </w:r>
          </w:p>
        </w:tc>
        <w:tc>
          <w:tcPr>
            <w:tcW w:w="1129" w:type="dxa"/>
            <w:shd w:val="clear" w:color="auto" w:fill="D9D9D9" w:themeFill="background1" w:themeFillShade="D9"/>
            <w:noWrap/>
            <w:vAlign w:val="center"/>
            <w:hideMark/>
          </w:tcPr>
          <w:p w14:paraId="6750178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06A3FC1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5C0A30C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0DFF28C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10CB266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5C8C9F9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19D37F2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61C2F64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0F6FEC1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53C0514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13FB938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3557370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6DE6B59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46D289C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15FD4CD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3178FBD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096241F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198A93C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7453FF5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5577F32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2564673D" w14:textId="77777777" w:rsidTr="00E20967">
        <w:trPr>
          <w:gridAfter w:val="2"/>
          <w:wAfter w:w="26" w:type="dxa"/>
          <w:trHeight w:val="288"/>
        </w:trPr>
        <w:tc>
          <w:tcPr>
            <w:tcW w:w="1028" w:type="dxa"/>
            <w:vMerge w:val="restart"/>
            <w:shd w:val="clear" w:color="auto" w:fill="auto"/>
            <w:vAlign w:val="center"/>
            <w:hideMark/>
          </w:tcPr>
          <w:p w14:paraId="411D357A"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189955F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4D8404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5CA6E0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08F80F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2F7FB1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50BEDE6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350,427</w:t>
            </w:r>
          </w:p>
        </w:tc>
        <w:tc>
          <w:tcPr>
            <w:tcW w:w="867" w:type="dxa"/>
            <w:gridSpan w:val="2"/>
            <w:shd w:val="clear" w:color="auto" w:fill="auto"/>
            <w:noWrap/>
            <w:vAlign w:val="center"/>
            <w:hideMark/>
          </w:tcPr>
          <w:p w14:paraId="4567EC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352,369</w:t>
            </w:r>
          </w:p>
        </w:tc>
        <w:tc>
          <w:tcPr>
            <w:tcW w:w="867" w:type="dxa"/>
            <w:gridSpan w:val="2"/>
            <w:shd w:val="clear" w:color="auto" w:fill="auto"/>
            <w:noWrap/>
            <w:vAlign w:val="center"/>
            <w:hideMark/>
          </w:tcPr>
          <w:p w14:paraId="3ED814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354,238</w:t>
            </w:r>
          </w:p>
        </w:tc>
        <w:tc>
          <w:tcPr>
            <w:tcW w:w="867" w:type="dxa"/>
            <w:gridSpan w:val="2"/>
            <w:shd w:val="clear" w:color="auto" w:fill="auto"/>
            <w:noWrap/>
            <w:vAlign w:val="center"/>
            <w:hideMark/>
          </w:tcPr>
          <w:p w14:paraId="028FBCC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355,970</w:t>
            </w:r>
          </w:p>
        </w:tc>
        <w:tc>
          <w:tcPr>
            <w:tcW w:w="867" w:type="dxa"/>
            <w:gridSpan w:val="2"/>
            <w:shd w:val="clear" w:color="auto" w:fill="auto"/>
            <w:noWrap/>
            <w:vAlign w:val="center"/>
            <w:hideMark/>
          </w:tcPr>
          <w:p w14:paraId="5F4A84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357,725</w:t>
            </w:r>
          </w:p>
        </w:tc>
        <w:tc>
          <w:tcPr>
            <w:tcW w:w="867" w:type="dxa"/>
            <w:gridSpan w:val="2"/>
            <w:shd w:val="clear" w:color="auto" w:fill="auto"/>
            <w:noWrap/>
            <w:vAlign w:val="center"/>
            <w:hideMark/>
          </w:tcPr>
          <w:p w14:paraId="48B7B0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359,482</w:t>
            </w:r>
          </w:p>
        </w:tc>
        <w:tc>
          <w:tcPr>
            <w:tcW w:w="867" w:type="dxa"/>
            <w:gridSpan w:val="2"/>
            <w:shd w:val="clear" w:color="auto" w:fill="auto"/>
            <w:noWrap/>
            <w:vAlign w:val="center"/>
            <w:hideMark/>
          </w:tcPr>
          <w:p w14:paraId="49FDD27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361,345</w:t>
            </w:r>
          </w:p>
        </w:tc>
        <w:tc>
          <w:tcPr>
            <w:tcW w:w="867" w:type="dxa"/>
            <w:gridSpan w:val="2"/>
            <w:shd w:val="clear" w:color="000000" w:fill="FFFFCC"/>
            <w:noWrap/>
            <w:vAlign w:val="center"/>
            <w:hideMark/>
          </w:tcPr>
          <w:p w14:paraId="297F07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363,125</w:t>
            </w:r>
          </w:p>
        </w:tc>
        <w:tc>
          <w:tcPr>
            <w:tcW w:w="867" w:type="dxa"/>
            <w:gridSpan w:val="2"/>
            <w:shd w:val="clear" w:color="auto" w:fill="auto"/>
            <w:noWrap/>
            <w:vAlign w:val="center"/>
            <w:hideMark/>
          </w:tcPr>
          <w:p w14:paraId="09413A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364,871</w:t>
            </w:r>
          </w:p>
        </w:tc>
        <w:tc>
          <w:tcPr>
            <w:tcW w:w="867" w:type="dxa"/>
            <w:gridSpan w:val="2"/>
            <w:shd w:val="clear" w:color="auto" w:fill="auto"/>
            <w:noWrap/>
            <w:vAlign w:val="center"/>
            <w:hideMark/>
          </w:tcPr>
          <w:p w14:paraId="2679C5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366,559</w:t>
            </w:r>
          </w:p>
        </w:tc>
        <w:tc>
          <w:tcPr>
            <w:tcW w:w="867" w:type="dxa"/>
            <w:gridSpan w:val="2"/>
            <w:shd w:val="clear" w:color="auto" w:fill="auto"/>
            <w:noWrap/>
            <w:vAlign w:val="center"/>
            <w:hideMark/>
          </w:tcPr>
          <w:p w14:paraId="28898A3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368,266</w:t>
            </w:r>
          </w:p>
        </w:tc>
        <w:tc>
          <w:tcPr>
            <w:tcW w:w="867" w:type="dxa"/>
            <w:gridSpan w:val="2"/>
            <w:shd w:val="clear" w:color="auto" w:fill="auto"/>
            <w:noWrap/>
            <w:vAlign w:val="center"/>
            <w:hideMark/>
          </w:tcPr>
          <w:p w14:paraId="3F8861E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370,050</w:t>
            </w:r>
          </w:p>
        </w:tc>
        <w:tc>
          <w:tcPr>
            <w:tcW w:w="867" w:type="dxa"/>
            <w:gridSpan w:val="2"/>
            <w:shd w:val="clear" w:color="auto" w:fill="auto"/>
            <w:noWrap/>
            <w:vAlign w:val="center"/>
            <w:hideMark/>
          </w:tcPr>
          <w:p w14:paraId="6E20D9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371,722</w:t>
            </w:r>
          </w:p>
        </w:tc>
        <w:tc>
          <w:tcPr>
            <w:tcW w:w="867" w:type="dxa"/>
            <w:gridSpan w:val="2"/>
            <w:shd w:val="clear" w:color="auto" w:fill="auto"/>
            <w:noWrap/>
            <w:vAlign w:val="center"/>
            <w:hideMark/>
          </w:tcPr>
          <w:p w14:paraId="7D4F48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373,375</w:t>
            </w:r>
          </w:p>
        </w:tc>
        <w:tc>
          <w:tcPr>
            <w:tcW w:w="867" w:type="dxa"/>
            <w:gridSpan w:val="2"/>
            <w:shd w:val="clear" w:color="auto" w:fill="auto"/>
            <w:noWrap/>
            <w:vAlign w:val="center"/>
            <w:hideMark/>
          </w:tcPr>
          <w:p w14:paraId="6594092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374,922</w:t>
            </w:r>
          </w:p>
        </w:tc>
        <w:tc>
          <w:tcPr>
            <w:tcW w:w="867" w:type="dxa"/>
            <w:gridSpan w:val="2"/>
            <w:shd w:val="clear" w:color="auto" w:fill="auto"/>
            <w:noWrap/>
            <w:vAlign w:val="center"/>
            <w:hideMark/>
          </w:tcPr>
          <w:p w14:paraId="7B3117A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376,483</w:t>
            </w:r>
          </w:p>
        </w:tc>
      </w:tr>
      <w:tr w:rsidR="009E7571" w:rsidRPr="001E05F5" w14:paraId="380E2D08" w14:textId="77777777" w:rsidTr="00E20967">
        <w:trPr>
          <w:gridAfter w:val="2"/>
          <w:wAfter w:w="26" w:type="dxa"/>
          <w:trHeight w:val="288"/>
        </w:trPr>
        <w:tc>
          <w:tcPr>
            <w:tcW w:w="1028" w:type="dxa"/>
            <w:vMerge/>
            <w:vAlign w:val="center"/>
            <w:hideMark/>
          </w:tcPr>
          <w:p w14:paraId="17D94A6E"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6092B71"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28D43A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70D475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21BAC9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15C3884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094EEA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w:t>
            </w:r>
          </w:p>
        </w:tc>
        <w:tc>
          <w:tcPr>
            <w:tcW w:w="867" w:type="dxa"/>
            <w:gridSpan w:val="2"/>
            <w:shd w:val="clear" w:color="auto" w:fill="auto"/>
            <w:noWrap/>
            <w:vAlign w:val="center"/>
            <w:hideMark/>
          </w:tcPr>
          <w:p w14:paraId="33779B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0E9BE0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0CF18F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2A0AC43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w:t>
            </w:r>
          </w:p>
        </w:tc>
        <w:tc>
          <w:tcPr>
            <w:tcW w:w="867" w:type="dxa"/>
            <w:gridSpan w:val="2"/>
            <w:shd w:val="clear" w:color="auto" w:fill="auto"/>
            <w:noWrap/>
            <w:vAlign w:val="center"/>
            <w:hideMark/>
          </w:tcPr>
          <w:p w14:paraId="7A17270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c>
          <w:tcPr>
            <w:tcW w:w="867" w:type="dxa"/>
            <w:gridSpan w:val="2"/>
            <w:shd w:val="clear" w:color="auto" w:fill="auto"/>
            <w:noWrap/>
            <w:vAlign w:val="center"/>
            <w:hideMark/>
          </w:tcPr>
          <w:p w14:paraId="65424E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000000" w:fill="FFFFCC"/>
            <w:noWrap/>
            <w:vAlign w:val="center"/>
            <w:hideMark/>
          </w:tcPr>
          <w:p w14:paraId="3BCC6A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2C2B77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1AA74CD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w:t>
            </w:r>
          </w:p>
        </w:tc>
        <w:tc>
          <w:tcPr>
            <w:tcW w:w="867" w:type="dxa"/>
            <w:gridSpan w:val="2"/>
            <w:shd w:val="clear" w:color="auto" w:fill="auto"/>
            <w:noWrap/>
            <w:vAlign w:val="center"/>
            <w:hideMark/>
          </w:tcPr>
          <w:p w14:paraId="1F3B16A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38E153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3754A8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45D627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43C721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c>
          <w:tcPr>
            <w:tcW w:w="867" w:type="dxa"/>
            <w:gridSpan w:val="2"/>
            <w:shd w:val="clear" w:color="auto" w:fill="auto"/>
            <w:noWrap/>
            <w:vAlign w:val="center"/>
            <w:hideMark/>
          </w:tcPr>
          <w:p w14:paraId="495409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r>
      <w:tr w:rsidR="009E7571" w:rsidRPr="001E05F5" w14:paraId="1E8139CA" w14:textId="77777777" w:rsidTr="00E20967">
        <w:trPr>
          <w:gridAfter w:val="2"/>
          <w:wAfter w:w="26" w:type="dxa"/>
          <w:trHeight w:val="288"/>
        </w:trPr>
        <w:tc>
          <w:tcPr>
            <w:tcW w:w="1028" w:type="dxa"/>
            <w:vMerge/>
            <w:vAlign w:val="center"/>
            <w:hideMark/>
          </w:tcPr>
          <w:p w14:paraId="12E25484"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FD0FFC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5FF24F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6DF361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CF7B9C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69E4E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723364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89984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482C45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7B26C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730608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498906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64.7%</w:t>
            </w:r>
          </w:p>
        </w:tc>
        <w:tc>
          <w:tcPr>
            <w:tcW w:w="867" w:type="dxa"/>
            <w:gridSpan w:val="2"/>
            <w:shd w:val="clear" w:color="auto" w:fill="auto"/>
            <w:noWrap/>
            <w:vAlign w:val="center"/>
            <w:hideMark/>
          </w:tcPr>
          <w:p w14:paraId="28BB37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64.7%</w:t>
            </w:r>
          </w:p>
        </w:tc>
        <w:tc>
          <w:tcPr>
            <w:tcW w:w="867" w:type="dxa"/>
            <w:gridSpan w:val="2"/>
            <w:shd w:val="clear" w:color="000000" w:fill="FFFFCC"/>
            <w:noWrap/>
            <w:vAlign w:val="center"/>
            <w:hideMark/>
          </w:tcPr>
          <w:p w14:paraId="313C15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64.7%</w:t>
            </w:r>
          </w:p>
        </w:tc>
        <w:tc>
          <w:tcPr>
            <w:tcW w:w="867" w:type="dxa"/>
            <w:gridSpan w:val="2"/>
            <w:shd w:val="clear" w:color="auto" w:fill="auto"/>
            <w:noWrap/>
            <w:vAlign w:val="center"/>
            <w:hideMark/>
          </w:tcPr>
          <w:p w14:paraId="6919CA1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64.7%</w:t>
            </w:r>
          </w:p>
        </w:tc>
        <w:tc>
          <w:tcPr>
            <w:tcW w:w="867" w:type="dxa"/>
            <w:gridSpan w:val="2"/>
            <w:shd w:val="clear" w:color="auto" w:fill="auto"/>
            <w:noWrap/>
            <w:vAlign w:val="center"/>
            <w:hideMark/>
          </w:tcPr>
          <w:p w14:paraId="1D6AF8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64.8%</w:t>
            </w:r>
          </w:p>
        </w:tc>
        <w:tc>
          <w:tcPr>
            <w:tcW w:w="867" w:type="dxa"/>
            <w:gridSpan w:val="2"/>
            <w:shd w:val="clear" w:color="auto" w:fill="auto"/>
            <w:noWrap/>
            <w:vAlign w:val="center"/>
            <w:hideMark/>
          </w:tcPr>
          <w:p w14:paraId="2BDB64E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64.8%</w:t>
            </w:r>
          </w:p>
        </w:tc>
        <w:tc>
          <w:tcPr>
            <w:tcW w:w="867" w:type="dxa"/>
            <w:gridSpan w:val="2"/>
            <w:shd w:val="clear" w:color="auto" w:fill="auto"/>
            <w:noWrap/>
            <w:vAlign w:val="center"/>
            <w:hideMark/>
          </w:tcPr>
          <w:p w14:paraId="1ABAA1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64.8%</w:t>
            </w:r>
          </w:p>
        </w:tc>
        <w:tc>
          <w:tcPr>
            <w:tcW w:w="867" w:type="dxa"/>
            <w:gridSpan w:val="2"/>
            <w:shd w:val="clear" w:color="auto" w:fill="auto"/>
            <w:noWrap/>
            <w:vAlign w:val="center"/>
            <w:hideMark/>
          </w:tcPr>
          <w:p w14:paraId="04C40C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64.8%</w:t>
            </w:r>
          </w:p>
        </w:tc>
        <w:tc>
          <w:tcPr>
            <w:tcW w:w="867" w:type="dxa"/>
            <w:gridSpan w:val="2"/>
            <w:shd w:val="clear" w:color="auto" w:fill="auto"/>
            <w:noWrap/>
            <w:vAlign w:val="center"/>
            <w:hideMark/>
          </w:tcPr>
          <w:p w14:paraId="7029666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c>
          <w:tcPr>
            <w:tcW w:w="867" w:type="dxa"/>
            <w:gridSpan w:val="2"/>
            <w:shd w:val="clear" w:color="auto" w:fill="auto"/>
            <w:noWrap/>
            <w:vAlign w:val="center"/>
            <w:hideMark/>
          </w:tcPr>
          <w:p w14:paraId="7F4A83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c>
          <w:tcPr>
            <w:tcW w:w="867" w:type="dxa"/>
            <w:gridSpan w:val="2"/>
            <w:shd w:val="clear" w:color="auto" w:fill="auto"/>
            <w:noWrap/>
            <w:vAlign w:val="center"/>
            <w:hideMark/>
          </w:tcPr>
          <w:p w14:paraId="6891053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64.9%</w:t>
            </w:r>
          </w:p>
        </w:tc>
      </w:tr>
      <w:tr w:rsidR="009E7571" w:rsidRPr="001E05F5" w14:paraId="3B138C67" w14:textId="77777777" w:rsidTr="00E20967">
        <w:trPr>
          <w:gridAfter w:val="2"/>
          <w:wAfter w:w="26" w:type="dxa"/>
          <w:trHeight w:val="288"/>
        </w:trPr>
        <w:tc>
          <w:tcPr>
            <w:tcW w:w="1028" w:type="dxa"/>
            <w:vMerge/>
            <w:vAlign w:val="center"/>
            <w:hideMark/>
          </w:tcPr>
          <w:p w14:paraId="5E92C011"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EDF232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1154FE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04A2A22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6E3431F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636DFB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0D6728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498358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4EEC468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595B40D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1CD2C1E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5C66BB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19.4%</w:t>
            </w:r>
          </w:p>
        </w:tc>
        <w:tc>
          <w:tcPr>
            <w:tcW w:w="867" w:type="dxa"/>
            <w:gridSpan w:val="2"/>
            <w:shd w:val="clear" w:color="auto" w:fill="auto"/>
            <w:noWrap/>
            <w:vAlign w:val="center"/>
            <w:hideMark/>
          </w:tcPr>
          <w:p w14:paraId="6C268C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19.4%</w:t>
            </w:r>
          </w:p>
        </w:tc>
        <w:tc>
          <w:tcPr>
            <w:tcW w:w="867" w:type="dxa"/>
            <w:gridSpan w:val="2"/>
            <w:shd w:val="clear" w:color="000000" w:fill="FFFFCC"/>
            <w:noWrap/>
            <w:vAlign w:val="center"/>
            <w:hideMark/>
          </w:tcPr>
          <w:p w14:paraId="1DD6BF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19.3%</w:t>
            </w:r>
          </w:p>
        </w:tc>
        <w:tc>
          <w:tcPr>
            <w:tcW w:w="867" w:type="dxa"/>
            <w:gridSpan w:val="2"/>
            <w:shd w:val="clear" w:color="auto" w:fill="auto"/>
            <w:noWrap/>
            <w:vAlign w:val="center"/>
            <w:hideMark/>
          </w:tcPr>
          <w:p w14:paraId="5281A0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19.3%</w:t>
            </w:r>
          </w:p>
        </w:tc>
        <w:tc>
          <w:tcPr>
            <w:tcW w:w="867" w:type="dxa"/>
            <w:gridSpan w:val="2"/>
            <w:shd w:val="clear" w:color="auto" w:fill="auto"/>
            <w:noWrap/>
            <w:vAlign w:val="center"/>
            <w:hideMark/>
          </w:tcPr>
          <w:p w14:paraId="51EBF7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19.3%</w:t>
            </w:r>
          </w:p>
        </w:tc>
        <w:tc>
          <w:tcPr>
            <w:tcW w:w="867" w:type="dxa"/>
            <w:gridSpan w:val="2"/>
            <w:shd w:val="clear" w:color="auto" w:fill="auto"/>
            <w:noWrap/>
            <w:vAlign w:val="center"/>
            <w:hideMark/>
          </w:tcPr>
          <w:p w14:paraId="6486D3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19.3%</w:t>
            </w:r>
          </w:p>
        </w:tc>
        <w:tc>
          <w:tcPr>
            <w:tcW w:w="867" w:type="dxa"/>
            <w:gridSpan w:val="2"/>
            <w:shd w:val="clear" w:color="auto" w:fill="auto"/>
            <w:noWrap/>
            <w:vAlign w:val="center"/>
            <w:hideMark/>
          </w:tcPr>
          <w:p w14:paraId="2377EE7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19.3%</w:t>
            </w:r>
          </w:p>
        </w:tc>
        <w:tc>
          <w:tcPr>
            <w:tcW w:w="867" w:type="dxa"/>
            <w:gridSpan w:val="2"/>
            <w:shd w:val="clear" w:color="auto" w:fill="auto"/>
            <w:noWrap/>
            <w:vAlign w:val="center"/>
            <w:hideMark/>
          </w:tcPr>
          <w:p w14:paraId="4B03E4E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19.3%</w:t>
            </w:r>
          </w:p>
        </w:tc>
        <w:tc>
          <w:tcPr>
            <w:tcW w:w="867" w:type="dxa"/>
            <w:gridSpan w:val="2"/>
            <w:shd w:val="clear" w:color="auto" w:fill="auto"/>
            <w:noWrap/>
            <w:vAlign w:val="center"/>
            <w:hideMark/>
          </w:tcPr>
          <w:p w14:paraId="6F7263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19.3%</w:t>
            </w:r>
          </w:p>
        </w:tc>
        <w:tc>
          <w:tcPr>
            <w:tcW w:w="867" w:type="dxa"/>
            <w:gridSpan w:val="2"/>
            <w:shd w:val="clear" w:color="auto" w:fill="auto"/>
            <w:noWrap/>
            <w:vAlign w:val="center"/>
            <w:hideMark/>
          </w:tcPr>
          <w:p w14:paraId="126FDF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19.3%</w:t>
            </w:r>
          </w:p>
        </w:tc>
        <w:tc>
          <w:tcPr>
            <w:tcW w:w="867" w:type="dxa"/>
            <w:gridSpan w:val="2"/>
            <w:shd w:val="clear" w:color="auto" w:fill="auto"/>
            <w:noWrap/>
            <w:vAlign w:val="center"/>
            <w:hideMark/>
          </w:tcPr>
          <w:p w14:paraId="68E1D77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19.3%</w:t>
            </w:r>
          </w:p>
        </w:tc>
      </w:tr>
      <w:tr w:rsidR="00D46E3A" w:rsidRPr="001E05F5" w14:paraId="7DFAE486" w14:textId="77777777" w:rsidTr="00E20967">
        <w:trPr>
          <w:trHeight w:val="288"/>
        </w:trPr>
        <w:tc>
          <w:tcPr>
            <w:tcW w:w="1028" w:type="dxa"/>
            <w:vMerge/>
            <w:vAlign w:val="center"/>
            <w:hideMark/>
          </w:tcPr>
          <w:p w14:paraId="77FE30A5"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D9D12FD"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28" w:type="dxa"/>
            <w:gridSpan w:val="40"/>
            <w:shd w:val="clear" w:color="auto" w:fill="auto"/>
            <w:noWrap/>
            <w:vAlign w:val="center"/>
            <w:hideMark/>
          </w:tcPr>
          <w:p w14:paraId="3DEE673A" w14:textId="77777777" w:rsidR="00D46E3A" w:rsidRPr="001E05F5" w:rsidRDefault="00D46E3A" w:rsidP="009E7571">
            <w:pPr>
              <w:spacing w:after="0" w:line="240" w:lineRule="auto"/>
              <w:jc w:val="right"/>
              <w:rPr>
                <w:rFonts w:cs="Arial"/>
                <w:sz w:val="18"/>
                <w:szCs w:val="18"/>
                <w:lang w:eastAsia="en-GB"/>
              </w:rPr>
            </w:pPr>
            <w:r w:rsidRPr="001E05F5">
              <w:rPr>
                <w:rFonts w:cs="Arial"/>
                <w:color w:val="000000"/>
                <w:sz w:val="18"/>
                <w:szCs w:val="18"/>
                <w:lang w:eastAsia="en-GB"/>
              </w:rPr>
              <w:t>£457,570,071</w:t>
            </w:r>
          </w:p>
        </w:tc>
      </w:tr>
      <w:tr w:rsidR="009E7571" w:rsidRPr="001E05F5" w14:paraId="0164E331" w14:textId="77777777" w:rsidTr="00E20967">
        <w:trPr>
          <w:gridAfter w:val="2"/>
          <w:wAfter w:w="26" w:type="dxa"/>
          <w:trHeight w:val="288"/>
        </w:trPr>
        <w:tc>
          <w:tcPr>
            <w:tcW w:w="1028" w:type="dxa"/>
            <w:vMerge w:val="restart"/>
            <w:shd w:val="clear" w:color="auto" w:fill="auto"/>
            <w:vAlign w:val="center"/>
            <w:hideMark/>
          </w:tcPr>
          <w:p w14:paraId="1D1DDB53"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1D73AF55"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7A1A21D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5791771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292B7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1A5C6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FC77A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02A2AA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356F1A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025EB3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062905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6ECF81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2998C3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000000" w:fill="FFFFCC"/>
            <w:noWrap/>
            <w:vAlign w:val="center"/>
            <w:hideMark/>
          </w:tcPr>
          <w:p w14:paraId="6483EF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347CB3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2EEBCC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2709CD3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3E127AA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65F7C03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6C96DC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728763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4F0802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r>
      <w:tr w:rsidR="009E7571" w:rsidRPr="001E05F5" w14:paraId="14A64224" w14:textId="77777777" w:rsidTr="00E20967">
        <w:trPr>
          <w:gridAfter w:val="2"/>
          <w:wAfter w:w="26" w:type="dxa"/>
          <w:trHeight w:val="288"/>
        </w:trPr>
        <w:tc>
          <w:tcPr>
            <w:tcW w:w="1028" w:type="dxa"/>
            <w:vMerge/>
            <w:vAlign w:val="center"/>
            <w:hideMark/>
          </w:tcPr>
          <w:p w14:paraId="166C7EE8"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B4D554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40CDB0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DE761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0A66E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BE3D4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E4DA5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63CA13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3.0%</w:t>
            </w:r>
          </w:p>
        </w:tc>
        <w:tc>
          <w:tcPr>
            <w:tcW w:w="867" w:type="dxa"/>
            <w:gridSpan w:val="2"/>
            <w:shd w:val="clear" w:color="auto" w:fill="auto"/>
            <w:noWrap/>
            <w:vAlign w:val="center"/>
            <w:hideMark/>
          </w:tcPr>
          <w:p w14:paraId="5A4D4C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3.1%</w:t>
            </w:r>
          </w:p>
        </w:tc>
        <w:tc>
          <w:tcPr>
            <w:tcW w:w="867" w:type="dxa"/>
            <w:gridSpan w:val="2"/>
            <w:shd w:val="clear" w:color="auto" w:fill="auto"/>
            <w:noWrap/>
            <w:vAlign w:val="center"/>
            <w:hideMark/>
          </w:tcPr>
          <w:p w14:paraId="6279F79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3.1%</w:t>
            </w:r>
          </w:p>
        </w:tc>
        <w:tc>
          <w:tcPr>
            <w:tcW w:w="867" w:type="dxa"/>
            <w:gridSpan w:val="2"/>
            <w:shd w:val="clear" w:color="auto" w:fill="auto"/>
            <w:noWrap/>
            <w:vAlign w:val="center"/>
            <w:hideMark/>
          </w:tcPr>
          <w:p w14:paraId="7C1B6D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3.2%</w:t>
            </w:r>
          </w:p>
        </w:tc>
        <w:tc>
          <w:tcPr>
            <w:tcW w:w="867" w:type="dxa"/>
            <w:gridSpan w:val="2"/>
            <w:shd w:val="clear" w:color="auto" w:fill="auto"/>
            <w:noWrap/>
            <w:vAlign w:val="center"/>
            <w:hideMark/>
          </w:tcPr>
          <w:p w14:paraId="433899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auto" w:fill="auto"/>
            <w:noWrap/>
            <w:vAlign w:val="center"/>
            <w:hideMark/>
          </w:tcPr>
          <w:p w14:paraId="6D623C5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000000" w:fill="FFFFCC"/>
            <w:noWrap/>
            <w:vAlign w:val="center"/>
            <w:hideMark/>
          </w:tcPr>
          <w:p w14:paraId="6CB2B93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1F784F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658F61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4897AB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7DA27C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5D9E1DA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15E38B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5568713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22CC5A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r>
      <w:tr w:rsidR="009E7571" w:rsidRPr="001E05F5" w14:paraId="23428A12" w14:textId="77777777" w:rsidTr="00E20967">
        <w:trPr>
          <w:gridAfter w:val="2"/>
          <w:wAfter w:w="26" w:type="dxa"/>
          <w:trHeight w:val="288"/>
        </w:trPr>
        <w:tc>
          <w:tcPr>
            <w:tcW w:w="1028" w:type="dxa"/>
            <w:vMerge/>
            <w:vAlign w:val="center"/>
            <w:hideMark/>
          </w:tcPr>
          <w:p w14:paraId="49442E21"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7AA73A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41242C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3BDD2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4542E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C8598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C2670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9C818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1C6D753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E360C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6A97F3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6266E7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-24.7%</w:t>
            </w:r>
          </w:p>
        </w:tc>
        <w:tc>
          <w:tcPr>
            <w:tcW w:w="867" w:type="dxa"/>
            <w:gridSpan w:val="2"/>
            <w:shd w:val="clear" w:color="auto" w:fill="auto"/>
            <w:noWrap/>
            <w:vAlign w:val="center"/>
            <w:hideMark/>
          </w:tcPr>
          <w:p w14:paraId="20DF0C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-24.7%</w:t>
            </w:r>
          </w:p>
        </w:tc>
        <w:tc>
          <w:tcPr>
            <w:tcW w:w="867" w:type="dxa"/>
            <w:gridSpan w:val="2"/>
            <w:shd w:val="clear" w:color="000000" w:fill="FFFFCC"/>
            <w:noWrap/>
            <w:vAlign w:val="center"/>
            <w:hideMark/>
          </w:tcPr>
          <w:p w14:paraId="28000A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-24.7%</w:t>
            </w:r>
          </w:p>
        </w:tc>
        <w:tc>
          <w:tcPr>
            <w:tcW w:w="867" w:type="dxa"/>
            <w:gridSpan w:val="2"/>
            <w:shd w:val="clear" w:color="auto" w:fill="auto"/>
            <w:noWrap/>
            <w:vAlign w:val="center"/>
            <w:hideMark/>
          </w:tcPr>
          <w:p w14:paraId="24AD72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-24.7%</w:t>
            </w:r>
          </w:p>
        </w:tc>
        <w:tc>
          <w:tcPr>
            <w:tcW w:w="867" w:type="dxa"/>
            <w:gridSpan w:val="2"/>
            <w:shd w:val="clear" w:color="auto" w:fill="auto"/>
            <w:noWrap/>
            <w:vAlign w:val="center"/>
            <w:hideMark/>
          </w:tcPr>
          <w:p w14:paraId="2D0274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-24.7%</w:t>
            </w:r>
          </w:p>
        </w:tc>
        <w:tc>
          <w:tcPr>
            <w:tcW w:w="867" w:type="dxa"/>
            <w:gridSpan w:val="2"/>
            <w:shd w:val="clear" w:color="auto" w:fill="auto"/>
            <w:noWrap/>
            <w:vAlign w:val="center"/>
            <w:hideMark/>
          </w:tcPr>
          <w:p w14:paraId="5231B84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-24.6%</w:t>
            </w:r>
          </w:p>
        </w:tc>
        <w:tc>
          <w:tcPr>
            <w:tcW w:w="867" w:type="dxa"/>
            <w:gridSpan w:val="2"/>
            <w:shd w:val="clear" w:color="auto" w:fill="auto"/>
            <w:noWrap/>
            <w:vAlign w:val="center"/>
            <w:hideMark/>
          </w:tcPr>
          <w:p w14:paraId="587742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-24.6%</w:t>
            </w:r>
          </w:p>
        </w:tc>
        <w:tc>
          <w:tcPr>
            <w:tcW w:w="867" w:type="dxa"/>
            <w:gridSpan w:val="2"/>
            <w:shd w:val="clear" w:color="auto" w:fill="auto"/>
            <w:noWrap/>
            <w:vAlign w:val="center"/>
            <w:hideMark/>
          </w:tcPr>
          <w:p w14:paraId="72319B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-24.6%</w:t>
            </w:r>
          </w:p>
        </w:tc>
        <w:tc>
          <w:tcPr>
            <w:tcW w:w="867" w:type="dxa"/>
            <w:gridSpan w:val="2"/>
            <w:shd w:val="clear" w:color="auto" w:fill="auto"/>
            <w:noWrap/>
            <w:vAlign w:val="center"/>
            <w:hideMark/>
          </w:tcPr>
          <w:p w14:paraId="7419D7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-24.6%</w:t>
            </w:r>
          </w:p>
        </w:tc>
        <w:tc>
          <w:tcPr>
            <w:tcW w:w="867" w:type="dxa"/>
            <w:gridSpan w:val="2"/>
            <w:shd w:val="clear" w:color="auto" w:fill="auto"/>
            <w:noWrap/>
            <w:vAlign w:val="center"/>
            <w:hideMark/>
          </w:tcPr>
          <w:p w14:paraId="1E6D03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-24.6%</w:t>
            </w:r>
          </w:p>
        </w:tc>
        <w:tc>
          <w:tcPr>
            <w:tcW w:w="867" w:type="dxa"/>
            <w:gridSpan w:val="2"/>
            <w:shd w:val="clear" w:color="auto" w:fill="auto"/>
            <w:noWrap/>
            <w:vAlign w:val="center"/>
            <w:hideMark/>
          </w:tcPr>
          <w:p w14:paraId="571D89F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-24.6%</w:t>
            </w:r>
          </w:p>
        </w:tc>
      </w:tr>
      <w:tr w:rsidR="009E7571" w:rsidRPr="001E05F5" w14:paraId="27E04B44" w14:textId="77777777" w:rsidTr="00E20967">
        <w:trPr>
          <w:gridAfter w:val="2"/>
          <w:wAfter w:w="26" w:type="dxa"/>
          <w:trHeight w:val="288"/>
        </w:trPr>
        <w:tc>
          <w:tcPr>
            <w:tcW w:w="1028" w:type="dxa"/>
            <w:vMerge/>
            <w:vAlign w:val="center"/>
            <w:hideMark/>
          </w:tcPr>
          <w:p w14:paraId="4AB7970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028B94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355806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0CF0AC3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80C46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9EBFD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D5C1A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6172D14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0CD3BD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32140B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461387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763CC09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auto" w:fill="auto"/>
            <w:noWrap/>
            <w:vAlign w:val="center"/>
            <w:hideMark/>
          </w:tcPr>
          <w:p w14:paraId="13B652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000000" w:fill="FFFFCC"/>
            <w:noWrap/>
            <w:vAlign w:val="center"/>
            <w:hideMark/>
          </w:tcPr>
          <w:p w14:paraId="54812DC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auto" w:fill="auto"/>
            <w:noWrap/>
            <w:vAlign w:val="center"/>
            <w:hideMark/>
          </w:tcPr>
          <w:p w14:paraId="7AC59C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auto" w:fill="auto"/>
            <w:noWrap/>
            <w:vAlign w:val="center"/>
            <w:hideMark/>
          </w:tcPr>
          <w:p w14:paraId="0A100F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auto" w:fill="auto"/>
            <w:noWrap/>
            <w:vAlign w:val="center"/>
            <w:hideMark/>
          </w:tcPr>
          <w:p w14:paraId="2536D5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auto" w:fill="auto"/>
            <w:noWrap/>
            <w:vAlign w:val="center"/>
            <w:hideMark/>
          </w:tcPr>
          <w:p w14:paraId="43A519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auto" w:fill="auto"/>
            <w:noWrap/>
            <w:vAlign w:val="center"/>
            <w:hideMark/>
          </w:tcPr>
          <w:p w14:paraId="2FDE50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auto" w:fill="auto"/>
            <w:noWrap/>
            <w:vAlign w:val="center"/>
            <w:hideMark/>
          </w:tcPr>
          <w:p w14:paraId="7ED0E1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auto" w:fill="auto"/>
            <w:noWrap/>
            <w:vAlign w:val="center"/>
            <w:hideMark/>
          </w:tcPr>
          <w:p w14:paraId="2E6368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c>
          <w:tcPr>
            <w:tcW w:w="867" w:type="dxa"/>
            <w:gridSpan w:val="2"/>
            <w:shd w:val="clear" w:color="auto" w:fill="auto"/>
            <w:noWrap/>
            <w:vAlign w:val="center"/>
            <w:hideMark/>
          </w:tcPr>
          <w:p w14:paraId="369FB4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13.2%</w:t>
            </w:r>
          </w:p>
        </w:tc>
      </w:tr>
      <w:tr w:rsidR="00D46E3A" w:rsidRPr="001E05F5" w14:paraId="2455C1B2" w14:textId="77777777" w:rsidTr="00E20967">
        <w:trPr>
          <w:gridAfter w:val="2"/>
          <w:wAfter w:w="26" w:type="dxa"/>
          <w:trHeight w:val="288"/>
        </w:trPr>
        <w:tc>
          <w:tcPr>
            <w:tcW w:w="1028" w:type="dxa"/>
            <w:vMerge/>
            <w:vAlign w:val="center"/>
            <w:hideMark/>
          </w:tcPr>
          <w:p w14:paraId="62B448F1"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95F2C34"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132F9AE3"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-9.4%</w:t>
            </w:r>
          </w:p>
        </w:tc>
      </w:tr>
      <w:tr w:rsidR="009E7571" w:rsidRPr="001E05F5" w14:paraId="286A0507"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08F48B3B"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3d</w:t>
            </w:r>
          </w:p>
        </w:tc>
        <w:tc>
          <w:tcPr>
            <w:tcW w:w="1129" w:type="dxa"/>
            <w:shd w:val="clear" w:color="auto" w:fill="D9D9D9" w:themeFill="background1" w:themeFillShade="D9"/>
            <w:noWrap/>
            <w:vAlign w:val="center"/>
            <w:hideMark/>
          </w:tcPr>
          <w:p w14:paraId="288E077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6BC0259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456EB36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42E61E7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112B61B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48519DC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7E1F8AE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1B209A0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4CC2F8B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6ECC07A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244D771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4ADE91D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578D887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6BB9599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40AF6C5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24DD431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5762B2C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007045D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6E343DF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653B20E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45C0730F" w14:textId="77777777" w:rsidTr="00E20967">
        <w:trPr>
          <w:gridAfter w:val="2"/>
          <w:wAfter w:w="26" w:type="dxa"/>
          <w:trHeight w:val="288"/>
        </w:trPr>
        <w:tc>
          <w:tcPr>
            <w:tcW w:w="1028" w:type="dxa"/>
            <w:vMerge w:val="restart"/>
            <w:shd w:val="clear" w:color="auto" w:fill="auto"/>
            <w:vAlign w:val="center"/>
            <w:hideMark/>
          </w:tcPr>
          <w:p w14:paraId="064F9F7C"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37A60587"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772EEF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5EAE6F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650515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0F0633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7BF089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350,427</w:t>
            </w:r>
          </w:p>
        </w:tc>
        <w:tc>
          <w:tcPr>
            <w:tcW w:w="867" w:type="dxa"/>
            <w:gridSpan w:val="2"/>
            <w:shd w:val="clear" w:color="auto" w:fill="auto"/>
            <w:noWrap/>
            <w:vAlign w:val="center"/>
            <w:hideMark/>
          </w:tcPr>
          <w:p w14:paraId="55D54C2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352,369</w:t>
            </w:r>
          </w:p>
        </w:tc>
        <w:tc>
          <w:tcPr>
            <w:tcW w:w="867" w:type="dxa"/>
            <w:gridSpan w:val="2"/>
            <w:shd w:val="clear" w:color="auto" w:fill="auto"/>
            <w:noWrap/>
            <w:vAlign w:val="center"/>
            <w:hideMark/>
          </w:tcPr>
          <w:p w14:paraId="72D847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354,238</w:t>
            </w:r>
          </w:p>
        </w:tc>
        <w:tc>
          <w:tcPr>
            <w:tcW w:w="867" w:type="dxa"/>
            <w:gridSpan w:val="2"/>
            <w:shd w:val="clear" w:color="auto" w:fill="auto"/>
            <w:noWrap/>
            <w:vAlign w:val="center"/>
            <w:hideMark/>
          </w:tcPr>
          <w:p w14:paraId="6E2B46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355,970</w:t>
            </w:r>
          </w:p>
        </w:tc>
        <w:tc>
          <w:tcPr>
            <w:tcW w:w="867" w:type="dxa"/>
            <w:gridSpan w:val="2"/>
            <w:shd w:val="clear" w:color="auto" w:fill="auto"/>
            <w:noWrap/>
            <w:vAlign w:val="center"/>
            <w:hideMark/>
          </w:tcPr>
          <w:p w14:paraId="0D3D33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357,725</w:t>
            </w:r>
          </w:p>
        </w:tc>
        <w:tc>
          <w:tcPr>
            <w:tcW w:w="867" w:type="dxa"/>
            <w:gridSpan w:val="2"/>
            <w:shd w:val="clear" w:color="auto" w:fill="auto"/>
            <w:noWrap/>
            <w:vAlign w:val="center"/>
            <w:hideMark/>
          </w:tcPr>
          <w:p w14:paraId="7FE073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359,482</w:t>
            </w:r>
          </w:p>
        </w:tc>
        <w:tc>
          <w:tcPr>
            <w:tcW w:w="867" w:type="dxa"/>
            <w:gridSpan w:val="2"/>
            <w:shd w:val="clear" w:color="auto" w:fill="auto"/>
            <w:noWrap/>
            <w:vAlign w:val="center"/>
            <w:hideMark/>
          </w:tcPr>
          <w:p w14:paraId="60B9EE8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361,345</w:t>
            </w:r>
          </w:p>
        </w:tc>
        <w:tc>
          <w:tcPr>
            <w:tcW w:w="867" w:type="dxa"/>
            <w:gridSpan w:val="2"/>
            <w:shd w:val="clear" w:color="000000" w:fill="FFFFCC"/>
            <w:noWrap/>
            <w:vAlign w:val="center"/>
            <w:hideMark/>
          </w:tcPr>
          <w:p w14:paraId="58006C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363,125</w:t>
            </w:r>
          </w:p>
        </w:tc>
        <w:tc>
          <w:tcPr>
            <w:tcW w:w="867" w:type="dxa"/>
            <w:gridSpan w:val="2"/>
            <w:shd w:val="clear" w:color="auto" w:fill="auto"/>
            <w:noWrap/>
            <w:vAlign w:val="center"/>
            <w:hideMark/>
          </w:tcPr>
          <w:p w14:paraId="234806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364,871</w:t>
            </w:r>
          </w:p>
        </w:tc>
        <w:tc>
          <w:tcPr>
            <w:tcW w:w="867" w:type="dxa"/>
            <w:gridSpan w:val="2"/>
            <w:shd w:val="clear" w:color="auto" w:fill="auto"/>
            <w:noWrap/>
            <w:vAlign w:val="center"/>
            <w:hideMark/>
          </w:tcPr>
          <w:p w14:paraId="1D2FAEE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366,559</w:t>
            </w:r>
          </w:p>
        </w:tc>
        <w:tc>
          <w:tcPr>
            <w:tcW w:w="867" w:type="dxa"/>
            <w:gridSpan w:val="2"/>
            <w:shd w:val="clear" w:color="auto" w:fill="auto"/>
            <w:noWrap/>
            <w:vAlign w:val="center"/>
            <w:hideMark/>
          </w:tcPr>
          <w:p w14:paraId="4956AF4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368,266</w:t>
            </w:r>
          </w:p>
        </w:tc>
        <w:tc>
          <w:tcPr>
            <w:tcW w:w="867" w:type="dxa"/>
            <w:gridSpan w:val="2"/>
            <w:shd w:val="clear" w:color="auto" w:fill="auto"/>
            <w:noWrap/>
            <w:vAlign w:val="center"/>
            <w:hideMark/>
          </w:tcPr>
          <w:p w14:paraId="1D8F60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370,050</w:t>
            </w:r>
          </w:p>
        </w:tc>
        <w:tc>
          <w:tcPr>
            <w:tcW w:w="867" w:type="dxa"/>
            <w:gridSpan w:val="2"/>
            <w:shd w:val="clear" w:color="auto" w:fill="auto"/>
            <w:noWrap/>
            <w:vAlign w:val="center"/>
            <w:hideMark/>
          </w:tcPr>
          <w:p w14:paraId="207BDE6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371,722</w:t>
            </w:r>
          </w:p>
        </w:tc>
        <w:tc>
          <w:tcPr>
            <w:tcW w:w="867" w:type="dxa"/>
            <w:gridSpan w:val="2"/>
            <w:shd w:val="clear" w:color="auto" w:fill="auto"/>
            <w:noWrap/>
            <w:vAlign w:val="center"/>
            <w:hideMark/>
          </w:tcPr>
          <w:p w14:paraId="4B0FF9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373,375</w:t>
            </w:r>
          </w:p>
        </w:tc>
        <w:tc>
          <w:tcPr>
            <w:tcW w:w="867" w:type="dxa"/>
            <w:gridSpan w:val="2"/>
            <w:shd w:val="clear" w:color="auto" w:fill="auto"/>
            <w:noWrap/>
            <w:vAlign w:val="center"/>
            <w:hideMark/>
          </w:tcPr>
          <w:p w14:paraId="3EDBB75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374,922</w:t>
            </w:r>
          </w:p>
        </w:tc>
        <w:tc>
          <w:tcPr>
            <w:tcW w:w="867" w:type="dxa"/>
            <w:gridSpan w:val="2"/>
            <w:shd w:val="clear" w:color="auto" w:fill="auto"/>
            <w:noWrap/>
            <w:vAlign w:val="center"/>
            <w:hideMark/>
          </w:tcPr>
          <w:p w14:paraId="0E148F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376,483</w:t>
            </w:r>
          </w:p>
        </w:tc>
      </w:tr>
      <w:tr w:rsidR="009E7571" w:rsidRPr="001E05F5" w14:paraId="22F6B80D" w14:textId="77777777" w:rsidTr="00E20967">
        <w:trPr>
          <w:gridAfter w:val="2"/>
          <w:wAfter w:w="26" w:type="dxa"/>
          <w:trHeight w:val="288"/>
        </w:trPr>
        <w:tc>
          <w:tcPr>
            <w:tcW w:w="1028" w:type="dxa"/>
            <w:vMerge/>
            <w:vAlign w:val="center"/>
            <w:hideMark/>
          </w:tcPr>
          <w:p w14:paraId="030AED08"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533F291"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44ED9A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6A48C6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04F4AE2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9C95C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7CDCD7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w:t>
            </w:r>
          </w:p>
        </w:tc>
        <w:tc>
          <w:tcPr>
            <w:tcW w:w="867" w:type="dxa"/>
            <w:gridSpan w:val="2"/>
            <w:shd w:val="clear" w:color="auto" w:fill="auto"/>
            <w:noWrap/>
            <w:vAlign w:val="center"/>
            <w:hideMark/>
          </w:tcPr>
          <w:p w14:paraId="3F5684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752D18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5E22E0E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37.1%</w:t>
            </w:r>
          </w:p>
        </w:tc>
        <w:tc>
          <w:tcPr>
            <w:tcW w:w="867" w:type="dxa"/>
            <w:gridSpan w:val="2"/>
            <w:shd w:val="clear" w:color="auto" w:fill="auto"/>
            <w:noWrap/>
            <w:vAlign w:val="center"/>
            <w:hideMark/>
          </w:tcPr>
          <w:p w14:paraId="7B1B6B8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w:t>
            </w:r>
          </w:p>
        </w:tc>
        <w:tc>
          <w:tcPr>
            <w:tcW w:w="867" w:type="dxa"/>
            <w:gridSpan w:val="2"/>
            <w:shd w:val="clear" w:color="auto" w:fill="auto"/>
            <w:noWrap/>
            <w:vAlign w:val="center"/>
            <w:hideMark/>
          </w:tcPr>
          <w:p w14:paraId="65F880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c>
          <w:tcPr>
            <w:tcW w:w="867" w:type="dxa"/>
            <w:gridSpan w:val="2"/>
            <w:shd w:val="clear" w:color="auto" w:fill="auto"/>
            <w:noWrap/>
            <w:vAlign w:val="center"/>
            <w:hideMark/>
          </w:tcPr>
          <w:p w14:paraId="0957DE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000000" w:fill="FFFFCC"/>
            <w:noWrap/>
            <w:vAlign w:val="center"/>
            <w:hideMark/>
          </w:tcPr>
          <w:p w14:paraId="0B0891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62D559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2DD82F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37.6%</w:t>
            </w:r>
          </w:p>
        </w:tc>
        <w:tc>
          <w:tcPr>
            <w:tcW w:w="867" w:type="dxa"/>
            <w:gridSpan w:val="2"/>
            <w:shd w:val="clear" w:color="auto" w:fill="auto"/>
            <w:noWrap/>
            <w:vAlign w:val="center"/>
            <w:hideMark/>
          </w:tcPr>
          <w:p w14:paraId="59A399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744550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222DCF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526D51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w:t>
            </w:r>
          </w:p>
        </w:tc>
        <w:tc>
          <w:tcPr>
            <w:tcW w:w="867" w:type="dxa"/>
            <w:gridSpan w:val="2"/>
            <w:shd w:val="clear" w:color="auto" w:fill="auto"/>
            <w:noWrap/>
            <w:vAlign w:val="center"/>
            <w:hideMark/>
          </w:tcPr>
          <w:p w14:paraId="46E93A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c>
          <w:tcPr>
            <w:tcW w:w="867" w:type="dxa"/>
            <w:gridSpan w:val="2"/>
            <w:shd w:val="clear" w:color="auto" w:fill="auto"/>
            <w:noWrap/>
            <w:vAlign w:val="center"/>
            <w:hideMark/>
          </w:tcPr>
          <w:p w14:paraId="7C88B0E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w:t>
            </w:r>
          </w:p>
        </w:tc>
      </w:tr>
      <w:tr w:rsidR="009E7571" w:rsidRPr="001E05F5" w14:paraId="141333C8" w14:textId="77777777" w:rsidTr="00E20967">
        <w:trPr>
          <w:gridAfter w:val="2"/>
          <w:wAfter w:w="26" w:type="dxa"/>
          <w:trHeight w:val="288"/>
        </w:trPr>
        <w:tc>
          <w:tcPr>
            <w:tcW w:w="1028" w:type="dxa"/>
            <w:vMerge/>
            <w:vAlign w:val="center"/>
            <w:hideMark/>
          </w:tcPr>
          <w:p w14:paraId="6DFF9E91"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2730456"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1179FA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0F98A1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6D89358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43D73E8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3385B9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C1EA7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F0523A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3352F4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5A63BB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3F281E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0117D6F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000000" w:fill="FFFFCC"/>
            <w:noWrap/>
            <w:vAlign w:val="center"/>
            <w:hideMark/>
          </w:tcPr>
          <w:p w14:paraId="0A9E7D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7D3F75B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06933FF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5A09A0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3E53AA9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2AC3D8B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365EB6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6A99D4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93.3%</w:t>
            </w:r>
          </w:p>
        </w:tc>
        <w:tc>
          <w:tcPr>
            <w:tcW w:w="867" w:type="dxa"/>
            <w:gridSpan w:val="2"/>
            <w:shd w:val="clear" w:color="auto" w:fill="auto"/>
            <w:noWrap/>
            <w:vAlign w:val="center"/>
            <w:hideMark/>
          </w:tcPr>
          <w:p w14:paraId="2A798C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93.4%</w:t>
            </w:r>
          </w:p>
        </w:tc>
      </w:tr>
      <w:tr w:rsidR="009E7571" w:rsidRPr="001E05F5" w14:paraId="5D365EE2" w14:textId="77777777" w:rsidTr="00E20967">
        <w:trPr>
          <w:gridAfter w:val="2"/>
          <w:wAfter w:w="26" w:type="dxa"/>
          <w:trHeight w:val="288"/>
        </w:trPr>
        <w:tc>
          <w:tcPr>
            <w:tcW w:w="1028" w:type="dxa"/>
            <w:vMerge/>
            <w:vAlign w:val="center"/>
            <w:hideMark/>
          </w:tcPr>
          <w:p w14:paraId="3FB6389A"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CA64795"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2214FE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1A77AA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7BC425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EDB57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FBE71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38250C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005B8D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53611B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4F5CC2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5.8%</w:t>
            </w:r>
          </w:p>
        </w:tc>
        <w:tc>
          <w:tcPr>
            <w:tcW w:w="867" w:type="dxa"/>
            <w:gridSpan w:val="2"/>
            <w:shd w:val="clear" w:color="auto" w:fill="auto"/>
            <w:noWrap/>
            <w:vAlign w:val="center"/>
            <w:hideMark/>
          </w:tcPr>
          <w:p w14:paraId="34A25E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54188B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000000" w:fill="FFFFCC"/>
            <w:noWrap/>
            <w:vAlign w:val="center"/>
            <w:hideMark/>
          </w:tcPr>
          <w:p w14:paraId="4CA661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260761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04471D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3736066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2EA0A8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6460FC3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77B804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6989B4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62D6959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r>
      <w:tr w:rsidR="00D46E3A" w:rsidRPr="001E05F5" w14:paraId="3CAC9541" w14:textId="77777777" w:rsidTr="00E20967">
        <w:trPr>
          <w:gridAfter w:val="1"/>
          <w:wAfter w:w="13" w:type="dxa"/>
          <w:trHeight w:val="288"/>
        </w:trPr>
        <w:tc>
          <w:tcPr>
            <w:tcW w:w="1028" w:type="dxa"/>
            <w:vMerge/>
            <w:vAlign w:val="center"/>
            <w:hideMark/>
          </w:tcPr>
          <w:p w14:paraId="09E2DC72"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F2FBACF"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451E7649"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£475,274,645</w:t>
            </w:r>
          </w:p>
        </w:tc>
      </w:tr>
      <w:tr w:rsidR="009E7571" w:rsidRPr="001E05F5" w14:paraId="13EB615E" w14:textId="77777777" w:rsidTr="00E20967">
        <w:trPr>
          <w:gridAfter w:val="2"/>
          <w:wAfter w:w="26" w:type="dxa"/>
          <w:trHeight w:val="288"/>
        </w:trPr>
        <w:tc>
          <w:tcPr>
            <w:tcW w:w="1028" w:type="dxa"/>
            <w:vMerge w:val="restart"/>
            <w:shd w:val="clear" w:color="auto" w:fill="auto"/>
            <w:vAlign w:val="center"/>
            <w:hideMark/>
          </w:tcPr>
          <w:p w14:paraId="43E6A41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02312EFE"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33E481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60503E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182D4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30D4A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FE21D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20A599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0C01FEE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439D0E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7B3AA2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136A6C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74D74A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000000" w:fill="FFFFCC"/>
            <w:noWrap/>
            <w:vAlign w:val="center"/>
            <w:hideMark/>
          </w:tcPr>
          <w:p w14:paraId="024CA9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52190E2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2641D5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46BAAB7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024FDCC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4CD67AA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5B2BBB1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37B49C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c>
          <w:tcPr>
            <w:tcW w:w="867" w:type="dxa"/>
            <w:gridSpan w:val="2"/>
            <w:shd w:val="clear" w:color="auto" w:fill="auto"/>
            <w:noWrap/>
            <w:vAlign w:val="center"/>
            <w:hideMark/>
          </w:tcPr>
          <w:p w14:paraId="26D351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-2.1%</w:t>
            </w:r>
          </w:p>
        </w:tc>
      </w:tr>
      <w:tr w:rsidR="009E7571" w:rsidRPr="001E05F5" w14:paraId="33BD5305" w14:textId="77777777" w:rsidTr="00E20967">
        <w:trPr>
          <w:gridAfter w:val="2"/>
          <w:wAfter w:w="26" w:type="dxa"/>
          <w:trHeight w:val="288"/>
        </w:trPr>
        <w:tc>
          <w:tcPr>
            <w:tcW w:w="1028" w:type="dxa"/>
            <w:vMerge/>
            <w:vAlign w:val="center"/>
            <w:hideMark/>
          </w:tcPr>
          <w:p w14:paraId="480304E7"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6DFDCC6"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45255D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456E28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E03BD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096944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BC36A5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62D28F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3.0%</w:t>
            </w:r>
          </w:p>
        </w:tc>
        <w:tc>
          <w:tcPr>
            <w:tcW w:w="867" w:type="dxa"/>
            <w:gridSpan w:val="2"/>
            <w:shd w:val="clear" w:color="auto" w:fill="auto"/>
            <w:noWrap/>
            <w:vAlign w:val="center"/>
            <w:hideMark/>
          </w:tcPr>
          <w:p w14:paraId="42D049B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3.1%</w:t>
            </w:r>
          </w:p>
        </w:tc>
        <w:tc>
          <w:tcPr>
            <w:tcW w:w="867" w:type="dxa"/>
            <w:gridSpan w:val="2"/>
            <w:shd w:val="clear" w:color="auto" w:fill="auto"/>
            <w:noWrap/>
            <w:vAlign w:val="center"/>
            <w:hideMark/>
          </w:tcPr>
          <w:p w14:paraId="4BA831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3.1%</w:t>
            </w:r>
          </w:p>
        </w:tc>
        <w:tc>
          <w:tcPr>
            <w:tcW w:w="867" w:type="dxa"/>
            <w:gridSpan w:val="2"/>
            <w:shd w:val="clear" w:color="auto" w:fill="auto"/>
            <w:noWrap/>
            <w:vAlign w:val="center"/>
            <w:hideMark/>
          </w:tcPr>
          <w:p w14:paraId="0E8DE3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3.2%</w:t>
            </w:r>
          </w:p>
        </w:tc>
        <w:tc>
          <w:tcPr>
            <w:tcW w:w="867" w:type="dxa"/>
            <w:gridSpan w:val="2"/>
            <w:shd w:val="clear" w:color="auto" w:fill="auto"/>
            <w:noWrap/>
            <w:vAlign w:val="center"/>
            <w:hideMark/>
          </w:tcPr>
          <w:p w14:paraId="74569A2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auto" w:fill="auto"/>
            <w:noWrap/>
            <w:vAlign w:val="center"/>
            <w:hideMark/>
          </w:tcPr>
          <w:p w14:paraId="3965A4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w:t>
            </w:r>
          </w:p>
        </w:tc>
        <w:tc>
          <w:tcPr>
            <w:tcW w:w="867" w:type="dxa"/>
            <w:gridSpan w:val="2"/>
            <w:shd w:val="clear" w:color="000000" w:fill="FFFFCC"/>
            <w:noWrap/>
            <w:vAlign w:val="center"/>
            <w:hideMark/>
          </w:tcPr>
          <w:p w14:paraId="0B7556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2F9527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081A46E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731FC69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251371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75E47E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59C858C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76020C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c>
          <w:tcPr>
            <w:tcW w:w="867" w:type="dxa"/>
            <w:gridSpan w:val="2"/>
            <w:shd w:val="clear" w:color="auto" w:fill="auto"/>
            <w:noWrap/>
            <w:vAlign w:val="center"/>
            <w:hideMark/>
          </w:tcPr>
          <w:p w14:paraId="47A583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w:t>
            </w:r>
          </w:p>
        </w:tc>
      </w:tr>
      <w:tr w:rsidR="009E7571" w:rsidRPr="001E05F5" w14:paraId="4D4BCC34" w14:textId="77777777" w:rsidTr="00E20967">
        <w:trPr>
          <w:gridAfter w:val="2"/>
          <w:wAfter w:w="26" w:type="dxa"/>
          <w:trHeight w:val="288"/>
        </w:trPr>
        <w:tc>
          <w:tcPr>
            <w:tcW w:w="1028" w:type="dxa"/>
            <w:vMerge/>
            <w:vAlign w:val="center"/>
            <w:hideMark/>
          </w:tcPr>
          <w:p w14:paraId="0126A59C"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2AC0D6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5D8A86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64D31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A6347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DC8A09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4C550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09D71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30A71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72B247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C5F4C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F06950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2A9109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000000" w:fill="FFFFCC"/>
            <w:noWrap/>
            <w:vAlign w:val="center"/>
            <w:hideMark/>
          </w:tcPr>
          <w:p w14:paraId="192C6E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58977FE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4713DB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5FD6AC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49A9A5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0C34B53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5D1968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32C64A2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c>
          <w:tcPr>
            <w:tcW w:w="867" w:type="dxa"/>
            <w:gridSpan w:val="2"/>
            <w:shd w:val="clear" w:color="auto" w:fill="auto"/>
            <w:noWrap/>
            <w:vAlign w:val="center"/>
            <w:hideMark/>
          </w:tcPr>
          <w:p w14:paraId="7C185A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3.9%</w:t>
            </w:r>
          </w:p>
        </w:tc>
      </w:tr>
      <w:tr w:rsidR="009E7571" w:rsidRPr="001E05F5" w14:paraId="63FADFAE" w14:textId="77777777" w:rsidTr="00E20967">
        <w:trPr>
          <w:gridAfter w:val="2"/>
          <w:wAfter w:w="26" w:type="dxa"/>
          <w:trHeight w:val="288"/>
        </w:trPr>
        <w:tc>
          <w:tcPr>
            <w:tcW w:w="1028" w:type="dxa"/>
            <w:vMerge/>
            <w:vAlign w:val="center"/>
            <w:hideMark/>
          </w:tcPr>
          <w:p w14:paraId="6FE5B72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AAFA82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1FD2FCD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C3ABD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47308E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C29E29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DE645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36020B3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0775F6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537506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4B7FF7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-0.3%</w:t>
            </w:r>
          </w:p>
        </w:tc>
        <w:tc>
          <w:tcPr>
            <w:tcW w:w="867" w:type="dxa"/>
            <w:gridSpan w:val="2"/>
            <w:shd w:val="clear" w:color="auto" w:fill="auto"/>
            <w:noWrap/>
            <w:vAlign w:val="center"/>
            <w:hideMark/>
          </w:tcPr>
          <w:p w14:paraId="074EFA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w:t>
            </w:r>
          </w:p>
        </w:tc>
        <w:tc>
          <w:tcPr>
            <w:tcW w:w="867" w:type="dxa"/>
            <w:gridSpan w:val="2"/>
            <w:shd w:val="clear" w:color="auto" w:fill="auto"/>
            <w:noWrap/>
            <w:vAlign w:val="center"/>
            <w:hideMark/>
          </w:tcPr>
          <w:p w14:paraId="7BE724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000000" w:fill="FFFFCC"/>
            <w:noWrap/>
            <w:vAlign w:val="center"/>
            <w:hideMark/>
          </w:tcPr>
          <w:p w14:paraId="6D6FA8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-2.45%</w:t>
            </w:r>
          </w:p>
        </w:tc>
        <w:tc>
          <w:tcPr>
            <w:tcW w:w="867" w:type="dxa"/>
            <w:gridSpan w:val="2"/>
            <w:shd w:val="clear" w:color="auto" w:fill="auto"/>
            <w:noWrap/>
            <w:vAlign w:val="center"/>
            <w:hideMark/>
          </w:tcPr>
          <w:p w14:paraId="6F9D2F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7C2E236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1110F79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52F644B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4CB75F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31CDDF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41FACB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c>
          <w:tcPr>
            <w:tcW w:w="867" w:type="dxa"/>
            <w:gridSpan w:val="2"/>
            <w:shd w:val="clear" w:color="auto" w:fill="auto"/>
            <w:noWrap/>
            <w:vAlign w:val="center"/>
            <w:hideMark/>
          </w:tcPr>
          <w:p w14:paraId="4D7030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w:t>
            </w:r>
          </w:p>
        </w:tc>
      </w:tr>
      <w:tr w:rsidR="00D46E3A" w:rsidRPr="001E05F5" w14:paraId="35A283AC" w14:textId="77777777" w:rsidTr="00E20967">
        <w:trPr>
          <w:gridAfter w:val="2"/>
          <w:wAfter w:w="26" w:type="dxa"/>
          <w:trHeight w:val="288"/>
        </w:trPr>
        <w:tc>
          <w:tcPr>
            <w:tcW w:w="1028" w:type="dxa"/>
            <w:vMerge/>
            <w:vAlign w:val="center"/>
            <w:hideMark/>
          </w:tcPr>
          <w:p w14:paraId="2A63F5E5"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7DD2A4E"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5AACE38D"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-5.9%</w:t>
            </w:r>
          </w:p>
        </w:tc>
      </w:tr>
      <w:tr w:rsidR="009E7571" w:rsidRPr="001E05F5" w14:paraId="78E09D29"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36A22318" w14:textId="77777777" w:rsidR="009E7571" w:rsidRPr="001E05F5" w:rsidRDefault="009E7571" w:rsidP="00E20967">
            <w:pPr>
              <w:keepNext/>
              <w:keepLines/>
              <w:spacing w:after="0" w:line="240" w:lineRule="auto"/>
              <w:rPr>
                <w:rFonts w:cs="Arial"/>
                <w:b/>
                <w:color w:val="000000"/>
                <w:sz w:val="18"/>
                <w:szCs w:val="18"/>
                <w:lang w:eastAsia="en-GB"/>
              </w:rPr>
            </w:pPr>
            <w:r w:rsidRPr="001E05F5">
              <w:rPr>
                <w:rFonts w:cs="Arial"/>
                <w:b/>
                <w:color w:val="000000"/>
                <w:sz w:val="18"/>
                <w:szCs w:val="18"/>
                <w:lang w:eastAsia="en-GB"/>
              </w:rPr>
              <w:lastRenderedPageBreak/>
              <w:t>Scenario 3e</w:t>
            </w:r>
          </w:p>
        </w:tc>
        <w:tc>
          <w:tcPr>
            <w:tcW w:w="1129" w:type="dxa"/>
            <w:shd w:val="clear" w:color="auto" w:fill="D9D9D9" w:themeFill="background1" w:themeFillShade="D9"/>
            <w:noWrap/>
            <w:vAlign w:val="center"/>
            <w:hideMark/>
          </w:tcPr>
          <w:p w14:paraId="05291FBF"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15B39591"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257D917A"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5D42B8D4"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63B9901B"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60DA35A5"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2E48F2FA"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3F9E3A36"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342BF7D8"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15CFE539"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639987AF"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13F72576"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0B64CE07"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354091D3"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092716BC"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3B9FDDEC"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7F118657"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5E5BAF1D"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7E59E0F2"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591795F4" w14:textId="77777777" w:rsidR="009E7571" w:rsidRPr="001E05F5" w:rsidRDefault="009E7571" w:rsidP="00E20967">
            <w:pPr>
              <w:keepNext/>
              <w:keepLines/>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7B09AD3F" w14:textId="77777777" w:rsidTr="00E20967">
        <w:trPr>
          <w:gridAfter w:val="2"/>
          <w:wAfter w:w="26" w:type="dxa"/>
          <w:trHeight w:val="288"/>
        </w:trPr>
        <w:tc>
          <w:tcPr>
            <w:tcW w:w="1028" w:type="dxa"/>
            <w:vMerge w:val="restart"/>
            <w:shd w:val="clear" w:color="auto" w:fill="auto"/>
            <w:vAlign w:val="center"/>
            <w:hideMark/>
          </w:tcPr>
          <w:p w14:paraId="5BFA20D5" w14:textId="77777777" w:rsidR="000B6808" w:rsidRPr="001E05F5" w:rsidRDefault="000B6808" w:rsidP="00E20967">
            <w:pPr>
              <w:keepNext/>
              <w:keepLines/>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25CA7DCC" w14:textId="77777777" w:rsidR="000B6808" w:rsidRPr="001E05F5" w:rsidRDefault="000B6808" w:rsidP="00E20967">
            <w:pPr>
              <w:keepNext/>
              <w:keepLines/>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6448BC98"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557809FB"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7923B833"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6A5E6A72"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4326833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350,790</w:t>
            </w:r>
          </w:p>
        </w:tc>
        <w:tc>
          <w:tcPr>
            <w:tcW w:w="867" w:type="dxa"/>
            <w:gridSpan w:val="2"/>
            <w:shd w:val="clear" w:color="auto" w:fill="auto"/>
            <w:noWrap/>
            <w:vAlign w:val="center"/>
            <w:hideMark/>
          </w:tcPr>
          <w:p w14:paraId="37857D3F"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352,764</w:t>
            </w:r>
          </w:p>
        </w:tc>
        <w:tc>
          <w:tcPr>
            <w:tcW w:w="867" w:type="dxa"/>
            <w:gridSpan w:val="2"/>
            <w:shd w:val="clear" w:color="auto" w:fill="auto"/>
            <w:noWrap/>
            <w:vAlign w:val="center"/>
            <w:hideMark/>
          </w:tcPr>
          <w:p w14:paraId="1722BBA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354,667</w:t>
            </w:r>
          </w:p>
        </w:tc>
        <w:tc>
          <w:tcPr>
            <w:tcW w:w="867" w:type="dxa"/>
            <w:gridSpan w:val="2"/>
            <w:shd w:val="clear" w:color="auto" w:fill="auto"/>
            <w:noWrap/>
            <w:vAlign w:val="center"/>
            <w:hideMark/>
          </w:tcPr>
          <w:p w14:paraId="2A866A8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356,433</w:t>
            </w:r>
          </w:p>
        </w:tc>
        <w:tc>
          <w:tcPr>
            <w:tcW w:w="867" w:type="dxa"/>
            <w:gridSpan w:val="2"/>
            <w:shd w:val="clear" w:color="auto" w:fill="auto"/>
            <w:noWrap/>
            <w:vAlign w:val="center"/>
            <w:hideMark/>
          </w:tcPr>
          <w:p w14:paraId="01B1D454"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358,221</w:t>
            </w:r>
          </w:p>
        </w:tc>
        <w:tc>
          <w:tcPr>
            <w:tcW w:w="867" w:type="dxa"/>
            <w:gridSpan w:val="2"/>
            <w:shd w:val="clear" w:color="auto" w:fill="auto"/>
            <w:noWrap/>
            <w:vAlign w:val="center"/>
            <w:hideMark/>
          </w:tcPr>
          <w:p w14:paraId="1E2B43BB"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360,011</w:t>
            </w:r>
          </w:p>
        </w:tc>
        <w:tc>
          <w:tcPr>
            <w:tcW w:w="867" w:type="dxa"/>
            <w:gridSpan w:val="2"/>
            <w:shd w:val="clear" w:color="auto" w:fill="auto"/>
            <w:noWrap/>
            <w:vAlign w:val="center"/>
            <w:hideMark/>
          </w:tcPr>
          <w:p w14:paraId="7CD20CA9"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361,909</w:t>
            </w:r>
          </w:p>
        </w:tc>
        <w:tc>
          <w:tcPr>
            <w:tcW w:w="867" w:type="dxa"/>
            <w:gridSpan w:val="2"/>
            <w:shd w:val="clear" w:color="000000" w:fill="FFFFCC"/>
            <w:noWrap/>
            <w:vAlign w:val="center"/>
            <w:hideMark/>
          </w:tcPr>
          <w:p w14:paraId="213CBB4A"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363,723</w:t>
            </w:r>
          </w:p>
        </w:tc>
        <w:tc>
          <w:tcPr>
            <w:tcW w:w="867" w:type="dxa"/>
            <w:gridSpan w:val="2"/>
            <w:shd w:val="clear" w:color="auto" w:fill="auto"/>
            <w:noWrap/>
            <w:vAlign w:val="center"/>
            <w:hideMark/>
          </w:tcPr>
          <w:p w14:paraId="31E9BE28"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365,503</w:t>
            </w:r>
          </w:p>
        </w:tc>
        <w:tc>
          <w:tcPr>
            <w:tcW w:w="867" w:type="dxa"/>
            <w:gridSpan w:val="2"/>
            <w:shd w:val="clear" w:color="auto" w:fill="auto"/>
            <w:noWrap/>
            <w:vAlign w:val="center"/>
            <w:hideMark/>
          </w:tcPr>
          <w:p w14:paraId="6F30C7D0"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367,225</w:t>
            </w:r>
          </w:p>
        </w:tc>
        <w:tc>
          <w:tcPr>
            <w:tcW w:w="867" w:type="dxa"/>
            <w:gridSpan w:val="2"/>
            <w:shd w:val="clear" w:color="auto" w:fill="auto"/>
            <w:noWrap/>
            <w:vAlign w:val="center"/>
            <w:hideMark/>
          </w:tcPr>
          <w:p w14:paraId="3D6E7B1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368,935</w:t>
            </w:r>
          </w:p>
        </w:tc>
        <w:tc>
          <w:tcPr>
            <w:tcW w:w="867" w:type="dxa"/>
            <w:gridSpan w:val="2"/>
            <w:shd w:val="clear" w:color="auto" w:fill="auto"/>
            <w:noWrap/>
            <w:vAlign w:val="center"/>
            <w:hideMark/>
          </w:tcPr>
          <w:p w14:paraId="5275C773"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370,722</w:t>
            </w:r>
          </w:p>
        </w:tc>
        <w:tc>
          <w:tcPr>
            <w:tcW w:w="867" w:type="dxa"/>
            <w:gridSpan w:val="2"/>
            <w:shd w:val="clear" w:color="auto" w:fill="auto"/>
            <w:noWrap/>
            <w:vAlign w:val="center"/>
            <w:hideMark/>
          </w:tcPr>
          <w:p w14:paraId="0B715E4C"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372,398</w:t>
            </w:r>
          </w:p>
        </w:tc>
        <w:tc>
          <w:tcPr>
            <w:tcW w:w="867" w:type="dxa"/>
            <w:gridSpan w:val="2"/>
            <w:shd w:val="clear" w:color="auto" w:fill="auto"/>
            <w:noWrap/>
            <w:vAlign w:val="center"/>
            <w:hideMark/>
          </w:tcPr>
          <w:p w14:paraId="173B4315"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374,053</w:t>
            </w:r>
          </w:p>
        </w:tc>
        <w:tc>
          <w:tcPr>
            <w:tcW w:w="867" w:type="dxa"/>
            <w:gridSpan w:val="2"/>
            <w:shd w:val="clear" w:color="auto" w:fill="auto"/>
            <w:noWrap/>
            <w:vAlign w:val="center"/>
            <w:hideMark/>
          </w:tcPr>
          <w:p w14:paraId="57893C51"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375,603</w:t>
            </w:r>
          </w:p>
        </w:tc>
        <w:tc>
          <w:tcPr>
            <w:tcW w:w="867" w:type="dxa"/>
            <w:gridSpan w:val="2"/>
            <w:shd w:val="clear" w:color="auto" w:fill="auto"/>
            <w:noWrap/>
            <w:vAlign w:val="center"/>
            <w:hideMark/>
          </w:tcPr>
          <w:p w14:paraId="46DBD866" w14:textId="77777777" w:rsidR="000B6808" w:rsidRPr="001E05F5" w:rsidRDefault="000B6808" w:rsidP="00E20967">
            <w:pPr>
              <w:keepNext/>
              <w:keepLines/>
              <w:spacing w:after="0" w:line="240" w:lineRule="auto"/>
              <w:jc w:val="right"/>
              <w:rPr>
                <w:rFonts w:cs="Arial"/>
                <w:color w:val="000000"/>
                <w:sz w:val="18"/>
                <w:szCs w:val="18"/>
                <w:lang w:eastAsia="en-GB"/>
              </w:rPr>
            </w:pPr>
            <w:r w:rsidRPr="001E05F5">
              <w:rPr>
                <w:rFonts w:cs="Arial"/>
                <w:color w:val="000000"/>
                <w:sz w:val="18"/>
                <w:szCs w:val="18"/>
                <w:lang w:eastAsia="en-GB"/>
              </w:rPr>
              <w:t>377,166</w:t>
            </w:r>
          </w:p>
        </w:tc>
      </w:tr>
      <w:tr w:rsidR="009E7571" w:rsidRPr="001E05F5" w14:paraId="71974968" w14:textId="77777777" w:rsidTr="00E20967">
        <w:trPr>
          <w:gridAfter w:val="2"/>
          <w:wAfter w:w="26" w:type="dxa"/>
          <w:trHeight w:val="288"/>
        </w:trPr>
        <w:tc>
          <w:tcPr>
            <w:tcW w:w="1028" w:type="dxa"/>
            <w:vMerge/>
            <w:vAlign w:val="center"/>
            <w:hideMark/>
          </w:tcPr>
          <w:p w14:paraId="3D48552E"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AF892F7"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4D2ACB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7DD26D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0CD0DF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4412F5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266D4E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46.2%</w:t>
            </w:r>
          </w:p>
        </w:tc>
        <w:tc>
          <w:tcPr>
            <w:tcW w:w="867" w:type="dxa"/>
            <w:gridSpan w:val="2"/>
            <w:shd w:val="clear" w:color="auto" w:fill="auto"/>
            <w:noWrap/>
            <w:vAlign w:val="center"/>
            <w:hideMark/>
          </w:tcPr>
          <w:p w14:paraId="4A6013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46.3%</w:t>
            </w:r>
          </w:p>
        </w:tc>
        <w:tc>
          <w:tcPr>
            <w:tcW w:w="867" w:type="dxa"/>
            <w:gridSpan w:val="2"/>
            <w:shd w:val="clear" w:color="auto" w:fill="auto"/>
            <w:noWrap/>
            <w:vAlign w:val="center"/>
            <w:hideMark/>
          </w:tcPr>
          <w:p w14:paraId="62C84BE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46.3%</w:t>
            </w:r>
          </w:p>
        </w:tc>
        <w:tc>
          <w:tcPr>
            <w:tcW w:w="867" w:type="dxa"/>
            <w:gridSpan w:val="2"/>
            <w:shd w:val="clear" w:color="auto" w:fill="auto"/>
            <w:noWrap/>
            <w:vAlign w:val="center"/>
            <w:hideMark/>
          </w:tcPr>
          <w:p w14:paraId="391446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46.4%</w:t>
            </w:r>
          </w:p>
        </w:tc>
        <w:tc>
          <w:tcPr>
            <w:tcW w:w="867" w:type="dxa"/>
            <w:gridSpan w:val="2"/>
            <w:shd w:val="clear" w:color="auto" w:fill="auto"/>
            <w:noWrap/>
            <w:vAlign w:val="center"/>
            <w:hideMark/>
          </w:tcPr>
          <w:p w14:paraId="59D0C4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46.5%</w:t>
            </w:r>
          </w:p>
        </w:tc>
        <w:tc>
          <w:tcPr>
            <w:tcW w:w="867" w:type="dxa"/>
            <w:gridSpan w:val="2"/>
            <w:shd w:val="clear" w:color="auto" w:fill="auto"/>
            <w:noWrap/>
            <w:vAlign w:val="center"/>
            <w:hideMark/>
          </w:tcPr>
          <w:p w14:paraId="391529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46.5%</w:t>
            </w:r>
          </w:p>
        </w:tc>
        <w:tc>
          <w:tcPr>
            <w:tcW w:w="867" w:type="dxa"/>
            <w:gridSpan w:val="2"/>
            <w:shd w:val="clear" w:color="auto" w:fill="auto"/>
            <w:noWrap/>
            <w:vAlign w:val="center"/>
            <w:hideMark/>
          </w:tcPr>
          <w:p w14:paraId="7BEB2C6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46.6%</w:t>
            </w:r>
          </w:p>
        </w:tc>
        <w:tc>
          <w:tcPr>
            <w:tcW w:w="867" w:type="dxa"/>
            <w:gridSpan w:val="2"/>
            <w:shd w:val="clear" w:color="000000" w:fill="FFFFCC"/>
            <w:noWrap/>
            <w:vAlign w:val="center"/>
            <w:hideMark/>
          </w:tcPr>
          <w:p w14:paraId="081446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46.7%</w:t>
            </w:r>
          </w:p>
        </w:tc>
        <w:tc>
          <w:tcPr>
            <w:tcW w:w="867" w:type="dxa"/>
            <w:gridSpan w:val="2"/>
            <w:shd w:val="clear" w:color="auto" w:fill="auto"/>
            <w:noWrap/>
            <w:vAlign w:val="center"/>
            <w:hideMark/>
          </w:tcPr>
          <w:p w14:paraId="0CD28B6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46.7%</w:t>
            </w:r>
          </w:p>
        </w:tc>
        <w:tc>
          <w:tcPr>
            <w:tcW w:w="867" w:type="dxa"/>
            <w:gridSpan w:val="2"/>
            <w:shd w:val="clear" w:color="auto" w:fill="auto"/>
            <w:noWrap/>
            <w:vAlign w:val="center"/>
            <w:hideMark/>
          </w:tcPr>
          <w:p w14:paraId="043A78C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auto" w:fill="auto"/>
            <w:noWrap/>
            <w:vAlign w:val="center"/>
            <w:hideMark/>
          </w:tcPr>
          <w:p w14:paraId="523786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auto" w:fill="auto"/>
            <w:noWrap/>
            <w:vAlign w:val="center"/>
            <w:hideMark/>
          </w:tcPr>
          <w:p w14:paraId="373DA4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46.7%</w:t>
            </w:r>
          </w:p>
        </w:tc>
        <w:tc>
          <w:tcPr>
            <w:tcW w:w="867" w:type="dxa"/>
            <w:gridSpan w:val="2"/>
            <w:shd w:val="clear" w:color="auto" w:fill="auto"/>
            <w:noWrap/>
            <w:vAlign w:val="center"/>
            <w:hideMark/>
          </w:tcPr>
          <w:p w14:paraId="52E44D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46.7%</w:t>
            </w:r>
          </w:p>
        </w:tc>
        <w:tc>
          <w:tcPr>
            <w:tcW w:w="867" w:type="dxa"/>
            <w:gridSpan w:val="2"/>
            <w:shd w:val="clear" w:color="auto" w:fill="auto"/>
            <w:noWrap/>
            <w:vAlign w:val="center"/>
            <w:hideMark/>
          </w:tcPr>
          <w:p w14:paraId="1B87C0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46.7%</w:t>
            </w:r>
          </w:p>
        </w:tc>
        <w:tc>
          <w:tcPr>
            <w:tcW w:w="867" w:type="dxa"/>
            <w:gridSpan w:val="2"/>
            <w:shd w:val="clear" w:color="auto" w:fill="auto"/>
            <w:noWrap/>
            <w:vAlign w:val="center"/>
            <w:hideMark/>
          </w:tcPr>
          <w:p w14:paraId="41E086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46.7%</w:t>
            </w:r>
          </w:p>
        </w:tc>
        <w:tc>
          <w:tcPr>
            <w:tcW w:w="867" w:type="dxa"/>
            <w:gridSpan w:val="2"/>
            <w:shd w:val="clear" w:color="auto" w:fill="auto"/>
            <w:noWrap/>
            <w:vAlign w:val="center"/>
            <w:hideMark/>
          </w:tcPr>
          <w:p w14:paraId="5D8FD2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46.6%</w:t>
            </w:r>
          </w:p>
        </w:tc>
      </w:tr>
      <w:tr w:rsidR="009E7571" w:rsidRPr="001E05F5" w14:paraId="434C5182" w14:textId="77777777" w:rsidTr="00E20967">
        <w:trPr>
          <w:gridAfter w:val="2"/>
          <w:wAfter w:w="26" w:type="dxa"/>
          <w:trHeight w:val="288"/>
        </w:trPr>
        <w:tc>
          <w:tcPr>
            <w:tcW w:w="1028" w:type="dxa"/>
            <w:vMerge/>
            <w:vAlign w:val="center"/>
            <w:hideMark/>
          </w:tcPr>
          <w:p w14:paraId="53E7FE6F"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618D8A5"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023BF0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507819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A65D34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F6632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EB36E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49449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7C5E4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DC9E2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0501EE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61789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3FFC0B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000000" w:fill="FFFFCC"/>
            <w:noWrap/>
            <w:vAlign w:val="center"/>
            <w:hideMark/>
          </w:tcPr>
          <w:p w14:paraId="4364FD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44F4CA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413D6E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6CC317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361E9E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2E56D9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54D085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5E8D6E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c>
          <w:tcPr>
            <w:tcW w:w="867" w:type="dxa"/>
            <w:gridSpan w:val="2"/>
            <w:shd w:val="clear" w:color="auto" w:fill="auto"/>
            <w:noWrap/>
            <w:vAlign w:val="center"/>
            <w:hideMark/>
          </w:tcPr>
          <w:p w14:paraId="72C3241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89.5%</w:t>
            </w:r>
          </w:p>
        </w:tc>
      </w:tr>
      <w:tr w:rsidR="009E7571" w:rsidRPr="001E05F5" w14:paraId="25AC21C8" w14:textId="77777777" w:rsidTr="00E20967">
        <w:trPr>
          <w:gridAfter w:val="2"/>
          <w:wAfter w:w="26" w:type="dxa"/>
          <w:trHeight w:val="288"/>
        </w:trPr>
        <w:tc>
          <w:tcPr>
            <w:tcW w:w="1028" w:type="dxa"/>
            <w:vMerge/>
            <w:vAlign w:val="center"/>
            <w:hideMark/>
          </w:tcPr>
          <w:p w14:paraId="61DFC942"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138CB6E"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5AE12EB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0BCA616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6E0758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AEE31C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0EF7DA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5594F0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4DCE29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791A7D0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083B162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5DCD17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1FFE16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000000" w:fill="FFFFCC"/>
            <w:noWrap/>
            <w:vAlign w:val="center"/>
            <w:hideMark/>
          </w:tcPr>
          <w:p w14:paraId="71A767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3E3A1D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569D959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768035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2F999D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333640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4355D1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4E6575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25616D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r>
      <w:tr w:rsidR="00D46E3A" w:rsidRPr="001E05F5" w14:paraId="6B3DD148" w14:textId="77777777" w:rsidTr="00E20967">
        <w:trPr>
          <w:gridAfter w:val="1"/>
          <w:wAfter w:w="13" w:type="dxa"/>
          <w:trHeight w:val="288"/>
        </w:trPr>
        <w:tc>
          <w:tcPr>
            <w:tcW w:w="1028" w:type="dxa"/>
            <w:vMerge/>
            <w:vAlign w:val="center"/>
            <w:hideMark/>
          </w:tcPr>
          <w:p w14:paraId="5798CF92"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C5FECAF"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2707A47B"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£490,596,307</w:t>
            </w:r>
          </w:p>
        </w:tc>
      </w:tr>
      <w:tr w:rsidR="009E7571" w:rsidRPr="001E05F5" w14:paraId="7138622A" w14:textId="77777777" w:rsidTr="00E20967">
        <w:trPr>
          <w:gridAfter w:val="2"/>
          <w:wAfter w:w="26" w:type="dxa"/>
          <w:trHeight w:val="288"/>
        </w:trPr>
        <w:tc>
          <w:tcPr>
            <w:tcW w:w="1028" w:type="dxa"/>
            <w:vMerge w:val="restart"/>
            <w:shd w:val="clear" w:color="auto" w:fill="auto"/>
            <w:vAlign w:val="center"/>
            <w:hideMark/>
          </w:tcPr>
          <w:p w14:paraId="3D92A5C0"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3DED947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5E663B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31110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0BC511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37FDA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AE14BE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02ADF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77BAC2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2D2A8B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76A0890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07B552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222DA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000000" w:fill="FFFFCC"/>
            <w:noWrap/>
            <w:vAlign w:val="center"/>
            <w:hideMark/>
          </w:tcPr>
          <w:p w14:paraId="1E1966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-1.97%</w:t>
            </w:r>
          </w:p>
        </w:tc>
        <w:tc>
          <w:tcPr>
            <w:tcW w:w="867" w:type="dxa"/>
            <w:gridSpan w:val="2"/>
            <w:shd w:val="clear" w:color="auto" w:fill="auto"/>
            <w:noWrap/>
            <w:vAlign w:val="center"/>
            <w:hideMark/>
          </w:tcPr>
          <w:p w14:paraId="4F80773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0E69FE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135085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132672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4515D5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71A0494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2D284D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7E3FD0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r>
      <w:tr w:rsidR="009E7571" w:rsidRPr="001E05F5" w14:paraId="2BD721F5" w14:textId="77777777" w:rsidTr="00E20967">
        <w:trPr>
          <w:gridAfter w:val="2"/>
          <w:wAfter w:w="26" w:type="dxa"/>
          <w:trHeight w:val="288"/>
        </w:trPr>
        <w:tc>
          <w:tcPr>
            <w:tcW w:w="1028" w:type="dxa"/>
            <w:vMerge/>
            <w:vAlign w:val="center"/>
            <w:hideMark/>
          </w:tcPr>
          <w:p w14:paraId="1B1ACE63"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E6C597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4DB04E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FAFD2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72B10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A1E37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43EC4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12.1%</w:t>
            </w:r>
          </w:p>
        </w:tc>
        <w:tc>
          <w:tcPr>
            <w:tcW w:w="867" w:type="dxa"/>
            <w:gridSpan w:val="2"/>
            <w:shd w:val="clear" w:color="auto" w:fill="auto"/>
            <w:noWrap/>
            <w:vAlign w:val="center"/>
            <w:hideMark/>
          </w:tcPr>
          <w:p w14:paraId="16FBA07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12.2%</w:t>
            </w:r>
          </w:p>
        </w:tc>
        <w:tc>
          <w:tcPr>
            <w:tcW w:w="867" w:type="dxa"/>
            <w:gridSpan w:val="2"/>
            <w:shd w:val="clear" w:color="auto" w:fill="auto"/>
            <w:noWrap/>
            <w:vAlign w:val="center"/>
            <w:hideMark/>
          </w:tcPr>
          <w:p w14:paraId="4E46FD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12.3%</w:t>
            </w:r>
          </w:p>
        </w:tc>
        <w:tc>
          <w:tcPr>
            <w:tcW w:w="867" w:type="dxa"/>
            <w:gridSpan w:val="2"/>
            <w:shd w:val="clear" w:color="auto" w:fill="auto"/>
            <w:noWrap/>
            <w:vAlign w:val="center"/>
            <w:hideMark/>
          </w:tcPr>
          <w:p w14:paraId="146681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12.4%</w:t>
            </w:r>
          </w:p>
        </w:tc>
        <w:tc>
          <w:tcPr>
            <w:tcW w:w="867" w:type="dxa"/>
            <w:gridSpan w:val="2"/>
            <w:shd w:val="clear" w:color="auto" w:fill="auto"/>
            <w:noWrap/>
            <w:vAlign w:val="center"/>
            <w:hideMark/>
          </w:tcPr>
          <w:p w14:paraId="3B8B007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12.5%</w:t>
            </w:r>
          </w:p>
        </w:tc>
        <w:tc>
          <w:tcPr>
            <w:tcW w:w="867" w:type="dxa"/>
            <w:gridSpan w:val="2"/>
            <w:shd w:val="clear" w:color="auto" w:fill="auto"/>
            <w:noWrap/>
            <w:vAlign w:val="center"/>
            <w:hideMark/>
          </w:tcPr>
          <w:p w14:paraId="5E9E2E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12.6%</w:t>
            </w:r>
          </w:p>
        </w:tc>
        <w:tc>
          <w:tcPr>
            <w:tcW w:w="867" w:type="dxa"/>
            <w:gridSpan w:val="2"/>
            <w:shd w:val="clear" w:color="auto" w:fill="auto"/>
            <w:noWrap/>
            <w:vAlign w:val="center"/>
            <w:hideMark/>
          </w:tcPr>
          <w:p w14:paraId="756E7B1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12.7%</w:t>
            </w:r>
          </w:p>
        </w:tc>
        <w:tc>
          <w:tcPr>
            <w:tcW w:w="867" w:type="dxa"/>
            <w:gridSpan w:val="2"/>
            <w:shd w:val="clear" w:color="000000" w:fill="FFFFCC"/>
            <w:noWrap/>
            <w:vAlign w:val="center"/>
            <w:hideMark/>
          </w:tcPr>
          <w:p w14:paraId="2A754D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12.8%</w:t>
            </w:r>
          </w:p>
        </w:tc>
        <w:tc>
          <w:tcPr>
            <w:tcW w:w="867" w:type="dxa"/>
            <w:gridSpan w:val="2"/>
            <w:shd w:val="clear" w:color="auto" w:fill="auto"/>
            <w:noWrap/>
            <w:vAlign w:val="center"/>
            <w:hideMark/>
          </w:tcPr>
          <w:p w14:paraId="713AF0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12.8%</w:t>
            </w:r>
          </w:p>
        </w:tc>
        <w:tc>
          <w:tcPr>
            <w:tcW w:w="867" w:type="dxa"/>
            <w:gridSpan w:val="2"/>
            <w:shd w:val="clear" w:color="auto" w:fill="auto"/>
            <w:noWrap/>
            <w:vAlign w:val="center"/>
            <w:hideMark/>
          </w:tcPr>
          <w:p w14:paraId="7D1B384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c>
          <w:tcPr>
            <w:tcW w:w="867" w:type="dxa"/>
            <w:gridSpan w:val="2"/>
            <w:shd w:val="clear" w:color="auto" w:fill="auto"/>
            <w:noWrap/>
            <w:vAlign w:val="center"/>
            <w:hideMark/>
          </w:tcPr>
          <w:p w14:paraId="184B7D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c>
          <w:tcPr>
            <w:tcW w:w="867" w:type="dxa"/>
            <w:gridSpan w:val="2"/>
            <w:shd w:val="clear" w:color="auto" w:fill="auto"/>
            <w:noWrap/>
            <w:vAlign w:val="center"/>
            <w:hideMark/>
          </w:tcPr>
          <w:p w14:paraId="231957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c>
          <w:tcPr>
            <w:tcW w:w="867" w:type="dxa"/>
            <w:gridSpan w:val="2"/>
            <w:shd w:val="clear" w:color="auto" w:fill="auto"/>
            <w:noWrap/>
            <w:vAlign w:val="center"/>
            <w:hideMark/>
          </w:tcPr>
          <w:p w14:paraId="1E4E4E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c>
          <w:tcPr>
            <w:tcW w:w="867" w:type="dxa"/>
            <w:gridSpan w:val="2"/>
            <w:shd w:val="clear" w:color="auto" w:fill="auto"/>
            <w:noWrap/>
            <w:vAlign w:val="center"/>
            <w:hideMark/>
          </w:tcPr>
          <w:p w14:paraId="3D1427D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c>
          <w:tcPr>
            <w:tcW w:w="867" w:type="dxa"/>
            <w:gridSpan w:val="2"/>
            <w:shd w:val="clear" w:color="auto" w:fill="auto"/>
            <w:noWrap/>
            <w:vAlign w:val="center"/>
            <w:hideMark/>
          </w:tcPr>
          <w:p w14:paraId="4949B0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c>
          <w:tcPr>
            <w:tcW w:w="867" w:type="dxa"/>
            <w:gridSpan w:val="2"/>
            <w:shd w:val="clear" w:color="auto" w:fill="auto"/>
            <w:noWrap/>
            <w:vAlign w:val="center"/>
            <w:hideMark/>
          </w:tcPr>
          <w:p w14:paraId="2B0CF9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r>
      <w:tr w:rsidR="009E7571" w:rsidRPr="001E05F5" w14:paraId="2F4E3D1F" w14:textId="77777777" w:rsidTr="00E20967">
        <w:trPr>
          <w:gridAfter w:val="2"/>
          <w:wAfter w:w="26" w:type="dxa"/>
          <w:trHeight w:val="288"/>
        </w:trPr>
        <w:tc>
          <w:tcPr>
            <w:tcW w:w="1028" w:type="dxa"/>
            <w:vMerge/>
            <w:vAlign w:val="center"/>
            <w:hideMark/>
          </w:tcPr>
          <w:p w14:paraId="773E8599"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498375E"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4E90E3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7744A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35B797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74F26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27BD1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331B2A9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43D7B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5B7FAD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E1F41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02A6A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64B0F2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000000" w:fill="FFFFCC"/>
            <w:noWrap/>
            <w:vAlign w:val="center"/>
            <w:hideMark/>
          </w:tcPr>
          <w:p w14:paraId="7890BCE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0.02%</w:t>
            </w:r>
          </w:p>
        </w:tc>
        <w:tc>
          <w:tcPr>
            <w:tcW w:w="867" w:type="dxa"/>
            <w:gridSpan w:val="2"/>
            <w:shd w:val="clear" w:color="auto" w:fill="auto"/>
            <w:noWrap/>
            <w:vAlign w:val="center"/>
            <w:hideMark/>
          </w:tcPr>
          <w:p w14:paraId="63ACE30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A8E8B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9863AD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D8D31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CB7FB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92586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F9CD9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F4B85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r>
      <w:tr w:rsidR="009E7571" w:rsidRPr="001E05F5" w14:paraId="0B2E8B39" w14:textId="77777777" w:rsidTr="00E20967">
        <w:trPr>
          <w:gridAfter w:val="2"/>
          <w:wAfter w:w="26" w:type="dxa"/>
          <w:trHeight w:val="288"/>
        </w:trPr>
        <w:tc>
          <w:tcPr>
            <w:tcW w:w="1028" w:type="dxa"/>
            <w:vMerge/>
            <w:vAlign w:val="center"/>
            <w:hideMark/>
          </w:tcPr>
          <w:p w14:paraId="678BA72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39760C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11695AB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1C9C17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41012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794474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E7FD0C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587935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3D07C16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6D9377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4D5066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20760B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6BB698B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000000" w:fill="FFFFCC"/>
            <w:noWrap/>
            <w:vAlign w:val="center"/>
            <w:hideMark/>
          </w:tcPr>
          <w:p w14:paraId="570D79F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3B0D290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02EC27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38B301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4646F27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2ACFE4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0486308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2AFF67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232630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r>
      <w:tr w:rsidR="00D46E3A" w:rsidRPr="001E05F5" w14:paraId="302F9572" w14:textId="77777777" w:rsidTr="00E20967">
        <w:trPr>
          <w:gridAfter w:val="2"/>
          <w:wAfter w:w="26" w:type="dxa"/>
          <w:trHeight w:val="288"/>
        </w:trPr>
        <w:tc>
          <w:tcPr>
            <w:tcW w:w="1028" w:type="dxa"/>
            <w:vMerge/>
            <w:vAlign w:val="center"/>
            <w:hideMark/>
          </w:tcPr>
          <w:p w14:paraId="139FCEDE"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4CFE739"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66E667F8"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-2.9%</w:t>
            </w:r>
          </w:p>
        </w:tc>
      </w:tr>
      <w:tr w:rsidR="009E7571" w:rsidRPr="001E05F5" w14:paraId="3FA9D47C"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2C851606"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3f</w:t>
            </w:r>
          </w:p>
        </w:tc>
        <w:tc>
          <w:tcPr>
            <w:tcW w:w="1129" w:type="dxa"/>
            <w:shd w:val="clear" w:color="auto" w:fill="D9D9D9" w:themeFill="background1" w:themeFillShade="D9"/>
            <w:noWrap/>
            <w:vAlign w:val="center"/>
            <w:hideMark/>
          </w:tcPr>
          <w:p w14:paraId="08AAB55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17FB267E"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1900747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4181822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206BDCF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65093A7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2E1594D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0CFAF3B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12655D0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55AE6DF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1FBDA52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4976804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6223B77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0F437A9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2AC2216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748881F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33EF1C9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77281BA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58B8BC5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421F23B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44034976" w14:textId="77777777" w:rsidTr="00E20967">
        <w:trPr>
          <w:gridAfter w:val="2"/>
          <w:wAfter w:w="26" w:type="dxa"/>
          <w:trHeight w:val="288"/>
        </w:trPr>
        <w:tc>
          <w:tcPr>
            <w:tcW w:w="1028" w:type="dxa"/>
            <w:vMerge w:val="restart"/>
            <w:shd w:val="clear" w:color="auto" w:fill="auto"/>
            <w:vAlign w:val="center"/>
            <w:hideMark/>
          </w:tcPr>
          <w:p w14:paraId="71496AF1"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28988DD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7F867F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65DD9C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01CB42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6DB210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633BF3D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350,790</w:t>
            </w:r>
          </w:p>
        </w:tc>
        <w:tc>
          <w:tcPr>
            <w:tcW w:w="867" w:type="dxa"/>
            <w:gridSpan w:val="2"/>
            <w:shd w:val="clear" w:color="auto" w:fill="auto"/>
            <w:noWrap/>
            <w:vAlign w:val="center"/>
            <w:hideMark/>
          </w:tcPr>
          <w:p w14:paraId="0E05C4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352,764</w:t>
            </w:r>
          </w:p>
        </w:tc>
        <w:tc>
          <w:tcPr>
            <w:tcW w:w="867" w:type="dxa"/>
            <w:gridSpan w:val="2"/>
            <w:shd w:val="clear" w:color="auto" w:fill="auto"/>
            <w:noWrap/>
            <w:vAlign w:val="center"/>
            <w:hideMark/>
          </w:tcPr>
          <w:p w14:paraId="0E538D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354,667</w:t>
            </w:r>
          </w:p>
        </w:tc>
        <w:tc>
          <w:tcPr>
            <w:tcW w:w="867" w:type="dxa"/>
            <w:gridSpan w:val="2"/>
            <w:shd w:val="clear" w:color="auto" w:fill="auto"/>
            <w:noWrap/>
            <w:vAlign w:val="center"/>
            <w:hideMark/>
          </w:tcPr>
          <w:p w14:paraId="366E0D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356,433</w:t>
            </w:r>
          </w:p>
        </w:tc>
        <w:tc>
          <w:tcPr>
            <w:tcW w:w="867" w:type="dxa"/>
            <w:gridSpan w:val="2"/>
            <w:shd w:val="clear" w:color="auto" w:fill="auto"/>
            <w:noWrap/>
            <w:vAlign w:val="center"/>
            <w:hideMark/>
          </w:tcPr>
          <w:p w14:paraId="3703B6D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358,221</w:t>
            </w:r>
          </w:p>
        </w:tc>
        <w:tc>
          <w:tcPr>
            <w:tcW w:w="867" w:type="dxa"/>
            <w:gridSpan w:val="2"/>
            <w:shd w:val="clear" w:color="auto" w:fill="auto"/>
            <w:noWrap/>
            <w:vAlign w:val="center"/>
            <w:hideMark/>
          </w:tcPr>
          <w:p w14:paraId="248A8B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360,011</w:t>
            </w:r>
          </w:p>
        </w:tc>
        <w:tc>
          <w:tcPr>
            <w:tcW w:w="867" w:type="dxa"/>
            <w:gridSpan w:val="2"/>
            <w:shd w:val="clear" w:color="auto" w:fill="auto"/>
            <w:noWrap/>
            <w:vAlign w:val="center"/>
            <w:hideMark/>
          </w:tcPr>
          <w:p w14:paraId="721C8A4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361,909</w:t>
            </w:r>
          </w:p>
        </w:tc>
        <w:tc>
          <w:tcPr>
            <w:tcW w:w="867" w:type="dxa"/>
            <w:gridSpan w:val="2"/>
            <w:shd w:val="clear" w:color="000000" w:fill="FFFFCC"/>
            <w:noWrap/>
            <w:vAlign w:val="center"/>
            <w:hideMark/>
          </w:tcPr>
          <w:p w14:paraId="4BF2260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363,723</w:t>
            </w:r>
          </w:p>
        </w:tc>
        <w:tc>
          <w:tcPr>
            <w:tcW w:w="867" w:type="dxa"/>
            <w:gridSpan w:val="2"/>
            <w:shd w:val="clear" w:color="auto" w:fill="auto"/>
            <w:noWrap/>
            <w:vAlign w:val="center"/>
            <w:hideMark/>
          </w:tcPr>
          <w:p w14:paraId="23AAB3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365,503</w:t>
            </w:r>
          </w:p>
        </w:tc>
        <w:tc>
          <w:tcPr>
            <w:tcW w:w="867" w:type="dxa"/>
            <w:gridSpan w:val="2"/>
            <w:shd w:val="clear" w:color="auto" w:fill="auto"/>
            <w:noWrap/>
            <w:vAlign w:val="center"/>
            <w:hideMark/>
          </w:tcPr>
          <w:p w14:paraId="66B86C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367,225</w:t>
            </w:r>
          </w:p>
        </w:tc>
        <w:tc>
          <w:tcPr>
            <w:tcW w:w="867" w:type="dxa"/>
            <w:gridSpan w:val="2"/>
            <w:shd w:val="clear" w:color="auto" w:fill="auto"/>
            <w:noWrap/>
            <w:vAlign w:val="center"/>
            <w:hideMark/>
          </w:tcPr>
          <w:p w14:paraId="4C325F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368,935</w:t>
            </w:r>
          </w:p>
        </w:tc>
        <w:tc>
          <w:tcPr>
            <w:tcW w:w="867" w:type="dxa"/>
            <w:gridSpan w:val="2"/>
            <w:shd w:val="clear" w:color="auto" w:fill="auto"/>
            <w:noWrap/>
            <w:vAlign w:val="center"/>
            <w:hideMark/>
          </w:tcPr>
          <w:p w14:paraId="438364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370,722</w:t>
            </w:r>
          </w:p>
        </w:tc>
        <w:tc>
          <w:tcPr>
            <w:tcW w:w="867" w:type="dxa"/>
            <w:gridSpan w:val="2"/>
            <w:shd w:val="clear" w:color="auto" w:fill="auto"/>
            <w:noWrap/>
            <w:vAlign w:val="center"/>
            <w:hideMark/>
          </w:tcPr>
          <w:p w14:paraId="22A56B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372,398</w:t>
            </w:r>
          </w:p>
        </w:tc>
        <w:tc>
          <w:tcPr>
            <w:tcW w:w="867" w:type="dxa"/>
            <w:gridSpan w:val="2"/>
            <w:shd w:val="clear" w:color="auto" w:fill="auto"/>
            <w:noWrap/>
            <w:vAlign w:val="center"/>
            <w:hideMark/>
          </w:tcPr>
          <w:p w14:paraId="3F1A17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374,053</w:t>
            </w:r>
          </w:p>
        </w:tc>
        <w:tc>
          <w:tcPr>
            <w:tcW w:w="867" w:type="dxa"/>
            <w:gridSpan w:val="2"/>
            <w:shd w:val="clear" w:color="auto" w:fill="auto"/>
            <w:noWrap/>
            <w:vAlign w:val="center"/>
            <w:hideMark/>
          </w:tcPr>
          <w:p w14:paraId="66F3D3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375,603</w:t>
            </w:r>
          </w:p>
        </w:tc>
        <w:tc>
          <w:tcPr>
            <w:tcW w:w="867" w:type="dxa"/>
            <w:gridSpan w:val="2"/>
            <w:shd w:val="clear" w:color="auto" w:fill="auto"/>
            <w:noWrap/>
            <w:vAlign w:val="center"/>
            <w:hideMark/>
          </w:tcPr>
          <w:p w14:paraId="3314E7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377,166</w:t>
            </w:r>
          </w:p>
        </w:tc>
      </w:tr>
      <w:tr w:rsidR="009E7571" w:rsidRPr="001E05F5" w14:paraId="68A8739B" w14:textId="77777777" w:rsidTr="00E20967">
        <w:trPr>
          <w:gridAfter w:val="2"/>
          <w:wAfter w:w="26" w:type="dxa"/>
          <w:trHeight w:val="288"/>
        </w:trPr>
        <w:tc>
          <w:tcPr>
            <w:tcW w:w="1028" w:type="dxa"/>
            <w:vMerge/>
            <w:vAlign w:val="center"/>
            <w:hideMark/>
          </w:tcPr>
          <w:p w14:paraId="4D2613C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8D17FF3"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282672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65F5488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0DED77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6A08BC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6C473B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46.2%</w:t>
            </w:r>
          </w:p>
        </w:tc>
        <w:tc>
          <w:tcPr>
            <w:tcW w:w="867" w:type="dxa"/>
            <w:gridSpan w:val="2"/>
            <w:shd w:val="clear" w:color="auto" w:fill="auto"/>
            <w:noWrap/>
            <w:vAlign w:val="center"/>
            <w:hideMark/>
          </w:tcPr>
          <w:p w14:paraId="03BFDF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46.3%</w:t>
            </w:r>
          </w:p>
        </w:tc>
        <w:tc>
          <w:tcPr>
            <w:tcW w:w="867" w:type="dxa"/>
            <w:gridSpan w:val="2"/>
            <w:shd w:val="clear" w:color="auto" w:fill="auto"/>
            <w:noWrap/>
            <w:vAlign w:val="center"/>
            <w:hideMark/>
          </w:tcPr>
          <w:p w14:paraId="72DBD0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46.3%</w:t>
            </w:r>
          </w:p>
        </w:tc>
        <w:tc>
          <w:tcPr>
            <w:tcW w:w="867" w:type="dxa"/>
            <w:gridSpan w:val="2"/>
            <w:shd w:val="clear" w:color="auto" w:fill="auto"/>
            <w:noWrap/>
            <w:vAlign w:val="center"/>
            <w:hideMark/>
          </w:tcPr>
          <w:p w14:paraId="75EC10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46.4%</w:t>
            </w:r>
          </w:p>
        </w:tc>
        <w:tc>
          <w:tcPr>
            <w:tcW w:w="867" w:type="dxa"/>
            <w:gridSpan w:val="2"/>
            <w:shd w:val="clear" w:color="auto" w:fill="auto"/>
            <w:noWrap/>
            <w:vAlign w:val="center"/>
            <w:hideMark/>
          </w:tcPr>
          <w:p w14:paraId="7C3F4C7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46.5%</w:t>
            </w:r>
          </w:p>
        </w:tc>
        <w:tc>
          <w:tcPr>
            <w:tcW w:w="867" w:type="dxa"/>
            <w:gridSpan w:val="2"/>
            <w:shd w:val="clear" w:color="auto" w:fill="auto"/>
            <w:noWrap/>
            <w:vAlign w:val="center"/>
            <w:hideMark/>
          </w:tcPr>
          <w:p w14:paraId="236538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46.7%</w:t>
            </w:r>
          </w:p>
        </w:tc>
        <w:tc>
          <w:tcPr>
            <w:tcW w:w="867" w:type="dxa"/>
            <w:gridSpan w:val="2"/>
            <w:shd w:val="clear" w:color="auto" w:fill="auto"/>
            <w:noWrap/>
            <w:vAlign w:val="center"/>
            <w:hideMark/>
          </w:tcPr>
          <w:p w14:paraId="7D34E3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000000" w:fill="FFFFCC"/>
            <w:noWrap/>
            <w:vAlign w:val="center"/>
            <w:hideMark/>
          </w:tcPr>
          <w:p w14:paraId="710312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auto" w:fill="auto"/>
            <w:noWrap/>
            <w:vAlign w:val="center"/>
            <w:hideMark/>
          </w:tcPr>
          <w:p w14:paraId="1DFC7AB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79FC42E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47.0%</w:t>
            </w:r>
          </w:p>
        </w:tc>
        <w:tc>
          <w:tcPr>
            <w:tcW w:w="867" w:type="dxa"/>
            <w:gridSpan w:val="2"/>
            <w:shd w:val="clear" w:color="auto" w:fill="auto"/>
            <w:noWrap/>
            <w:vAlign w:val="center"/>
            <w:hideMark/>
          </w:tcPr>
          <w:p w14:paraId="5D9F66E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473B240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42E2DD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14636AC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4503DF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auto" w:fill="auto"/>
            <w:noWrap/>
            <w:vAlign w:val="center"/>
            <w:hideMark/>
          </w:tcPr>
          <w:p w14:paraId="40B486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r>
      <w:tr w:rsidR="009E7571" w:rsidRPr="001E05F5" w14:paraId="641C86DD" w14:textId="77777777" w:rsidTr="00E20967">
        <w:trPr>
          <w:gridAfter w:val="2"/>
          <w:wAfter w:w="26" w:type="dxa"/>
          <w:trHeight w:val="288"/>
        </w:trPr>
        <w:tc>
          <w:tcPr>
            <w:tcW w:w="1028" w:type="dxa"/>
            <w:vMerge/>
            <w:vAlign w:val="center"/>
            <w:hideMark/>
          </w:tcPr>
          <w:p w14:paraId="2167EEC8"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2B40309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58950B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68D6487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7FA6ED6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41EE38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6B00F7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F20DB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4A8CD68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180DEA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68EB2A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0D64B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93.0%</w:t>
            </w:r>
          </w:p>
        </w:tc>
        <w:tc>
          <w:tcPr>
            <w:tcW w:w="867" w:type="dxa"/>
            <w:gridSpan w:val="2"/>
            <w:shd w:val="clear" w:color="auto" w:fill="auto"/>
            <w:noWrap/>
            <w:vAlign w:val="center"/>
            <w:hideMark/>
          </w:tcPr>
          <w:p w14:paraId="5816653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93.0%</w:t>
            </w:r>
          </w:p>
        </w:tc>
        <w:tc>
          <w:tcPr>
            <w:tcW w:w="867" w:type="dxa"/>
            <w:gridSpan w:val="2"/>
            <w:shd w:val="clear" w:color="000000" w:fill="FFFFCC"/>
            <w:noWrap/>
            <w:vAlign w:val="center"/>
            <w:hideMark/>
          </w:tcPr>
          <w:p w14:paraId="6E3693F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93.0%</w:t>
            </w:r>
          </w:p>
        </w:tc>
        <w:tc>
          <w:tcPr>
            <w:tcW w:w="867" w:type="dxa"/>
            <w:gridSpan w:val="2"/>
            <w:shd w:val="clear" w:color="auto" w:fill="auto"/>
            <w:noWrap/>
            <w:vAlign w:val="center"/>
            <w:hideMark/>
          </w:tcPr>
          <w:p w14:paraId="3ED6B3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93.0%</w:t>
            </w:r>
          </w:p>
        </w:tc>
        <w:tc>
          <w:tcPr>
            <w:tcW w:w="867" w:type="dxa"/>
            <w:gridSpan w:val="2"/>
            <w:shd w:val="clear" w:color="auto" w:fill="auto"/>
            <w:noWrap/>
            <w:vAlign w:val="center"/>
            <w:hideMark/>
          </w:tcPr>
          <w:p w14:paraId="4DABA1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4C5C6D4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10D8E36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6B97EE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3EB7FE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33B8F2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592E66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r>
      <w:tr w:rsidR="009E7571" w:rsidRPr="001E05F5" w14:paraId="3F03E9ED" w14:textId="77777777" w:rsidTr="00E20967">
        <w:trPr>
          <w:gridAfter w:val="2"/>
          <w:wAfter w:w="26" w:type="dxa"/>
          <w:trHeight w:val="288"/>
        </w:trPr>
        <w:tc>
          <w:tcPr>
            <w:tcW w:w="1028" w:type="dxa"/>
            <w:vMerge/>
            <w:vAlign w:val="center"/>
            <w:hideMark/>
          </w:tcPr>
          <w:p w14:paraId="356EC49F"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579D6A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5E2CF57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7DD2FCB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2237360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3B1F9F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473E7F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43C06D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483636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62DC36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3524D54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6116BE6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4093B6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000000" w:fill="FFFFCC"/>
            <w:noWrap/>
            <w:vAlign w:val="center"/>
            <w:hideMark/>
          </w:tcPr>
          <w:p w14:paraId="7DBF17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26E56D9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4AA97E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636466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1DCE77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14C89A2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6ECF29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1C8A4B2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007261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r>
      <w:tr w:rsidR="00D46E3A" w:rsidRPr="001E05F5" w14:paraId="42DDD12A" w14:textId="77777777" w:rsidTr="00E20967">
        <w:trPr>
          <w:gridAfter w:val="1"/>
          <w:wAfter w:w="13" w:type="dxa"/>
          <w:trHeight w:val="288"/>
        </w:trPr>
        <w:tc>
          <w:tcPr>
            <w:tcW w:w="1028" w:type="dxa"/>
            <w:vMerge/>
            <w:vAlign w:val="center"/>
            <w:hideMark/>
          </w:tcPr>
          <w:p w14:paraId="14320DE1"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F4B3B71"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64343B8F"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£498,429,872</w:t>
            </w:r>
          </w:p>
        </w:tc>
      </w:tr>
      <w:tr w:rsidR="009E7571" w:rsidRPr="001E05F5" w14:paraId="3C8E0C5A" w14:textId="77777777" w:rsidTr="00E20967">
        <w:trPr>
          <w:gridAfter w:val="2"/>
          <w:wAfter w:w="26" w:type="dxa"/>
          <w:trHeight w:val="288"/>
        </w:trPr>
        <w:tc>
          <w:tcPr>
            <w:tcW w:w="1028" w:type="dxa"/>
            <w:vMerge w:val="restart"/>
            <w:shd w:val="clear" w:color="auto" w:fill="auto"/>
            <w:vAlign w:val="center"/>
            <w:hideMark/>
          </w:tcPr>
          <w:p w14:paraId="52AE0788"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7963CCF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04BBE4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3749F1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AC285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37838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61646E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0FAB224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34FAC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129F63D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07C66C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6232B2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4DEC4E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000000" w:fill="FFFFCC"/>
            <w:noWrap/>
            <w:vAlign w:val="center"/>
            <w:hideMark/>
          </w:tcPr>
          <w:p w14:paraId="7D7994F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-1.97%</w:t>
            </w:r>
          </w:p>
        </w:tc>
        <w:tc>
          <w:tcPr>
            <w:tcW w:w="867" w:type="dxa"/>
            <w:gridSpan w:val="2"/>
            <w:shd w:val="clear" w:color="auto" w:fill="auto"/>
            <w:noWrap/>
            <w:vAlign w:val="center"/>
            <w:hideMark/>
          </w:tcPr>
          <w:p w14:paraId="3C55AE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E0840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D8F14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5139A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6C15F6B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21A7B4C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9CE594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C44F59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r>
      <w:tr w:rsidR="009E7571" w:rsidRPr="001E05F5" w14:paraId="0009D4BF" w14:textId="77777777" w:rsidTr="00E20967">
        <w:trPr>
          <w:gridAfter w:val="2"/>
          <w:wAfter w:w="26" w:type="dxa"/>
          <w:trHeight w:val="288"/>
        </w:trPr>
        <w:tc>
          <w:tcPr>
            <w:tcW w:w="1028" w:type="dxa"/>
            <w:vMerge/>
            <w:vAlign w:val="center"/>
            <w:hideMark/>
          </w:tcPr>
          <w:p w14:paraId="307CAD84"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A196C1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7C5528C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6A09C2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37ED1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34736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E14E7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12.1%</w:t>
            </w:r>
          </w:p>
        </w:tc>
        <w:tc>
          <w:tcPr>
            <w:tcW w:w="867" w:type="dxa"/>
            <w:gridSpan w:val="2"/>
            <w:shd w:val="clear" w:color="auto" w:fill="auto"/>
            <w:noWrap/>
            <w:vAlign w:val="center"/>
            <w:hideMark/>
          </w:tcPr>
          <w:p w14:paraId="62F5280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12.2%</w:t>
            </w:r>
          </w:p>
        </w:tc>
        <w:tc>
          <w:tcPr>
            <w:tcW w:w="867" w:type="dxa"/>
            <w:gridSpan w:val="2"/>
            <w:shd w:val="clear" w:color="auto" w:fill="auto"/>
            <w:noWrap/>
            <w:vAlign w:val="center"/>
            <w:hideMark/>
          </w:tcPr>
          <w:p w14:paraId="720C6E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12.3%</w:t>
            </w:r>
          </w:p>
        </w:tc>
        <w:tc>
          <w:tcPr>
            <w:tcW w:w="867" w:type="dxa"/>
            <w:gridSpan w:val="2"/>
            <w:shd w:val="clear" w:color="auto" w:fill="auto"/>
            <w:noWrap/>
            <w:vAlign w:val="center"/>
            <w:hideMark/>
          </w:tcPr>
          <w:p w14:paraId="61F810E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12.4%</w:t>
            </w:r>
          </w:p>
        </w:tc>
        <w:tc>
          <w:tcPr>
            <w:tcW w:w="867" w:type="dxa"/>
            <w:gridSpan w:val="2"/>
            <w:shd w:val="clear" w:color="auto" w:fill="auto"/>
            <w:noWrap/>
            <w:vAlign w:val="center"/>
            <w:hideMark/>
          </w:tcPr>
          <w:p w14:paraId="04AE014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12.5%</w:t>
            </w:r>
          </w:p>
        </w:tc>
        <w:tc>
          <w:tcPr>
            <w:tcW w:w="867" w:type="dxa"/>
            <w:gridSpan w:val="2"/>
            <w:shd w:val="clear" w:color="auto" w:fill="auto"/>
            <w:noWrap/>
            <w:vAlign w:val="center"/>
            <w:hideMark/>
          </w:tcPr>
          <w:p w14:paraId="2273EE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12.7%</w:t>
            </w:r>
          </w:p>
        </w:tc>
        <w:tc>
          <w:tcPr>
            <w:tcW w:w="867" w:type="dxa"/>
            <w:gridSpan w:val="2"/>
            <w:shd w:val="clear" w:color="auto" w:fill="auto"/>
            <w:noWrap/>
            <w:vAlign w:val="center"/>
            <w:hideMark/>
          </w:tcPr>
          <w:p w14:paraId="54A2477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12.8%</w:t>
            </w:r>
          </w:p>
        </w:tc>
        <w:tc>
          <w:tcPr>
            <w:tcW w:w="867" w:type="dxa"/>
            <w:gridSpan w:val="2"/>
            <w:shd w:val="clear" w:color="000000" w:fill="FFFFCC"/>
            <w:noWrap/>
            <w:vAlign w:val="center"/>
            <w:hideMark/>
          </w:tcPr>
          <w:p w14:paraId="709CE8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c>
          <w:tcPr>
            <w:tcW w:w="867" w:type="dxa"/>
            <w:gridSpan w:val="2"/>
            <w:shd w:val="clear" w:color="auto" w:fill="auto"/>
            <w:noWrap/>
            <w:vAlign w:val="center"/>
            <w:hideMark/>
          </w:tcPr>
          <w:p w14:paraId="4E8DF7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13.0%</w:t>
            </w:r>
          </w:p>
        </w:tc>
        <w:tc>
          <w:tcPr>
            <w:tcW w:w="867" w:type="dxa"/>
            <w:gridSpan w:val="2"/>
            <w:shd w:val="clear" w:color="auto" w:fill="auto"/>
            <w:noWrap/>
            <w:vAlign w:val="center"/>
            <w:hideMark/>
          </w:tcPr>
          <w:p w14:paraId="3764F8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378C08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122ED5D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29CD79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4AAA0E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7909FD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0F4FB6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r>
      <w:tr w:rsidR="009E7571" w:rsidRPr="001E05F5" w14:paraId="4A80E1F6" w14:textId="77777777" w:rsidTr="00E20967">
        <w:trPr>
          <w:gridAfter w:val="2"/>
          <w:wAfter w:w="26" w:type="dxa"/>
          <w:trHeight w:val="288"/>
        </w:trPr>
        <w:tc>
          <w:tcPr>
            <w:tcW w:w="1028" w:type="dxa"/>
            <w:vMerge/>
            <w:vAlign w:val="center"/>
            <w:hideMark/>
          </w:tcPr>
          <w:p w14:paraId="143359F0"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10E08A9"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626EEC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54764E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9B484C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D57C3C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AFD92B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5CF1402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E38012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591D4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68CFC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9C953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1B934CB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000000" w:fill="FFFFCC"/>
            <w:noWrap/>
            <w:vAlign w:val="center"/>
            <w:hideMark/>
          </w:tcPr>
          <w:p w14:paraId="7CF34F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1D34B9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0ABA364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24C13E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24754C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42F7B4E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33E322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2BBC32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6DE378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r>
      <w:tr w:rsidR="009E7571" w:rsidRPr="001E05F5" w14:paraId="6A49C9AC" w14:textId="77777777" w:rsidTr="00E20967">
        <w:trPr>
          <w:gridAfter w:val="2"/>
          <w:wAfter w:w="26" w:type="dxa"/>
          <w:trHeight w:val="288"/>
        </w:trPr>
        <w:tc>
          <w:tcPr>
            <w:tcW w:w="1028" w:type="dxa"/>
            <w:vMerge/>
            <w:vAlign w:val="center"/>
            <w:hideMark/>
          </w:tcPr>
          <w:p w14:paraId="4D697B6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2AFDA8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0F5EA0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3C52FC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69E44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0B28D1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CDB80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7BD3E9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0BACBE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7D0F38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4BEE84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184C268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-2.8%</w:t>
            </w:r>
          </w:p>
        </w:tc>
        <w:tc>
          <w:tcPr>
            <w:tcW w:w="867" w:type="dxa"/>
            <w:gridSpan w:val="2"/>
            <w:shd w:val="clear" w:color="auto" w:fill="auto"/>
            <w:noWrap/>
            <w:vAlign w:val="center"/>
            <w:hideMark/>
          </w:tcPr>
          <w:p w14:paraId="3C6E2FE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-2.8%</w:t>
            </w:r>
          </w:p>
        </w:tc>
        <w:tc>
          <w:tcPr>
            <w:tcW w:w="867" w:type="dxa"/>
            <w:gridSpan w:val="2"/>
            <w:shd w:val="clear" w:color="000000" w:fill="FFFFCC"/>
            <w:noWrap/>
            <w:vAlign w:val="center"/>
            <w:hideMark/>
          </w:tcPr>
          <w:p w14:paraId="6A2F9E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-2.8%</w:t>
            </w:r>
          </w:p>
        </w:tc>
        <w:tc>
          <w:tcPr>
            <w:tcW w:w="867" w:type="dxa"/>
            <w:gridSpan w:val="2"/>
            <w:shd w:val="clear" w:color="auto" w:fill="auto"/>
            <w:noWrap/>
            <w:vAlign w:val="center"/>
            <w:hideMark/>
          </w:tcPr>
          <w:p w14:paraId="3FE95D8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-2.8%</w:t>
            </w:r>
          </w:p>
        </w:tc>
        <w:tc>
          <w:tcPr>
            <w:tcW w:w="867" w:type="dxa"/>
            <w:gridSpan w:val="2"/>
            <w:shd w:val="clear" w:color="auto" w:fill="auto"/>
            <w:noWrap/>
            <w:vAlign w:val="center"/>
            <w:hideMark/>
          </w:tcPr>
          <w:p w14:paraId="76B5C59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366AA2A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33EF98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09C95F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0D50A2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697449F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2D45D0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r>
      <w:tr w:rsidR="00D46E3A" w:rsidRPr="001E05F5" w14:paraId="5BCD392B" w14:textId="77777777" w:rsidTr="00E20967">
        <w:trPr>
          <w:gridAfter w:val="2"/>
          <w:wAfter w:w="26" w:type="dxa"/>
          <w:trHeight w:val="288"/>
        </w:trPr>
        <w:tc>
          <w:tcPr>
            <w:tcW w:w="1028" w:type="dxa"/>
            <w:vMerge/>
            <w:vAlign w:val="center"/>
            <w:hideMark/>
          </w:tcPr>
          <w:p w14:paraId="2BCAA95F"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8D06BD8"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0EC5F824"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-1.3%</w:t>
            </w:r>
          </w:p>
        </w:tc>
      </w:tr>
      <w:tr w:rsidR="009E7571" w:rsidRPr="001E05F5" w14:paraId="20613BC7"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6B171A62"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3g</w:t>
            </w:r>
          </w:p>
        </w:tc>
        <w:tc>
          <w:tcPr>
            <w:tcW w:w="1129" w:type="dxa"/>
            <w:shd w:val="clear" w:color="auto" w:fill="D9D9D9" w:themeFill="background1" w:themeFillShade="D9"/>
            <w:noWrap/>
            <w:vAlign w:val="center"/>
            <w:hideMark/>
          </w:tcPr>
          <w:p w14:paraId="705C13C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177025B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4462D42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1E711E9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74AEE1C3"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7417F96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56C82FD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58E077A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365B9AD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734EE02C"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33FAE42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3B109DA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077C69C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4AF1EE6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3E539E5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28EF316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7B47DBB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0EC3FEE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1015AEAB"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2ADAA10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2699BB4A" w14:textId="77777777" w:rsidTr="00E20967">
        <w:trPr>
          <w:gridAfter w:val="2"/>
          <w:wAfter w:w="26" w:type="dxa"/>
          <w:trHeight w:val="288"/>
        </w:trPr>
        <w:tc>
          <w:tcPr>
            <w:tcW w:w="1028" w:type="dxa"/>
            <w:vMerge w:val="restart"/>
            <w:shd w:val="clear" w:color="auto" w:fill="auto"/>
            <w:vAlign w:val="center"/>
            <w:hideMark/>
          </w:tcPr>
          <w:p w14:paraId="4D3F02C8"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055A830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7C6286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6ABF815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4FD2B8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6200FA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5AA0C64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350,790</w:t>
            </w:r>
          </w:p>
        </w:tc>
        <w:tc>
          <w:tcPr>
            <w:tcW w:w="867" w:type="dxa"/>
            <w:gridSpan w:val="2"/>
            <w:shd w:val="clear" w:color="auto" w:fill="auto"/>
            <w:noWrap/>
            <w:vAlign w:val="center"/>
            <w:hideMark/>
          </w:tcPr>
          <w:p w14:paraId="64E2AD6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352,764</w:t>
            </w:r>
          </w:p>
        </w:tc>
        <w:tc>
          <w:tcPr>
            <w:tcW w:w="867" w:type="dxa"/>
            <w:gridSpan w:val="2"/>
            <w:shd w:val="clear" w:color="auto" w:fill="auto"/>
            <w:noWrap/>
            <w:vAlign w:val="center"/>
            <w:hideMark/>
          </w:tcPr>
          <w:p w14:paraId="67229FE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354,667</w:t>
            </w:r>
          </w:p>
        </w:tc>
        <w:tc>
          <w:tcPr>
            <w:tcW w:w="867" w:type="dxa"/>
            <w:gridSpan w:val="2"/>
            <w:shd w:val="clear" w:color="auto" w:fill="auto"/>
            <w:noWrap/>
            <w:vAlign w:val="center"/>
            <w:hideMark/>
          </w:tcPr>
          <w:p w14:paraId="365C70A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356,433</w:t>
            </w:r>
          </w:p>
        </w:tc>
        <w:tc>
          <w:tcPr>
            <w:tcW w:w="867" w:type="dxa"/>
            <w:gridSpan w:val="2"/>
            <w:shd w:val="clear" w:color="auto" w:fill="auto"/>
            <w:noWrap/>
            <w:vAlign w:val="center"/>
            <w:hideMark/>
          </w:tcPr>
          <w:p w14:paraId="135B72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358,221</w:t>
            </w:r>
          </w:p>
        </w:tc>
        <w:tc>
          <w:tcPr>
            <w:tcW w:w="867" w:type="dxa"/>
            <w:gridSpan w:val="2"/>
            <w:shd w:val="clear" w:color="auto" w:fill="auto"/>
            <w:noWrap/>
            <w:vAlign w:val="center"/>
            <w:hideMark/>
          </w:tcPr>
          <w:p w14:paraId="365556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360,011</w:t>
            </w:r>
          </w:p>
        </w:tc>
        <w:tc>
          <w:tcPr>
            <w:tcW w:w="867" w:type="dxa"/>
            <w:gridSpan w:val="2"/>
            <w:shd w:val="clear" w:color="auto" w:fill="auto"/>
            <w:noWrap/>
            <w:vAlign w:val="center"/>
            <w:hideMark/>
          </w:tcPr>
          <w:p w14:paraId="02D3FE8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361,909</w:t>
            </w:r>
          </w:p>
        </w:tc>
        <w:tc>
          <w:tcPr>
            <w:tcW w:w="867" w:type="dxa"/>
            <w:gridSpan w:val="2"/>
            <w:shd w:val="clear" w:color="000000" w:fill="FFFFCC"/>
            <w:noWrap/>
            <w:vAlign w:val="center"/>
            <w:hideMark/>
          </w:tcPr>
          <w:p w14:paraId="19D862E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363,723</w:t>
            </w:r>
          </w:p>
        </w:tc>
        <w:tc>
          <w:tcPr>
            <w:tcW w:w="867" w:type="dxa"/>
            <w:gridSpan w:val="2"/>
            <w:shd w:val="clear" w:color="auto" w:fill="auto"/>
            <w:noWrap/>
            <w:vAlign w:val="center"/>
            <w:hideMark/>
          </w:tcPr>
          <w:p w14:paraId="1D56F3F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365,503</w:t>
            </w:r>
          </w:p>
        </w:tc>
        <w:tc>
          <w:tcPr>
            <w:tcW w:w="867" w:type="dxa"/>
            <w:gridSpan w:val="2"/>
            <w:shd w:val="clear" w:color="auto" w:fill="auto"/>
            <w:noWrap/>
            <w:vAlign w:val="center"/>
            <w:hideMark/>
          </w:tcPr>
          <w:p w14:paraId="2BD91BA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367,225</w:t>
            </w:r>
          </w:p>
        </w:tc>
        <w:tc>
          <w:tcPr>
            <w:tcW w:w="867" w:type="dxa"/>
            <w:gridSpan w:val="2"/>
            <w:shd w:val="clear" w:color="auto" w:fill="auto"/>
            <w:noWrap/>
            <w:vAlign w:val="center"/>
            <w:hideMark/>
          </w:tcPr>
          <w:p w14:paraId="4305900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368,935</w:t>
            </w:r>
          </w:p>
        </w:tc>
        <w:tc>
          <w:tcPr>
            <w:tcW w:w="867" w:type="dxa"/>
            <w:gridSpan w:val="2"/>
            <w:shd w:val="clear" w:color="auto" w:fill="auto"/>
            <w:noWrap/>
            <w:vAlign w:val="center"/>
            <w:hideMark/>
          </w:tcPr>
          <w:p w14:paraId="4772701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370,722</w:t>
            </w:r>
          </w:p>
        </w:tc>
        <w:tc>
          <w:tcPr>
            <w:tcW w:w="867" w:type="dxa"/>
            <w:gridSpan w:val="2"/>
            <w:shd w:val="clear" w:color="auto" w:fill="auto"/>
            <w:noWrap/>
            <w:vAlign w:val="center"/>
            <w:hideMark/>
          </w:tcPr>
          <w:p w14:paraId="0C4435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372,398</w:t>
            </w:r>
          </w:p>
        </w:tc>
        <w:tc>
          <w:tcPr>
            <w:tcW w:w="867" w:type="dxa"/>
            <w:gridSpan w:val="2"/>
            <w:shd w:val="clear" w:color="auto" w:fill="auto"/>
            <w:noWrap/>
            <w:vAlign w:val="center"/>
            <w:hideMark/>
          </w:tcPr>
          <w:p w14:paraId="2FC41F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374,053</w:t>
            </w:r>
          </w:p>
        </w:tc>
        <w:tc>
          <w:tcPr>
            <w:tcW w:w="867" w:type="dxa"/>
            <w:gridSpan w:val="2"/>
            <w:shd w:val="clear" w:color="auto" w:fill="auto"/>
            <w:noWrap/>
            <w:vAlign w:val="center"/>
            <w:hideMark/>
          </w:tcPr>
          <w:p w14:paraId="11EAE2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375,603</w:t>
            </w:r>
          </w:p>
        </w:tc>
        <w:tc>
          <w:tcPr>
            <w:tcW w:w="867" w:type="dxa"/>
            <w:gridSpan w:val="2"/>
            <w:shd w:val="clear" w:color="auto" w:fill="auto"/>
            <w:noWrap/>
            <w:vAlign w:val="center"/>
            <w:hideMark/>
          </w:tcPr>
          <w:p w14:paraId="7B1318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377,166</w:t>
            </w:r>
          </w:p>
        </w:tc>
      </w:tr>
      <w:tr w:rsidR="009E7571" w:rsidRPr="001E05F5" w14:paraId="4728F3F7" w14:textId="77777777" w:rsidTr="00E20967">
        <w:trPr>
          <w:gridAfter w:val="2"/>
          <w:wAfter w:w="26" w:type="dxa"/>
          <w:trHeight w:val="288"/>
        </w:trPr>
        <w:tc>
          <w:tcPr>
            <w:tcW w:w="1028" w:type="dxa"/>
            <w:vMerge/>
            <w:vAlign w:val="center"/>
            <w:hideMark/>
          </w:tcPr>
          <w:p w14:paraId="72B2DF1F"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53268EEA"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09457B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499260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0F867C9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565786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10C9DED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46.2%</w:t>
            </w:r>
          </w:p>
        </w:tc>
        <w:tc>
          <w:tcPr>
            <w:tcW w:w="867" w:type="dxa"/>
            <w:gridSpan w:val="2"/>
            <w:shd w:val="clear" w:color="auto" w:fill="auto"/>
            <w:noWrap/>
            <w:vAlign w:val="center"/>
            <w:hideMark/>
          </w:tcPr>
          <w:p w14:paraId="2B75BD0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46.3%</w:t>
            </w:r>
          </w:p>
        </w:tc>
        <w:tc>
          <w:tcPr>
            <w:tcW w:w="867" w:type="dxa"/>
            <w:gridSpan w:val="2"/>
            <w:shd w:val="clear" w:color="auto" w:fill="auto"/>
            <w:noWrap/>
            <w:vAlign w:val="center"/>
            <w:hideMark/>
          </w:tcPr>
          <w:p w14:paraId="5EE0E1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46.3%</w:t>
            </w:r>
          </w:p>
        </w:tc>
        <w:tc>
          <w:tcPr>
            <w:tcW w:w="867" w:type="dxa"/>
            <w:gridSpan w:val="2"/>
            <w:shd w:val="clear" w:color="auto" w:fill="auto"/>
            <w:noWrap/>
            <w:vAlign w:val="center"/>
            <w:hideMark/>
          </w:tcPr>
          <w:p w14:paraId="743F60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46.4%</w:t>
            </w:r>
          </w:p>
        </w:tc>
        <w:tc>
          <w:tcPr>
            <w:tcW w:w="867" w:type="dxa"/>
            <w:gridSpan w:val="2"/>
            <w:shd w:val="clear" w:color="auto" w:fill="auto"/>
            <w:noWrap/>
            <w:vAlign w:val="center"/>
            <w:hideMark/>
          </w:tcPr>
          <w:p w14:paraId="3E54AC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46.5%</w:t>
            </w:r>
          </w:p>
        </w:tc>
        <w:tc>
          <w:tcPr>
            <w:tcW w:w="867" w:type="dxa"/>
            <w:gridSpan w:val="2"/>
            <w:shd w:val="clear" w:color="auto" w:fill="auto"/>
            <w:noWrap/>
            <w:vAlign w:val="center"/>
            <w:hideMark/>
          </w:tcPr>
          <w:p w14:paraId="5161629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46.7%</w:t>
            </w:r>
          </w:p>
        </w:tc>
        <w:tc>
          <w:tcPr>
            <w:tcW w:w="867" w:type="dxa"/>
            <w:gridSpan w:val="2"/>
            <w:shd w:val="clear" w:color="auto" w:fill="auto"/>
            <w:noWrap/>
            <w:vAlign w:val="center"/>
            <w:hideMark/>
          </w:tcPr>
          <w:p w14:paraId="200F92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000000" w:fill="FFFFCC"/>
            <w:noWrap/>
            <w:vAlign w:val="center"/>
            <w:hideMark/>
          </w:tcPr>
          <w:p w14:paraId="106A437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auto" w:fill="auto"/>
            <w:noWrap/>
            <w:vAlign w:val="center"/>
            <w:hideMark/>
          </w:tcPr>
          <w:p w14:paraId="57AC12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7F6142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47.0%</w:t>
            </w:r>
          </w:p>
        </w:tc>
        <w:tc>
          <w:tcPr>
            <w:tcW w:w="867" w:type="dxa"/>
            <w:gridSpan w:val="2"/>
            <w:shd w:val="clear" w:color="auto" w:fill="auto"/>
            <w:noWrap/>
            <w:vAlign w:val="center"/>
            <w:hideMark/>
          </w:tcPr>
          <w:p w14:paraId="513024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3EF8D1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6A96A07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2F969EA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4051CAC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auto" w:fill="auto"/>
            <w:noWrap/>
            <w:vAlign w:val="center"/>
            <w:hideMark/>
          </w:tcPr>
          <w:p w14:paraId="1CDC36A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r>
      <w:tr w:rsidR="009E7571" w:rsidRPr="001E05F5" w14:paraId="61748C76" w14:textId="77777777" w:rsidTr="00E20967">
        <w:trPr>
          <w:gridAfter w:val="2"/>
          <w:wAfter w:w="26" w:type="dxa"/>
          <w:trHeight w:val="288"/>
        </w:trPr>
        <w:tc>
          <w:tcPr>
            <w:tcW w:w="1028" w:type="dxa"/>
            <w:vMerge/>
            <w:vAlign w:val="center"/>
            <w:hideMark/>
          </w:tcPr>
          <w:p w14:paraId="09242207"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A3A0B1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2FC8FD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4CA75B8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4B704D5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E54255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6D29B54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41B43F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50C6F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915779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279AC2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77178F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64.1%</w:t>
            </w:r>
          </w:p>
        </w:tc>
        <w:tc>
          <w:tcPr>
            <w:tcW w:w="867" w:type="dxa"/>
            <w:gridSpan w:val="2"/>
            <w:shd w:val="clear" w:color="auto" w:fill="auto"/>
            <w:noWrap/>
            <w:vAlign w:val="center"/>
            <w:hideMark/>
          </w:tcPr>
          <w:p w14:paraId="5DFAADE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64.1%</w:t>
            </w:r>
          </w:p>
        </w:tc>
        <w:tc>
          <w:tcPr>
            <w:tcW w:w="867" w:type="dxa"/>
            <w:gridSpan w:val="2"/>
            <w:shd w:val="clear" w:color="000000" w:fill="FFFFCC"/>
            <w:noWrap/>
            <w:vAlign w:val="center"/>
            <w:hideMark/>
          </w:tcPr>
          <w:p w14:paraId="74ED5E9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64.1%</w:t>
            </w:r>
          </w:p>
        </w:tc>
        <w:tc>
          <w:tcPr>
            <w:tcW w:w="867" w:type="dxa"/>
            <w:gridSpan w:val="2"/>
            <w:shd w:val="clear" w:color="auto" w:fill="auto"/>
            <w:noWrap/>
            <w:vAlign w:val="center"/>
            <w:hideMark/>
          </w:tcPr>
          <w:p w14:paraId="5152962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64.2%</w:t>
            </w:r>
          </w:p>
        </w:tc>
        <w:tc>
          <w:tcPr>
            <w:tcW w:w="867" w:type="dxa"/>
            <w:gridSpan w:val="2"/>
            <w:shd w:val="clear" w:color="auto" w:fill="auto"/>
            <w:noWrap/>
            <w:vAlign w:val="center"/>
            <w:hideMark/>
          </w:tcPr>
          <w:p w14:paraId="685650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64.2%</w:t>
            </w:r>
          </w:p>
        </w:tc>
        <w:tc>
          <w:tcPr>
            <w:tcW w:w="867" w:type="dxa"/>
            <w:gridSpan w:val="2"/>
            <w:shd w:val="clear" w:color="auto" w:fill="auto"/>
            <w:noWrap/>
            <w:vAlign w:val="center"/>
            <w:hideMark/>
          </w:tcPr>
          <w:p w14:paraId="52638F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64.2%</w:t>
            </w:r>
          </w:p>
        </w:tc>
        <w:tc>
          <w:tcPr>
            <w:tcW w:w="867" w:type="dxa"/>
            <w:gridSpan w:val="2"/>
            <w:shd w:val="clear" w:color="auto" w:fill="auto"/>
            <w:noWrap/>
            <w:vAlign w:val="center"/>
            <w:hideMark/>
          </w:tcPr>
          <w:p w14:paraId="509016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64.3%</w:t>
            </w:r>
          </w:p>
        </w:tc>
        <w:tc>
          <w:tcPr>
            <w:tcW w:w="867" w:type="dxa"/>
            <w:gridSpan w:val="2"/>
            <w:shd w:val="clear" w:color="auto" w:fill="auto"/>
            <w:noWrap/>
            <w:vAlign w:val="center"/>
            <w:hideMark/>
          </w:tcPr>
          <w:p w14:paraId="42B31F6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64.3%</w:t>
            </w:r>
          </w:p>
        </w:tc>
        <w:tc>
          <w:tcPr>
            <w:tcW w:w="867" w:type="dxa"/>
            <w:gridSpan w:val="2"/>
            <w:shd w:val="clear" w:color="auto" w:fill="auto"/>
            <w:noWrap/>
            <w:vAlign w:val="center"/>
            <w:hideMark/>
          </w:tcPr>
          <w:p w14:paraId="6CC846B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64.3%</w:t>
            </w:r>
          </w:p>
        </w:tc>
        <w:tc>
          <w:tcPr>
            <w:tcW w:w="867" w:type="dxa"/>
            <w:gridSpan w:val="2"/>
            <w:shd w:val="clear" w:color="auto" w:fill="auto"/>
            <w:noWrap/>
            <w:vAlign w:val="center"/>
            <w:hideMark/>
          </w:tcPr>
          <w:p w14:paraId="5A4E09A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64.3%</w:t>
            </w:r>
          </w:p>
        </w:tc>
        <w:tc>
          <w:tcPr>
            <w:tcW w:w="867" w:type="dxa"/>
            <w:gridSpan w:val="2"/>
            <w:shd w:val="clear" w:color="auto" w:fill="auto"/>
            <w:noWrap/>
            <w:vAlign w:val="center"/>
            <w:hideMark/>
          </w:tcPr>
          <w:p w14:paraId="7ED58C4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64.4%</w:t>
            </w:r>
          </w:p>
        </w:tc>
      </w:tr>
      <w:tr w:rsidR="009E7571" w:rsidRPr="001E05F5" w14:paraId="2FAD3A19" w14:textId="77777777" w:rsidTr="00E20967">
        <w:trPr>
          <w:gridAfter w:val="2"/>
          <w:wAfter w:w="26" w:type="dxa"/>
          <w:trHeight w:val="288"/>
        </w:trPr>
        <w:tc>
          <w:tcPr>
            <w:tcW w:w="1028" w:type="dxa"/>
            <w:vMerge/>
            <w:vAlign w:val="center"/>
            <w:hideMark/>
          </w:tcPr>
          <w:p w14:paraId="4F3D7C1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4CE1D1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723E4DD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5B3E5A6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021ED49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73CEA7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59F81E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1EA822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33375B7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6DBD29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0CFA10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704DE1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17.0%</w:t>
            </w:r>
          </w:p>
        </w:tc>
        <w:tc>
          <w:tcPr>
            <w:tcW w:w="867" w:type="dxa"/>
            <w:gridSpan w:val="2"/>
            <w:shd w:val="clear" w:color="auto" w:fill="auto"/>
            <w:noWrap/>
            <w:vAlign w:val="center"/>
            <w:hideMark/>
          </w:tcPr>
          <w:p w14:paraId="76DB858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17.0%</w:t>
            </w:r>
          </w:p>
        </w:tc>
        <w:tc>
          <w:tcPr>
            <w:tcW w:w="867" w:type="dxa"/>
            <w:gridSpan w:val="2"/>
            <w:shd w:val="clear" w:color="000000" w:fill="FFFFCC"/>
            <w:noWrap/>
            <w:vAlign w:val="center"/>
            <w:hideMark/>
          </w:tcPr>
          <w:p w14:paraId="5E9E7E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17.0%</w:t>
            </w:r>
          </w:p>
        </w:tc>
        <w:tc>
          <w:tcPr>
            <w:tcW w:w="867" w:type="dxa"/>
            <w:gridSpan w:val="2"/>
            <w:shd w:val="clear" w:color="auto" w:fill="auto"/>
            <w:noWrap/>
            <w:vAlign w:val="center"/>
            <w:hideMark/>
          </w:tcPr>
          <w:p w14:paraId="015AB6F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16.9%</w:t>
            </w:r>
          </w:p>
        </w:tc>
        <w:tc>
          <w:tcPr>
            <w:tcW w:w="867" w:type="dxa"/>
            <w:gridSpan w:val="2"/>
            <w:shd w:val="clear" w:color="auto" w:fill="auto"/>
            <w:noWrap/>
            <w:vAlign w:val="center"/>
            <w:hideMark/>
          </w:tcPr>
          <w:p w14:paraId="102949C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16.9%</w:t>
            </w:r>
          </w:p>
        </w:tc>
        <w:tc>
          <w:tcPr>
            <w:tcW w:w="867" w:type="dxa"/>
            <w:gridSpan w:val="2"/>
            <w:shd w:val="clear" w:color="auto" w:fill="auto"/>
            <w:noWrap/>
            <w:vAlign w:val="center"/>
            <w:hideMark/>
          </w:tcPr>
          <w:p w14:paraId="1AFFB49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16.9%</w:t>
            </w:r>
          </w:p>
        </w:tc>
        <w:tc>
          <w:tcPr>
            <w:tcW w:w="867" w:type="dxa"/>
            <w:gridSpan w:val="2"/>
            <w:shd w:val="clear" w:color="auto" w:fill="auto"/>
            <w:noWrap/>
            <w:vAlign w:val="center"/>
            <w:hideMark/>
          </w:tcPr>
          <w:p w14:paraId="5EC0597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16.9%</w:t>
            </w:r>
          </w:p>
        </w:tc>
        <w:tc>
          <w:tcPr>
            <w:tcW w:w="867" w:type="dxa"/>
            <w:gridSpan w:val="2"/>
            <w:shd w:val="clear" w:color="auto" w:fill="auto"/>
            <w:noWrap/>
            <w:vAlign w:val="center"/>
            <w:hideMark/>
          </w:tcPr>
          <w:p w14:paraId="143500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16.9%</w:t>
            </w:r>
          </w:p>
        </w:tc>
        <w:tc>
          <w:tcPr>
            <w:tcW w:w="867" w:type="dxa"/>
            <w:gridSpan w:val="2"/>
            <w:shd w:val="clear" w:color="auto" w:fill="auto"/>
            <w:noWrap/>
            <w:vAlign w:val="center"/>
            <w:hideMark/>
          </w:tcPr>
          <w:p w14:paraId="505E8E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16.9%</w:t>
            </w:r>
          </w:p>
        </w:tc>
        <w:tc>
          <w:tcPr>
            <w:tcW w:w="867" w:type="dxa"/>
            <w:gridSpan w:val="2"/>
            <w:shd w:val="clear" w:color="auto" w:fill="auto"/>
            <w:noWrap/>
            <w:vAlign w:val="center"/>
            <w:hideMark/>
          </w:tcPr>
          <w:p w14:paraId="568E69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16.9%</w:t>
            </w:r>
          </w:p>
        </w:tc>
        <w:tc>
          <w:tcPr>
            <w:tcW w:w="867" w:type="dxa"/>
            <w:gridSpan w:val="2"/>
            <w:shd w:val="clear" w:color="auto" w:fill="auto"/>
            <w:noWrap/>
            <w:vAlign w:val="center"/>
            <w:hideMark/>
          </w:tcPr>
          <w:p w14:paraId="306863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16.9%</w:t>
            </w:r>
          </w:p>
        </w:tc>
      </w:tr>
      <w:tr w:rsidR="00D46E3A" w:rsidRPr="001E05F5" w14:paraId="3F01D103" w14:textId="77777777" w:rsidTr="00E20967">
        <w:trPr>
          <w:gridAfter w:val="1"/>
          <w:wAfter w:w="13" w:type="dxa"/>
          <w:trHeight w:val="288"/>
        </w:trPr>
        <w:tc>
          <w:tcPr>
            <w:tcW w:w="1028" w:type="dxa"/>
            <w:vMerge/>
            <w:vAlign w:val="center"/>
            <w:hideMark/>
          </w:tcPr>
          <w:p w14:paraId="239AB065"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06DC7F8"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0E9D2E31" w14:textId="77777777" w:rsidR="00D46E3A" w:rsidRPr="001E05F5" w:rsidRDefault="00D46E3A" w:rsidP="009E7571">
            <w:pPr>
              <w:spacing w:after="0" w:line="240" w:lineRule="auto"/>
              <w:jc w:val="right"/>
              <w:rPr>
                <w:rFonts w:cs="Arial"/>
                <w:sz w:val="18"/>
                <w:szCs w:val="18"/>
                <w:lang w:eastAsia="en-GB"/>
              </w:rPr>
            </w:pPr>
            <w:r w:rsidRPr="001E05F5">
              <w:rPr>
                <w:rFonts w:cs="Arial"/>
                <w:color w:val="000000"/>
                <w:sz w:val="18"/>
                <w:szCs w:val="18"/>
                <w:lang w:eastAsia="en-GB"/>
              </w:rPr>
              <w:t>£482,459,135</w:t>
            </w:r>
          </w:p>
        </w:tc>
      </w:tr>
      <w:tr w:rsidR="009E7571" w:rsidRPr="001E05F5" w14:paraId="3392E1FB" w14:textId="77777777" w:rsidTr="00E20967">
        <w:trPr>
          <w:gridAfter w:val="2"/>
          <w:wAfter w:w="26" w:type="dxa"/>
          <w:trHeight w:val="288"/>
        </w:trPr>
        <w:tc>
          <w:tcPr>
            <w:tcW w:w="1028" w:type="dxa"/>
            <w:vMerge w:val="restart"/>
            <w:shd w:val="clear" w:color="auto" w:fill="auto"/>
            <w:vAlign w:val="center"/>
            <w:hideMark/>
          </w:tcPr>
          <w:p w14:paraId="43BC42C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285BD1C6"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658B52D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2CF638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CDBE52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AF1EB1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DD3E17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47E4AF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0C0F5F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44CE41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7BC73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39B9A2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1375C0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000000" w:fill="FFFFCC"/>
            <w:noWrap/>
            <w:vAlign w:val="center"/>
            <w:hideMark/>
          </w:tcPr>
          <w:p w14:paraId="276041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2BE27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43EF6C4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31A03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28110D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13F66D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685894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2945E94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7A1285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r>
      <w:tr w:rsidR="009E7571" w:rsidRPr="001E05F5" w14:paraId="57062213" w14:textId="77777777" w:rsidTr="00E20967">
        <w:trPr>
          <w:gridAfter w:val="2"/>
          <w:wAfter w:w="26" w:type="dxa"/>
          <w:trHeight w:val="288"/>
        </w:trPr>
        <w:tc>
          <w:tcPr>
            <w:tcW w:w="1028" w:type="dxa"/>
            <w:vMerge/>
            <w:vAlign w:val="center"/>
            <w:hideMark/>
          </w:tcPr>
          <w:p w14:paraId="24F41FA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446EBF07"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67A351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F73B89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57C5D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F11701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B05B2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12.1%</w:t>
            </w:r>
          </w:p>
        </w:tc>
        <w:tc>
          <w:tcPr>
            <w:tcW w:w="867" w:type="dxa"/>
            <w:gridSpan w:val="2"/>
            <w:shd w:val="clear" w:color="auto" w:fill="auto"/>
            <w:noWrap/>
            <w:vAlign w:val="center"/>
            <w:hideMark/>
          </w:tcPr>
          <w:p w14:paraId="64A4FA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12.2%</w:t>
            </w:r>
          </w:p>
        </w:tc>
        <w:tc>
          <w:tcPr>
            <w:tcW w:w="867" w:type="dxa"/>
            <w:gridSpan w:val="2"/>
            <w:shd w:val="clear" w:color="auto" w:fill="auto"/>
            <w:noWrap/>
            <w:vAlign w:val="center"/>
            <w:hideMark/>
          </w:tcPr>
          <w:p w14:paraId="2832B36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12.3%</w:t>
            </w:r>
          </w:p>
        </w:tc>
        <w:tc>
          <w:tcPr>
            <w:tcW w:w="867" w:type="dxa"/>
            <w:gridSpan w:val="2"/>
            <w:shd w:val="clear" w:color="auto" w:fill="auto"/>
            <w:noWrap/>
            <w:vAlign w:val="center"/>
            <w:hideMark/>
          </w:tcPr>
          <w:p w14:paraId="3C18E1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12.4%</w:t>
            </w:r>
          </w:p>
        </w:tc>
        <w:tc>
          <w:tcPr>
            <w:tcW w:w="867" w:type="dxa"/>
            <w:gridSpan w:val="2"/>
            <w:shd w:val="clear" w:color="auto" w:fill="auto"/>
            <w:noWrap/>
            <w:vAlign w:val="center"/>
            <w:hideMark/>
          </w:tcPr>
          <w:p w14:paraId="2196048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12.5%</w:t>
            </w:r>
          </w:p>
        </w:tc>
        <w:tc>
          <w:tcPr>
            <w:tcW w:w="867" w:type="dxa"/>
            <w:gridSpan w:val="2"/>
            <w:shd w:val="clear" w:color="auto" w:fill="auto"/>
            <w:noWrap/>
            <w:vAlign w:val="center"/>
            <w:hideMark/>
          </w:tcPr>
          <w:p w14:paraId="1338C41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12.7%</w:t>
            </w:r>
          </w:p>
        </w:tc>
        <w:tc>
          <w:tcPr>
            <w:tcW w:w="867" w:type="dxa"/>
            <w:gridSpan w:val="2"/>
            <w:shd w:val="clear" w:color="auto" w:fill="auto"/>
            <w:noWrap/>
            <w:vAlign w:val="center"/>
            <w:hideMark/>
          </w:tcPr>
          <w:p w14:paraId="03C6F19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12.8%</w:t>
            </w:r>
          </w:p>
        </w:tc>
        <w:tc>
          <w:tcPr>
            <w:tcW w:w="867" w:type="dxa"/>
            <w:gridSpan w:val="2"/>
            <w:shd w:val="clear" w:color="000000" w:fill="FFFFCC"/>
            <w:noWrap/>
            <w:vAlign w:val="center"/>
            <w:hideMark/>
          </w:tcPr>
          <w:p w14:paraId="022FA5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c>
          <w:tcPr>
            <w:tcW w:w="867" w:type="dxa"/>
            <w:gridSpan w:val="2"/>
            <w:shd w:val="clear" w:color="auto" w:fill="auto"/>
            <w:noWrap/>
            <w:vAlign w:val="center"/>
            <w:hideMark/>
          </w:tcPr>
          <w:p w14:paraId="78FDF83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13.0%</w:t>
            </w:r>
          </w:p>
        </w:tc>
        <w:tc>
          <w:tcPr>
            <w:tcW w:w="867" w:type="dxa"/>
            <w:gridSpan w:val="2"/>
            <w:shd w:val="clear" w:color="auto" w:fill="auto"/>
            <w:noWrap/>
            <w:vAlign w:val="center"/>
            <w:hideMark/>
          </w:tcPr>
          <w:p w14:paraId="42279AB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046735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067578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63A1C3A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4FDADD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1A60A0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0808DCA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r>
      <w:tr w:rsidR="009E7571" w:rsidRPr="001E05F5" w14:paraId="20B44403" w14:textId="77777777" w:rsidTr="00E20967">
        <w:trPr>
          <w:gridAfter w:val="2"/>
          <w:wAfter w:w="26" w:type="dxa"/>
          <w:trHeight w:val="288"/>
        </w:trPr>
        <w:tc>
          <w:tcPr>
            <w:tcW w:w="1028" w:type="dxa"/>
            <w:vMerge/>
            <w:vAlign w:val="center"/>
            <w:hideMark/>
          </w:tcPr>
          <w:p w14:paraId="21561536"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E787814"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6EA391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141952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A79F8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43884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752828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23672E3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865E44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7F2626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8B5427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5CC3822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-25.3%</w:t>
            </w:r>
          </w:p>
        </w:tc>
        <w:tc>
          <w:tcPr>
            <w:tcW w:w="867" w:type="dxa"/>
            <w:gridSpan w:val="2"/>
            <w:shd w:val="clear" w:color="auto" w:fill="auto"/>
            <w:noWrap/>
            <w:vAlign w:val="center"/>
            <w:hideMark/>
          </w:tcPr>
          <w:p w14:paraId="53660C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-25.3%</w:t>
            </w:r>
          </w:p>
        </w:tc>
        <w:tc>
          <w:tcPr>
            <w:tcW w:w="867" w:type="dxa"/>
            <w:gridSpan w:val="2"/>
            <w:shd w:val="clear" w:color="000000" w:fill="FFFFCC"/>
            <w:noWrap/>
            <w:vAlign w:val="center"/>
            <w:hideMark/>
          </w:tcPr>
          <w:p w14:paraId="0CF3E8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-25.3%</w:t>
            </w:r>
          </w:p>
        </w:tc>
        <w:tc>
          <w:tcPr>
            <w:tcW w:w="867" w:type="dxa"/>
            <w:gridSpan w:val="2"/>
            <w:shd w:val="clear" w:color="auto" w:fill="auto"/>
            <w:noWrap/>
            <w:vAlign w:val="center"/>
            <w:hideMark/>
          </w:tcPr>
          <w:p w14:paraId="0434FFB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-25.2%</w:t>
            </w:r>
          </w:p>
        </w:tc>
        <w:tc>
          <w:tcPr>
            <w:tcW w:w="867" w:type="dxa"/>
            <w:gridSpan w:val="2"/>
            <w:shd w:val="clear" w:color="auto" w:fill="auto"/>
            <w:noWrap/>
            <w:vAlign w:val="center"/>
            <w:hideMark/>
          </w:tcPr>
          <w:p w14:paraId="0042F3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-25.2%</w:t>
            </w:r>
          </w:p>
        </w:tc>
        <w:tc>
          <w:tcPr>
            <w:tcW w:w="867" w:type="dxa"/>
            <w:gridSpan w:val="2"/>
            <w:shd w:val="clear" w:color="auto" w:fill="auto"/>
            <w:noWrap/>
            <w:vAlign w:val="center"/>
            <w:hideMark/>
          </w:tcPr>
          <w:p w14:paraId="23930E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-25.2%</w:t>
            </w:r>
          </w:p>
        </w:tc>
        <w:tc>
          <w:tcPr>
            <w:tcW w:w="867" w:type="dxa"/>
            <w:gridSpan w:val="2"/>
            <w:shd w:val="clear" w:color="auto" w:fill="auto"/>
            <w:noWrap/>
            <w:vAlign w:val="center"/>
            <w:hideMark/>
          </w:tcPr>
          <w:p w14:paraId="5B959AD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-25.2%</w:t>
            </w:r>
          </w:p>
        </w:tc>
        <w:tc>
          <w:tcPr>
            <w:tcW w:w="867" w:type="dxa"/>
            <w:gridSpan w:val="2"/>
            <w:shd w:val="clear" w:color="auto" w:fill="auto"/>
            <w:noWrap/>
            <w:vAlign w:val="center"/>
            <w:hideMark/>
          </w:tcPr>
          <w:p w14:paraId="1562152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-25.2%</w:t>
            </w:r>
          </w:p>
        </w:tc>
        <w:tc>
          <w:tcPr>
            <w:tcW w:w="867" w:type="dxa"/>
            <w:gridSpan w:val="2"/>
            <w:shd w:val="clear" w:color="auto" w:fill="auto"/>
            <w:noWrap/>
            <w:vAlign w:val="center"/>
            <w:hideMark/>
          </w:tcPr>
          <w:p w14:paraId="6ED34ED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-25.2%</w:t>
            </w:r>
          </w:p>
        </w:tc>
        <w:tc>
          <w:tcPr>
            <w:tcW w:w="867" w:type="dxa"/>
            <w:gridSpan w:val="2"/>
            <w:shd w:val="clear" w:color="auto" w:fill="auto"/>
            <w:noWrap/>
            <w:vAlign w:val="center"/>
            <w:hideMark/>
          </w:tcPr>
          <w:p w14:paraId="3B8472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-25.1%</w:t>
            </w:r>
          </w:p>
        </w:tc>
        <w:tc>
          <w:tcPr>
            <w:tcW w:w="867" w:type="dxa"/>
            <w:gridSpan w:val="2"/>
            <w:shd w:val="clear" w:color="auto" w:fill="auto"/>
            <w:noWrap/>
            <w:vAlign w:val="center"/>
            <w:hideMark/>
          </w:tcPr>
          <w:p w14:paraId="63326E0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-25.1%</w:t>
            </w:r>
          </w:p>
        </w:tc>
      </w:tr>
      <w:tr w:rsidR="009E7571" w:rsidRPr="001E05F5" w14:paraId="371B8ECD" w14:textId="77777777" w:rsidTr="00E20967">
        <w:trPr>
          <w:gridAfter w:val="2"/>
          <w:wAfter w:w="26" w:type="dxa"/>
          <w:trHeight w:val="288"/>
        </w:trPr>
        <w:tc>
          <w:tcPr>
            <w:tcW w:w="1028" w:type="dxa"/>
            <w:vMerge/>
            <w:vAlign w:val="center"/>
            <w:hideMark/>
          </w:tcPr>
          <w:p w14:paraId="3EA1DA6B"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244FE9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0BE861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6D02280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6C667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47743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E658FF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4950EA5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403B164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35D343C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04DB8E1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75E70B0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auto" w:fill="auto"/>
            <w:noWrap/>
            <w:vAlign w:val="center"/>
            <w:hideMark/>
          </w:tcPr>
          <w:p w14:paraId="3B9F03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000000" w:fill="FFFFCC"/>
            <w:noWrap/>
            <w:vAlign w:val="center"/>
            <w:hideMark/>
          </w:tcPr>
          <w:p w14:paraId="5E507E9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auto" w:fill="auto"/>
            <w:noWrap/>
            <w:vAlign w:val="center"/>
            <w:hideMark/>
          </w:tcPr>
          <w:p w14:paraId="511654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auto" w:fill="auto"/>
            <w:noWrap/>
            <w:vAlign w:val="center"/>
            <w:hideMark/>
          </w:tcPr>
          <w:p w14:paraId="60C601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auto" w:fill="auto"/>
            <w:noWrap/>
            <w:vAlign w:val="center"/>
            <w:hideMark/>
          </w:tcPr>
          <w:p w14:paraId="2734D5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auto" w:fill="auto"/>
            <w:noWrap/>
            <w:vAlign w:val="center"/>
            <w:hideMark/>
          </w:tcPr>
          <w:p w14:paraId="30EFAAA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auto" w:fill="auto"/>
            <w:noWrap/>
            <w:vAlign w:val="center"/>
            <w:hideMark/>
          </w:tcPr>
          <w:p w14:paraId="75738F8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auto" w:fill="auto"/>
            <w:noWrap/>
            <w:vAlign w:val="center"/>
            <w:hideMark/>
          </w:tcPr>
          <w:p w14:paraId="6D552DD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auto" w:fill="auto"/>
            <w:noWrap/>
            <w:vAlign w:val="center"/>
            <w:hideMark/>
          </w:tcPr>
          <w:p w14:paraId="77CC732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c>
          <w:tcPr>
            <w:tcW w:w="867" w:type="dxa"/>
            <w:gridSpan w:val="2"/>
            <w:shd w:val="clear" w:color="auto" w:fill="auto"/>
            <w:noWrap/>
            <w:vAlign w:val="center"/>
            <w:hideMark/>
          </w:tcPr>
          <w:p w14:paraId="796BC96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10.8%</w:t>
            </w:r>
          </w:p>
        </w:tc>
      </w:tr>
      <w:tr w:rsidR="00D46E3A" w:rsidRPr="001E05F5" w14:paraId="12A6156D" w14:textId="77777777" w:rsidTr="00E20967">
        <w:trPr>
          <w:gridAfter w:val="2"/>
          <w:wAfter w:w="26" w:type="dxa"/>
          <w:trHeight w:val="288"/>
        </w:trPr>
        <w:tc>
          <w:tcPr>
            <w:tcW w:w="1028" w:type="dxa"/>
            <w:vMerge/>
            <w:vAlign w:val="center"/>
            <w:hideMark/>
          </w:tcPr>
          <w:p w14:paraId="37422278"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F3120D1"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1AC50038"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-4.5%</w:t>
            </w:r>
          </w:p>
        </w:tc>
      </w:tr>
      <w:tr w:rsidR="009E7571" w:rsidRPr="001E05F5" w14:paraId="7EEEBBFB" w14:textId="77777777" w:rsidTr="00E20967">
        <w:trPr>
          <w:gridAfter w:val="2"/>
          <w:wAfter w:w="26" w:type="dxa"/>
          <w:trHeight w:val="288"/>
        </w:trPr>
        <w:tc>
          <w:tcPr>
            <w:tcW w:w="3261" w:type="dxa"/>
            <w:gridSpan w:val="2"/>
            <w:shd w:val="clear" w:color="auto" w:fill="D9D9D9" w:themeFill="background1" w:themeFillShade="D9"/>
            <w:noWrap/>
            <w:vAlign w:val="center"/>
            <w:hideMark/>
          </w:tcPr>
          <w:p w14:paraId="0890A91A" w14:textId="77777777" w:rsidR="009E7571" w:rsidRPr="001E05F5" w:rsidRDefault="009E7571" w:rsidP="009E7571">
            <w:pPr>
              <w:spacing w:after="0" w:line="240" w:lineRule="auto"/>
              <w:rPr>
                <w:rFonts w:cs="Arial"/>
                <w:b/>
                <w:color w:val="000000"/>
                <w:sz w:val="18"/>
                <w:szCs w:val="18"/>
                <w:lang w:eastAsia="en-GB"/>
              </w:rPr>
            </w:pPr>
            <w:r w:rsidRPr="001E05F5">
              <w:rPr>
                <w:rFonts w:cs="Arial"/>
                <w:b/>
                <w:color w:val="000000"/>
                <w:sz w:val="18"/>
                <w:szCs w:val="18"/>
                <w:lang w:eastAsia="en-GB"/>
              </w:rPr>
              <w:t>Scenario 3h</w:t>
            </w:r>
          </w:p>
        </w:tc>
        <w:tc>
          <w:tcPr>
            <w:tcW w:w="1129" w:type="dxa"/>
            <w:shd w:val="clear" w:color="auto" w:fill="D9D9D9" w:themeFill="background1" w:themeFillShade="D9"/>
            <w:noWrap/>
            <w:vAlign w:val="center"/>
            <w:hideMark/>
          </w:tcPr>
          <w:p w14:paraId="30B40E4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2016/17</w:t>
            </w:r>
          </w:p>
        </w:tc>
        <w:tc>
          <w:tcPr>
            <w:tcW w:w="867" w:type="dxa"/>
            <w:shd w:val="clear" w:color="auto" w:fill="D9D9D9" w:themeFill="background1" w:themeFillShade="D9"/>
            <w:noWrap/>
            <w:vAlign w:val="center"/>
            <w:hideMark/>
          </w:tcPr>
          <w:p w14:paraId="0693BC3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2017/18</w:t>
            </w:r>
          </w:p>
        </w:tc>
        <w:tc>
          <w:tcPr>
            <w:tcW w:w="867" w:type="dxa"/>
            <w:gridSpan w:val="2"/>
            <w:shd w:val="clear" w:color="auto" w:fill="D9D9D9" w:themeFill="background1" w:themeFillShade="D9"/>
            <w:noWrap/>
            <w:vAlign w:val="center"/>
            <w:hideMark/>
          </w:tcPr>
          <w:p w14:paraId="6CA85355"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2018/19</w:t>
            </w:r>
          </w:p>
        </w:tc>
        <w:tc>
          <w:tcPr>
            <w:tcW w:w="867" w:type="dxa"/>
            <w:gridSpan w:val="2"/>
            <w:shd w:val="clear" w:color="auto" w:fill="D9D9D9" w:themeFill="background1" w:themeFillShade="D9"/>
            <w:noWrap/>
            <w:vAlign w:val="center"/>
            <w:hideMark/>
          </w:tcPr>
          <w:p w14:paraId="1091DD6A"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2019/20</w:t>
            </w:r>
          </w:p>
        </w:tc>
        <w:tc>
          <w:tcPr>
            <w:tcW w:w="867" w:type="dxa"/>
            <w:gridSpan w:val="2"/>
            <w:shd w:val="clear" w:color="auto" w:fill="D9D9D9" w:themeFill="background1" w:themeFillShade="D9"/>
            <w:noWrap/>
            <w:vAlign w:val="center"/>
            <w:hideMark/>
          </w:tcPr>
          <w:p w14:paraId="46E7F6F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2020/21</w:t>
            </w:r>
          </w:p>
        </w:tc>
        <w:tc>
          <w:tcPr>
            <w:tcW w:w="867" w:type="dxa"/>
            <w:gridSpan w:val="2"/>
            <w:shd w:val="clear" w:color="auto" w:fill="D9D9D9" w:themeFill="background1" w:themeFillShade="D9"/>
            <w:noWrap/>
            <w:vAlign w:val="center"/>
            <w:hideMark/>
          </w:tcPr>
          <w:p w14:paraId="4BFA11D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2021/22</w:t>
            </w:r>
          </w:p>
        </w:tc>
        <w:tc>
          <w:tcPr>
            <w:tcW w:w="867" w:type="dxa"/>
            <w:gridSpan w:val="2"/>
            <w:shd w:val="clear" w:color="auto" w:fill="D9D9D9" w:themeFill="background1" w:themeFillShade="D9"/>
            <w:noWrap/>
            <w:vAlign w:val="center"/>
            <w:hideMark/>
          </w:tcPr>
          <w:p w14:paraId="538B09BF"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2022/23</w:t>
            </w:r>
          </w:p>
        </w:tc>
        <w:tc>
          <w:tcPr>
            <w:tcW w:w="867" w:type="dxa"/>
            <w:gridSpan w:val="2"/>
            <w:shd w:val="clear" w:color="auto" w:fill="D9D9D9" w:themeFill="background1" w:themeFillShade="D9"/>
            <w:noWrap/>
            <w:vAlign w:val="center"/>
            <w:hideMark/>
          </w:tcPr>
          <w:p w14:paraId="1801B76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2023/24</w:t>
            </w:r>
          </w:p>
        </w:tc>
        <w:tc>
          <w:tcPr>
            <w:tcW w:w="867" w:type="dxa"/>
            <w:gridSpan w:val="2"/>
            <w:shd w:val="clear" w:color="auto" w:fill="D9D9D9" w:themeFill="background1" w:themeFillShade="D9"/>
            <w:noWrap/>
            <w:vAlign w:val="center"/>
            <w:hideMark/>
          </w:tcPr>
          <w:p w14:paraId="14E5F484"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2024/25</w:t>
            </w:r>
          </w:p>
        </w:tc>
        <w:tc>
          <w:tcPr>
            <w:tcW w:w="867" w:type="dxa"/>
            <w:gridSpan w:val="2"/>
            <w:shd w:val="clear" w:color="auto" w:fill="D9D9D9" w:themeFill="background1" w:themeFillShade="D9"/>
            <w:noWrap/>
            <w:vAlign w:val="center"/>
            <w:hideMark/>
          </w:tcPr>
          <w:p w14:paraId="54E2165D"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2025/26</w:t>
            </w:r>
          </w:p>
        </w:tc>
        <w:tc>
          <w:tcPr>
            <w:tcW w:w="867" w:type="dxa"/>
            <w:gridSpan w:val="2"/>
            <w:shd w:val="clear" w:color="auto" w:fill="D9D9D9" w:themeFill="background1" w:themeFillShade="D9"/>
            <w:noWrap/>
            <w:vAlign w:val="center"/>
            <w:hideMark/>
          </w:tcPr>
          <w:p w14:paraId="0080C049"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2026/27</w:t>
            </w:r>
          </w:p>
        </w:tc>
        <w:tc>
          <w:tcPr>
            <w:tcW w:w="867" w:type="dxa"/>
            <w:gridSpan w:val="2"/>
            <w:shd w:val="clear" w:color="auto" w:fill="D9D9D9" w:themeFill="background1" w:themeFillShade="D9"/>
            <w:noWrap/>
            <w:vAlign w:val="center"/>
            <w:hideMark/>
          </w:tcPr>
          <w:p w14:paraId="665D637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2027/28</w:t>
            </w:r>
          </w:p>
        </w:tc>
        <w:tc>
          <w:tcPr>
            <w:tcW w:w="867" w:type="dxa"/>
            <w:gridSpan w:val="2"/>
            <w:shd w:val="clear" w:color="auto" w:fill="D9D9D9" w:themeFill="background1" w:themeFillShade="D9"/>
            <w:noWrap/>
            <w:vAlign w:val="center"/>
            <w:hideMark/>
          </w:tcPr>
          <w:p w14:paraId="27BDE038"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2028/29</w:t>
            </w:r>
          </w:p>
        </w:tc>
        <w:tc>
          <w:tcPr>
            <w:tcW w:w="867" w:type="dxa"/>
            <w:gridSpan w:val="2"/>
            <w:shd w:val="clear" w:color="auto" w:fill="D9D9D9" w:themeFill="background1" w:themeFillShade="D9"/>
            <w:noWrap/>
            <w:vAlign w:val="center"/>
            <w:hideMark/>
          </w:tcPr>
          <w:p w14:paraId="3A4F7952"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2029/30</w:t>
            </w:r>
          </w:p>
        </w:tc>
        <w:tc>
          <w:tcPr>
            <w:tcW w:w="867" w:type="dxa"/>
            <w:gridSpan w:val="2"/>
            <w:shd w:val="clear" w:color="auto" w:fill="D9D9D9" w:themeFill="background1" w:themeFillShade="D9"/>
            <w:noWrap/>
            <w:vAlign w:val="center"/>
            <w:hideMark/>
          </w:tcPr>
          <w:p w14:paraId="15EE026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2030/31</w:t>
            </w:r>
          </w:p>
        </w:tc>
        <w:tc>
          <w:tcPr>
            <w:tcW w:w="867" w:type="dxa"/>
            <w:gridSpan w:val="2"/>
            <w:shd w:val="clear" w:color="auto" w:fill="D9D9D9" w:themeFill="background1" w:themeFillShade="D9"/>
            <w:noWrap/>
            <w:vAlign w:val="center"/>
            <w:hideMark/>
          </w:tcPr>
          <w:p w14:paraId="66DDF09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2031/32</w:t>
            </w:r>
          </w:p>
        </w:tc>
        <w:tc>
          <w:tcPr>
            <w:tcW w:w="867" w:type="dxa"/>
            <w:gridSpan w:val="2"/>
            <w:shd w:val="clear" w:color="auto" w:fill="D9D9D9" w:themeFill="background1" w:themeFillShade="D9"/>
            <w:noWrap/>
            <w:vAlign w:val="center"/>
            <w:hideMark/>
          </w:tcPr>
          <w:p w14:paraId="6B62E6C1"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2032/33</w:t>
            </w:r>
          </w:p>
        </w:tc>
        <w:tc>
          <w:tcPr>
            <w:tcW w:w="867" w:type="dxa"/>
            <w:gridSpan w:val="2"/>
            <w:shd w:val="clear" w:color="auto" w:fill="D9D9D9" w:themeFill="background1" w:themeFillShade="D9"/>
            <w:noWrap/>
            <w:vAlign w:val="center"/>
            <w:hideMark/>
          </w:tcPr>
          <w:p w14:paraId="4C3B7286"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2033/34</w:t>
            </w:r>
          </w:p>
        </w:tc>
        <w:tc>
          <w:tcPr>
            <w:tcW w:w="867" w:type="dxa"/>
            <w:gridSpan w:val="2"/>
            <w:shd w:val="clear" w:color="auto" w:fill="D9D9D9" w:themeFill="background1" w:themeFillShade="D9"/>
            <w:noWrap/>
            <w:vAlign w:val="center"/>
            <w:hideMark/>
          </w:tcPr>
          <w:p w14:paraId="1FA554A0"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2034/35</w:t>
            </w:r>
          </w:p>
        </w:tc>
        <w:tc>
          <w:tcPr>
            <w:tcW w:w="867" w:type="dxa"/>
            <w:gridSpan w:val="2"/>
            <w:shd w:val="clear" w:color="auto" w:fill="D9D9D9" w:themeFill="background1" w:themeFillShade="D9"/>
            <w:noWrap/>
            <w:vAlign w:val="center"/>
            <w:hideMark/>
          </w:tcPr>
          <w:p w14:paraId="24AC3EB7" w14:textId="77777777" w:rsidR="009E7571" w:rsidRPr="001E05F5" w:rsidRDefault="009E7571" w:rsidP="009E7571">
            <w:pPr>
              <w:spacing w:after="0" w:line="240" w:lineRule="auto"/>
              <w:jc w:val="right"/>
              <w:rPr>
                <w:rFonts w:cs="Arial"/>
                <w:b/>
                <w:color w:val="000000"/>
                <w:sz w:val="18"/>
                <w:szCs w:val="18"/>
                <w:lang w:eastAsia="en-GB"/>
              </w:rPr>
            </w:pPr>
            <w:r w:rsidRPr="001E05F5">
              <w:rPr>
                <w:rFonts w:cs="Arial"/>
                <w:b/>
                <w:color w:val="000000"/>
                <w:sz w:val="18"/>
                <w:szCs w:val="18"/>
                <w:lang w:eastAsia="en-GB"/>
              </w:rPr>
              <w:t>2035/36</w:t>
            </w:r>
          </w:p>
        </w:tc>
      </w:tr>
      <w:tr w:rsidR="009E7571" w:rsidRPr="001E05F5" w14:paraId="047C1706" w14:textId="77777777" w:rsidTr="00E20967">
        <w:trPr>
          <w:gridAfter w:val="2"/>
          <w:wAfter w:w="26" w:type="dxa"/>
          <w:trHeight w:val="288"/>
        </w:trPr>
        <w:tc>
          <w:tcPr>
            <w:tcW w:w="1028" w:type="dxa"/>
            <w:vMerge w:val="restart"/>
            <w:shd w:val="clear" w:color="auto" w:fill="auto"/>
            <w:vAlign w:val="center"/>
            <w:hideMark/>
          </w:tcPr>
          <w:p w14:paraId="27AE93A8" w14:textId="77777777" w:rsidR="000B6808" w:rsidRPr="001E05F5" w:rsidRDefault="000B6808" w:rsidP="009E7571">
            <w:pPr>
              <w:spacing w:after="0" w:line="240" w:lineRule="auto"/>
              <w:rPr>
                <w:rFonts w:cs="Arial"/>
                <w:color w:val="000000"/>
                <w:sz w:val="18"/>
                <w:szCs w:val="18"/>
                <w:lang w:eastAsia="en-GB"/>
              </w:rPr>
            </w:pPr>
            <w:proofErr w:type="spellStart"/>
            <w:r w:rsidRPr="001E05F5">
              <w:rPr>
                <w:rFonts w:cs="Arial"/>
                <w:color w:val="000000"/>
                <w:sz w:val="18"/>
                <w:szCs w:val="18"/>
                <w:lang w:eastAsia="en-GB"/>
              </w:rPr>
              <w:t>WfM</w:t>
            </w:r>
            <w:proofErr w:type="spellEnd"/>
            <w:r w:rsidRPr="001E05F5">
              <w:rPr>
                <w:rFonts w:cs="Arial"/>
                <w:color w:val="000000"/>
                <w:sz w:val="18"/>
                <w:szCs w:val="18"/>
                <w:lang w:eastAsia="en-GB"/>
              </w:rPr>
              <w:t xml:space="preserve"> outputs</w:t>
            </w:r>
          </w:p>
        </w:tc>
        <w:tc>
          <w:tcPr>
            <w:tcW w:w="2233" w:type="dxa"/>
            <w:shd w:val="clear" w:color="auto" w:fill="auto"/>
            <w:noWrap/>
            <w:vAlign w:val="center"/>
            <w:hideMark/>
          </w:tcPr>
          <w:p w14:paraId="6F635717"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Total LACW arisings</w:t>
            </w:r>
          </w:p>
        </w:tc>
        <w:tc>
          <w:tcPr>
            <w:tcW w:w="1129" w:type="dxa"/>
            <w:shd w:val="clear" w:color="auto" w:fill="auto"/>
            <w:noWrap/>
            <w:vAlign w:val="center"/>
            <w:hideMark/>
          </w:tcPr>
          <w:p w14:paraId="5110FC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351,644</w:t>
            </w:r>
          </w:p>
        </w:tc>
        <w:tc>
          <w:tcPr>
            <w:tcW w:w="867" w:type="dxa"/>
            <w:shd w:val="clear" w:color="auto" w:fill="auto"/>
            <w:noWrap/>
            <w:vAlign w:val="center"/>
            <w:hideMark/>
          </w:tcPr>
          <w:p w14:paraId="13C6B5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351,860</w:t>
            </w:r>
          </w:p>
        </w:tc>
        <w:tc>
          <w:tcPr>
            <w:tcW w:w="867" w:type="dxa"/>
            <w:gridSpan w:val="2"/>
            <w:shd w:val="clear" w:color="auto" w:fill="auto"/>
            <w:noWrap/>
            <w:vAlign w:val="center"/>
            <w:hideMark/>
          </w:tcPr>
          <w:p w14:paraId="49281B0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353,917</w:t>
            </w:r>
          </w:p>
        </w:tc>
        <w:tc>
          <w:tcPr>
            <w:tcW w:w="867" w:type="dxa"/>
            <w:gridSpan w:val="2"/>
            <w:shd w:val="clear" w:color="auto" w:fill="auto"/>
            <w:noWrap/>
            <w:vAlign w:val="center"/>
            <w:hideMark/>
          </w:tcPr>
          <w:p w14:paraId="22A2CE5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356,011</w:t>
            </w:r>
          </w:p>
        </w:tc>
        <w:tc>
          <w:tcPr>
            <w:tcW w:w="867" w:type="dxa"/>
            <w:gridSpan w:val="2"/>
            <w:shd w:val="clear" w:color="auto" w:fill="auto"/>
            <w:noWrap/>
            <w:vAlign w:val="center"/>
            <w:hideMark/>
          </w:tcPr>
          <w:p w14:paraId="5AD39D4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350,790</w:t>
            </w:r>
          </w:p>
        </w:tc>
        <w:tc>
          <w:tcPr>
            <w:tcW w:w="867" w:type="dxa"/>
            <w:gridSpan w:val="2"/>
            <w:shd w:val="clear" w:color="auto" w:fill="auto"/>
            <w:noWrap/>
            <w:vAlign w:val="center"/>
            <w:hideMark/>
          </w:tcPr>
          <w:p w14:paraId="034672C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352,764</w:t>
            </w:r>
          </w:p>
        </w:tc>
        <w:tc>
          <w:tcPr>
            <w:tcW w:w="867" w:type="dxa"/>
            <w:gridSpan w:val="2"/>
            <w:shd w:val="clear" w:color="auto" w:fill="auto"/>
            <w:noWrap/>
            <w:vAlign w:val="center"/>
            <w:hideMark/>
          </w:tcPr>
          <w:p w14:paraId="40AF2E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354,667</w:t>
            </w:r>
          </w:p>
        </w:tc>
        <w:tc>
          <w:tcPr>
            <w:tcW w:w="867" w:type="dxa"/>
            <w:gridSpan w:val="2"/>
            <w:shd w:val="clear" w:color="auto" w:fill="auto"/>
            <w:noWrap/>
            <w:vAlign w:val="center"/>
            <w:hideMark/>
          </w:tcPr>
          <w:p w14:paraId="1BA6A37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356,433</w:t>
            </w:r>
          </w:p>
        </w:tc>
        <w:tc>
          <w:tcPr>
            <w:tcW w:w="867" w:type="dxa"/>
            <w:gridSpan w:val="2"/>
            <w:shd w:val="clear" w:color="auto" w:fill="auto"/>
            <w:noWrap/>
            <w:vAlign w:val="center"/>
            <w:hideMark/>
          </w:tcPr>
          <w:p w14:paraId="62D902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358,221</w:t>
            </w:r>
          </w:p>
        </w:tc>
        <w:tc>
          <w:tcPr>
            <w:tcW w:w="867" w:type="dxa"/>
            <w:gridSpan w:val="2"/>
            <w:shd w:val="clear" w:color="auto" w:fill="auto"/>
            <w:noWrap/>
            <w:vAlign w:val="center"/>
            <w:hideMark/>
          </w:tcPr>
          <w:p w14:paraId="3A509A5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360,011</w:t>
            </w:r>
          </w:p>
        </w:tc>
        <w:tc>
          <w:tcPr>
            <w:tcW w:w="867" w:type="dxa"/>
            <w:gridSpan w:val="2"/>
            <w:shd w:val="clear" w:color="auto" w:fill="auto"/>
            <w:noWrap/>
            <w:vAlign w:val="center"/>
            <w:hideMark/>
          </w:tcPr>
          <w:p w14:paraId="413D568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361,909</w:t>
            </w:r>
          </w:p>
        </w:tc>
        <w:tc>
          <w:tcPr>
            <w:tcW w:w="867" w:type="dxa"/>
            <w:gridSpan w:val="2"/>
            <w:shd w:val="clear" w:color="000000" w:fill="FFFFCC"/>
            <w:noWrap/>
            <w:vAlign w:val="center"/>
            <w:hideMark/>
          </w:tcPr>
          <w:p w14:paraId="692CE32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363,723</w:t>
            </w:r>
          </w:p>
        </w:tc>
        <w:tc>
          <w:tcPr>
            <w:tcW w:w="867" w:type="dxa"/>
            <w:gridSpan w:val="2"/>
            <w:shd w:val="clear" w:color="auto" w:fill="auto"/>
            <w:noWrap/>
            <w:vAlign w:val="center"/>
            <w:hideMark/>
          </w:tcPr>
          <w:p w14:paraId="7A139A9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365,503</w:t>
            </w:r>
          </w:p>
        </w:tc>
        <w:tc>
          <w:tcPr>
            <w:tcW w:w="867" w:type="dxa"/>
            <w:gridSpan w:val="2"/>
            <w:shd w:val="clear" w:color="auto" w:fill="auto"/>
            <w:noWrap/>
            <w:vAlign w:val="center"/>
            <w:hideMark/>
          </w:tcPr>
          <w:p w14:paraId="5D1EBF5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367,225</w:t>
            </w:r>
          </w:p>
        </w:tc>
        <w:tc>
          <w:tcPr>
            <w:tcW w:w="867" w:type="dxa"/>
            <w:gridSpan w:val="2"/>
            <w:shd w:val="clear" w:color="auto" w:fill="auto"/>
            <w:noWrap/>
            <w:vAlign w:val="center"/>
            <w:hideMark/>
          </w:tcPr>
          <w:p w14:paraId="7F9F4B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368,935</w:t>
            </w:r>
          </w:p>
        </w:tc>
        <w:tc>
          <w:tcPr>
            <w:tcW w:w="867" w:type="dxa"/>
            <w:gridSpan w:val="2"/>
            <w:shd w:val="clear" w:color="auto" w:fill="auto"/>
            <w:noWrap/>
            <w:vAlign w:val="center"/>
            <w:hideMark/>
          </w:tcPr>
          <w:p w14:paraId="1D2D4B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370,722</w:t>
            </w:r>
          </w:p>
        </w:tc>
        <w:tc>
          <w:tcPr>
            <w:tcW w:w="867" w:type="dxa"/>
            <w:gridSpan w:val="2"/>
            <w:shd w:val="clear" w:color="auto" w:fill="auto"/>
            <w:noWrap/>
            <w:vAlign w:val="center"/>
            <w:hideMark/>
          </w:tcPr>
          <w:p w14:paraId="6DC0CE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372,398</w:t>
            </w:r>
          </w:p>
        </w:tc>
        <w:tc>
          <w:tcPr>
            <w:tcW w:w="867" w:type="dxa"/>
            <w:gridSpan w:val="2"/>
            <w:shd w:val="clear" w:color="auto" w:fill="auto"/>
            <w:noWrap/>
            <w:vAlign w:val="center"/>
            <w:hideMark/>
          </w:tcPr>
          <w:p w14:paraId="18C4FA2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374,053</w:t>
            </w:r>
          </w:p>
        </w:tc>
        <w:tc>
          <w:tcPr>
            <w:tcW w:w="867" w:type="dxa"/>
            <w:gridSpan w:val="2"/>
            <w:shd w:val="clear" w:color="auto" w:fill="auto"/>
            <w:noWrap/>
            <w:vAlign w:val="center"/>
            <w:hideMark/>
          </w:tcPr>
          <w:p w14:paraId="57BE16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375,603</w:t>
            </w:r>
          </w:p>
        </w:tc>
        <w:tc>
          <w:tcPr>
            <w:tcW w:w="867" w:type="dxa"/>
            <w:gridSpan w:val="2"/>
            <w:shd w:val="clear" w:color="auto" w:fill="auto"/>
            <w:noWrap/>
            <w:vAlign w:val="center"/>
            <w:hideMark/>
          </w:tcPr>
          <w:p w14:paraId="326915F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377,166</w:t>
            </w:r>
          </w:p>
        </w:tc>
      </w:tr>
      <w:tr w:rsidR="009E7571" w:rsidRPr="001E05F5" w14:paraId="624B4A7A" w14:textId="77777777" w:rsidTr="00E20967">
        <w:trPr>
          <w:gridAfter w:val="2"/>
          <w:wAfter w:w="26" w:type="dxa"/>
          <w:trHeight w:val="288"/>
        </w:trPr>
        <w:tc>
          <w:tcPr>
            <w:tcW w:w="1028" w:type="dxa"/>
            <w:vMerge/>
            <w:vAlign w:val="center"/>
            <w:hideMark/>
          </w:tcPr>
          <w:p w14:paraId="278BEB71"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3DD4129C"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Reuse and recycling</w:t>
            </w:r>
          </w:p>
        </w:tc>
        <w:tc>
          <w:tcPr>
            <w:tcW w:w="1129" w:type="dxa"/>
            <w:shd w:val="clear" w:color="auto" w:fill="auto"/>
            <w:noWrap/>
            <w:vAlign w:val="center"/>
            <w:hideMark/>
          </w:tcPr>
          <w:p w14:paraId="0BDACC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shd w:val="clear" w:color="auto" w:fill="auto"/>
            <w:noWrap/>
            <w:vAlign w:val="center"/>
            <w:hideMark/>
          </w:tcPr>
          <w:p w14:paraId="63D9B9F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32BF29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34.2%</w:t>
            </w:r>
          </w:p>
        </w:tc>
        <w:tc>
          <w:tcPr>
            <w:tcW w:w="867" w:type="dxa"/>
            <w:gridSpan w:val="2"/>
            <w:shd w:val="clear" w:color="auto" w:fill="auto"/>
            <w:noWrap/>
            <w:vAlign w:val="center"/>
            <w:hideMark/>
          </w:tcPr>
          <w:p w14:paraId="6AA6AF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34.1%</w:t>
            </w:r>
          </w:p>
        </w:tc>
        <w:tc>
          <w:tcPr>
            <w:tcW w:w="867" w:type="dxa"/>
            <w:gridSpan w:val="2"/>
            <w:shd w:val="clear" w:color="auto" w:fill="auto"/>
            <w:noWrap/>
            <w:vAlign w:val="center"/>
            <w:hideMark/>
          </w:tcPr>
          <w:p w14:paraId="179619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46.2%</w:t>
            </w:r>
          </w:p>
        </w:tc>
        <w:tc>
          <w:tcPr>
            <w:tcW w:w="867" w:type="dxa"/>
            <w:gridSpan w:val="2"/>
            <w:shd w:val="clear" w:color="auto" w:fill="auto"/>
            <w:noWrap/>
            <w:vAlign w:val="center"/>
            <w:hideMark/>
          </w:tcPr>
          <w:p w14:paraId="746301A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46.3%</w:t>
            </w:r>
          </w:p>
        </w:tc>
        <w:tc>
          <w:tcPr>
            <w:tcW w:w="867" w:type="dxa"/>
            <w:gridSpan w:val="2"/>
            <w:shd w:val="clear" w:color="auto" w:fill="auto"/>
            <w:noWrap/>
            <w:vAlign w:val="center"/>
            <w:hideMark/>
          </w:tcPr>
          <w:p w14:paraId="1542F8F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46.3%</w:t>
            </w:r>
          </w:p>
        </w:tc>
        <w:tc>
          <w:tcPr>
            <w:tcW w:w="867" w:type="dxa"/>
            <w:gridSpan w:val="2"/>
            <w:shd w:val="clear" w:color="auto" w:fill="auto"/>
            <w:noWrap/>
            <w:vAlign w:val="center"/>
            <w:hideMark/>
          </w:tcPr>
          <w:p w14:paraId="45554C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46.4%</w:t>
            </w:r>
          </w:p>
        </w:tc>
        <w:tc>
          <w:tcPr>
            <w:tcW w:w="867" w:type="dxa"/>
            <w:gridSpan w:val="2"/>
            <w:shd w:val="clear" w:color="auto" w:fill="auto"/>
            <w:noWrap/>
            <w:vAlign w:val="center"/>
            <w:hideMark/>
          </w:tcPr>
          <w:p w14:paraId="745A57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46.5%</w:t>
            </w:r>
          </w:p>
        </w:tc>
        <w:tc>
          <w:tcPr>
            <w:tcW w:w="867" w:type="dxa"/>
            <w:gridSpan w:val="2"/>
            <w:shd w:val="clear" w:color="auto" w:fill="auto"/>
            <w:noWrap/>
            <w:vAlign w:val="center"/>
            <w:hideMark/>
          </w:tcPr>
          <w:p w14:paraId="48EE559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46.7%</w:t>
            </w:r>
          </w:p>
        </w:tc>
        <w:tc>
          <w:tcPr>
            <w:tcW w:w="867" w:type="dxa"/>
            <w:gridSpan w:val="2"/>
            <w:shd w:val="clear" w:color="auto" w:fill="auto"/>
            <w:noWrap/>
            <w:vAlign w:val="center"/>
            <w:hideMark/>
          </w:tcPr>
          <w:p w14:paraId="7A570D4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000000" w:fill="FFFFCC"/>
            <w:noWrap/>
            <w:vAlign w:val="center"/>
            <w:hideMark/>
          </w:tcPr>
          <w:p w14:paraId="78A51AD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auto" w:fill="auto"/>
            <w:noWrap/>
            <w:vAlign w:val="center"/>
            <w:hideMark/>
          </w:tcPr>
          <w:p w14:paraId="7103468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25B496B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47.0%</w:t>
            </w:r>
          </w:p>
        </w:tc>
        <w:tc>
          <w:tcPr>
            <w:tcW w:w="867" w:type="dxa"/>
            <w:gridSpan w:val="2"/>
            <w:shd w:val="clear" w:color="auto" w:fill="auto"/>
            <w:noWrap/>
            <w:vAlign w:val="center"/>
            <w:hideMark/>
          </w:tcPr>
          <w:p w14:paraId="1C0681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40A242D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2BEA44C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555DAC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46.9%</w:t>
            </w:r>
          </w:p>
        </w:tc>
        <w:tc>
          <w:tcPr>
            <w:tcW w:w="867" w:type="dxa"/>
            <w:gridSpan w:val="2"/>
            <w:shd w:val="clear" w:color="auto" w:fill="auto"/>
            <w:noWrap/>
            <w:vAlign w:val="center"/>
            <w:hideMark/>
          </w:tcPr>
          <w:p w14:paraId="05A9268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c>
          <w:tcPr>
            <w:tcW w:w="867" w:type="dxa"/>
            <w:gridSpan w:val="2"/>
            <w:shd w:val="clear" w:color="auto" w:fill="auto"/>
            <w:noWrap/>
            <w:vAlign w:val="center"/>
            <w:hideMark/>
          </w:tcPr>
          <w:p w14:paraId="4536CC6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46.8%</w:t>
            </w:r>
          </w:p>
        </w:tc>
      </w:tr>
      <w:tr w:rsidR="009E7571" w:rsidRPr="001E05F5" w14:paraId="1EC4E350" w14:textId="77777777" w:rsidTr="00E20967">
        <w:trPr>
          <w:gridAfter w:val="2"/>
          <w:wAfter w:w="26" w:type="dxa"/>
          <w:trHeight w:val="288"/>
        </w:trPr>
        <w:tc>
          <w:tcPr>
            <w:tcW w:w="1028" w:type="dxa"/>
            <w:vMerge/>
            <w:vAlign w:val="center"/>
            <w:hideMark/>
          </w:tcPr>
          <w:p w14:paraId="7D750EB9"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EC2B856"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Recovery of waste</w:t>
            </w:r>
          </w:p>
        </w:tc>
        <w:tc>
          <w:tcPr>
            <w:tcW w:w="1129" w:type="dxa"/>
            <w:shd w:val="clear" w:color="auto" w:fill="auto"/>
            <w:noWrap/>
            <w:vAlign w:val="center"/>
            <w:hideMark/>
          </w:tcPr>
          <w:p w14:paraId="5F2668B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88.1%</w:t>
            </w:r>
          </w:p>
        </w:tc>
        <w:tc>
          <w:tcPr>
            <w:tcW w:w="867" w:type="dxa"/>
            <w:shd w:val="clear" w:color="auto" w:fill="auto"/>
            <w:noWrap/>
            <w:vAlign w:val="center"/>
            <w:hideMark/>
          </w:tcPr>
          <w:p w14:paraId="5F8C64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8063C1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123C14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89.3%</w:t>
            </w:r>
          </w:p>
        </w:tc>
        <w:tc>
          <w:tcPr>
            <w:tcW w:w="867" w:type="dxa"/>
            <w:gridSpan w:val="2"/>
            <w:shd w:val="clear" w:color="auto" w:fill="auto"/>
            <w:noWrap/>
            <w:vAlign w:val="center"/>
            <w:hideMark/>
          </w:tcPr>
          <w:p w14:paraId="25FD6D6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065AAC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FA54BD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635C00A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5B91D65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89.4%</w:t>
            </w:r>
          </w:p>
        </w:tc>
        <w:tc>
          <w:tcPr>
            <w:tcW w:w="867" w:type="dxa"/>
            <w:gridSpan w:val="2"/>
            <w:shd w:val="clear" w:color="auto" w:fill="auto"/>
            <w:noWrap/>
            <w:vAlign w:val="center"/>
            <w:hideMark/>
          </w:tcPr>
          <w:p w14:paraId="04D7BE7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93.0%</w:t>
            </w:r>
          </w:p>
        </w:tc>
        <w:tc>
          <w:tcPr>
            <w:tcW w:w="867" w:type="dxa"/>
            <w:gridSpan w:val="2"/>
            <w:shd w:val="clear" w:color="auto" w:fill="auto"/>
            <w:noWrap/>
            <w:vAlign w:val="center"/>
            <w:hideMark/>
          </w:tcPr>
          <w:p w14:paraId="63B38BD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93.0%</w:t>
            </w:r>
          </w:p>
        </w:tc>
        <w:tc>
          <w:tcPr>
            <w:tcW w:w="867" w:type="dxa"/>
            <w:gridSpan w:val="2"/>
            <w:shd w:val="clear" w:color="000000" w:fill="FFFFCC"/>
            <w:noWrap/>
            <w:vAlign w:val="center"/>
            <w:hideMark/>
          </w:tcPr>
          <w:p w14:paraId="7A07928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93.0%</w:t>
            </w:r>
          </w:p>
        </w:tc>
        <w:tc>
          <w:tcPr>
            <w:tcW w:w="867" w:type="dxa"/>
            <w:gridSpan w:val="2"/>
            <w:shd w:val="clear" w:color="auto" w:fill="auto"/>
            <w:noWrap/>
            <w:vAlign w:val="center"/>
            <w:hideMark/>
          </w:tcPr>
          <w:p w14:paraId="0F8E7C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93.0%</w:t>
            </w:r>
          </w:p>
        </w:tc>
        <w:tc>
          <w:tcPr>
            <w:tcW w:w="867" w:type="dxa"/>
            <w:gridSpan w:val="2"/>
            <w:shd w:val="clear" w:color="auto" w:fill="auto"/>
            <w:noWrap/>
            <w:vAlign w:val="center"/>
            <w:hideMark/>
          </w:tcPr>
          <w:p w14:paraId="6850BA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7C025FC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022242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775AE1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749B3A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0229413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c>
          <w:tcPr>
            <w:tcW w:w="867" w:type="dxa"/>
            <w:gridSpan w:val="2"/>
            <w:shd w:val="clear" w:color="auto" w:fill="auto"/>
            <w:noWrap/>
            <w:vAlign w:val="center"/>
            <w:hideMark/>
          </w:tcPr>
          <w:p w14:paraId="03B7019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93.1%</w:t>
            </w:r>
          </w:p>
        </w:tc>
      </w:tr>
      <w:tr w:rsidR="009E7571" w:rsidRPr="001E05F5" w14:paraId="6B5A1D0D" w14:textId="77777777" w:rsidTr="00E20967">
        <w:trPr>
          <w:gridAfter w:val="2"/>
          <w:wAfter w:w="26" w:type="dxa"/>
          <w:trHeight w:val="288"/>
        </w:trPr>
        <w:tc>
          <w:tcPr>
            <w:tcW w:w="1028" w:type="dxa"/>
            <w:vMerge/>
            <w:vAlign w:val="center"/>
            <w:hideMark/>
          </w:tcPr>
          <w:p w14:paraId="02513C4A"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1828B03"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Waste to landfill</w:t>
            </w:r>
          </w:p>
        </w:tc>
        <w:tc>
          <w:tcPr>
            <w:tcW w:w="1129" w:type="dxa"/>
            <w:shd w:val="clear" w:color="auto" w:fill="auto"/>
            <w:noWrap/>
            <w:vAlign w:val="center"/>
            <w:hideMark/>
          </w:tcPr>
          <w:p w14:paraId="081B9CB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6.8%</w:t>
            </w:r>
          </w:p>
        </w:tc>
        <w:tc>
          <w:tcPr>
            <w:tcW w:w="867" w:type="dxa"/>
            <w:shd w:val="clear" w:color="auto" w:fill="auto"/>
            <w:noWrap/>
            <w:vAlign w:val="center"/>
            <w:hideMark/>
          </w:tcPr>
          <w:p w14:paraId="2656F3A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70CED37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499427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6.2%</w:t>
            </w:r>
          </w:p>
        </w:tc>
        <w:tc>
          <w:tcPr>
            <w:tcW w:w="867" w:type="dxa"/>
            <w:gridSpan w:val="2"/>
            <w:shd w:val="clear" w:color="auto" w:fill="auto"/>
            <w:noWrap/>
            <w:vAlign w:val="center"/>
            <w:hideMark/>
          </w:tcPr>
          <w:p w14:paraId="53AAB9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579C0C1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1887BF7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2AC9298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5.1%</w:t>
            </w:r>
          </w:p>
        </w:tc>
        <w:tc>
          <w:tcPr>
            <w:tcW w:w="867" w:type="dxa"/>
            <w:gridSpan w:val="2"/>
            <w:shd w:val="clear" w:color="auto" w:fill="auto"/>
            <w:noWrap/>
            <w:vAlign w:val="center"/>
            <w:hideMark/>
          </w:tcPr>
          <w:p w14:paraId="024AC5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5.0%</w:t>
            </w:r>
          </w:p>
        </w:tc>
        <w:tc>
          <w:tcPr>
            <w:tcW w:w="867" w:type="dxa"/>
            <w:gridSpan w:val="2"/>
            <w:shd w:val="clear" w:color="auto" w:fill="auto"/>
            <w:noWrap/>
            <w:vAlign w:val="center"/>
            <w:hideMark/>
          </w:tcPr>
          <w:p w14:paraId="09907E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075CB56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000000" w:fill="FFFFCC"/>
            <w:noWrap/>
            <w:vAlign w:val="center"/>
            <w:hideMark/>
          </w:tcPr>
          <w:p w14:paraId="0AA8B6E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057CD1B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20858B8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3E47480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4FA373D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4C9FA8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240341C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2BFF46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c>
          <w:tcPr>
            <w:tcW w:w="867" w:type="dxa"/>
            <w:gridSpan w:val="2"/>
            <w:shd w:val="clear" w:color="auto" w:fill="auto"/>
            <w:noWrap/>
            <w:vAlign w:val="center"/>
            <w:hideMark/>
          </w:tcPr>
          <w:p w14:paraId="7B2F945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3.3%</w:t>
            </w:r>
          </w:p>
        </w:tc>
      </w:tr>
      <w:tr w:rsidR="00D46E3A" w:rsidRPr="001E05F5" w14:paraId="31CD4FFF" w14:textId="77777777" w:rsidTr="00E20967">
        <w:trPr>
          <w:gridAfter w:val="1"/>
          <w:wAfter w:w="13" w:type="dxa"/>
          <w:trHeight w:val="288"/>
        </w:trPr>
        <w:tc>
          <w:tcPr>
            <w:tcW w:w="1028" w:type="dxa"/>
            <w:vMerge/>
            <w:vAlign w:val="center"/>
            <w:hideMark/>
          </w:tcPr>
          <w:p w14:paraId="7B1960F3"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17A93368"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NPV</w:t>
            </w:r>
          </w:p>
        </w:tc>
        <w:tc>
          <w:tcPr>
            <w:tcW w:w="17615" w:type="dxa"/>
            <w:gridSpan w:val="39"/>
            <w:shd w:val="clear" w:color="auto" w:fill="auto"/>
            <w:noWrap/>
            <w:vAlign w:val="center"/>
            <w:hideMark/>
          </w:tcPr>
          <w:p w14:paraId="5125CA43" w14:textId="77777777" w:rsidR="00D46E3A" w:rsidRPr="001E05F5" w:rsidRDefault="00D46E3A" w:rsidP="009E7571">
            <w:pPr>
              <w:spacing w:after="0" w:line="240" w:lineRule="auto"/>
              <w:jc w:val="right"/>
              <w:rPr>
                <w:rFonts w:cs="Arial"/>
                <w:sz w:val="18"/>
                <w:szCs w:val="18"/>
                <w:lang w:eastAsia="en-GB"/>
              </w:rPr>
            </w:pPr>
            <w:r w:rsidRPr="001E05F5">
              <w:rPr>
                <w:rFonts w:cs="Arial"/>
                <w:color w:val="000000"/>
                <w:sz w:val="18"/>
                <w:szCs w:val="18"/>
                <w:lang w:eastAsia="en-GB"/>
              </w:rPr>
              <w:t>£497,914,968</w:t>
            </w:r>
          </w:p>
        </w:tc>
      </w:tr>
      <w:tr w:rsidR="009E7571" w:rsidRPr="001E05F5" w14:paraId="66EA1766" w14:textId="77777777" w:rsidTr="00E20967">
        <w:trPr>
          <w:gridAfter w:val="2"/>
          <w:wAfter w:w="26" w:type="dxa"/>
          <w:trHeight w:val="288"/>
        </w:trPr>
        <w:tc>
          <w:tcPr>
            <w:tcW w:w="1028" w:type="dxa"/>
            <w:vMerge w:val="restart"/>
            <w:shd w:val="clear" w:color="auto" w:fill="auto"/>
            <w:vAlign w:val="center"/>
            <w:hideMark/>
          </w:tcPr>
          <w:p w14:paraId="2C82B371"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Options appraisal criterion</w:t>
            </w:r>
          </w:p>
        </w:tc>
        <w:tc>
          <w:tcPr>
            <w:tcW w:w="2233" w:type="dxa"/>
            <w:shd w:val="clear" w:color="auto" w:fill="auto"/>
            <w:noWrap/>
            <w:vAlign w:val="center"/>
            <w:hideMark/>
          </w:tcPr>
          <w:p w14:paraId="2D2ACCA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2: % change in arisings</w:t>
            </w:r>
          </w:p>
        </w:tc>
        <w:tc>
          <w:tcPr>
            <w:tcW w:w="1129" w:type="dxa"/>
            <w:shd w:val="clear" w:color="auto" w:fill="auto"/>
            <w:noWrap/>
            <w:vAlign w:val="center"/>
            <w:hideMark/>
          </w:tcPr>
          <w:p w14:paraId="5DFA950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13551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587F25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B68970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6777DF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128B8C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2244DB9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46AA20E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07BC2179"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75CC83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1D7ACF9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000000" w:fill="FFFFCC"/>
            <w:noWrap/>
            <w:vAlign w:val="center"/>
            <w:hideMark/>
          </w:tcPr>
          <w:p w14:paraId="0B7A77E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745674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3B45A2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28F2BE9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03858F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35F03DD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5C81FFE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0244339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c>
          <w:tcPr>
            <w:tcW w:w="867" w:type="dxa"/>
            <w:gridSpan w:val="2"/>
            <w:shd w:val="clear" w:color="auto" w:fill="auto"/>
            <w:noWrap/>
            <w:vAlign w:val="center"/>
            <w:hideMark/>
          </w:tcPr>
          <w:p w14:paraId="0D7BF17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-2.0%</w:t>
            </w:r>
          </w:p>
        </w:tc>
      </w:tr>
      <w:tr w:rsidR="009E7571" w:rsidRPr="001E05F5" w14:paraId="5C0FEF0E" w14:textId="77777777" w:rsidTr="00E20967">
        <w:trPr>
          <w:gridAfter w:val="2"/>
          <w:wAfter w:w="26" w:type="dxa"/>
          <w:trHeight w:val="288"/>
        </w:trPr>
        <w:tc>
          <w:tcPr>
            <w:tcW w:w="1028" w:type="dxa"/>
            <w:vMerge/>
            <w:vAlign w:val="center"/>
            <w:hideMark/>
          </w:tcPr>
          <w:p w14:paraId="3D90A05C"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7064D05F"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3: Change in % recycling</w:t>
            </w:r>
          </w:p>
        </w:tc>
        <w:tc>
          <w:tcPr>
            <w:tcW w:w="1129" w:type="dxa"/>
            <w:shd w:val="clear" w:color="auto" w:fill="auto"/>
            <w:noWrap/>
            <w:vAlign w:val="center"/>
            <w:hideMark/>
          </w:tcPr>
          <w:p w14:paraId="669ABC6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5939B66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618174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54150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25C7FAD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12.1%</w:t>
            </w:r>
          </w:p>
        </w:tc>
        <w:tc>
          <w:tcPr>
            <w:tcW w:w="867" w:type="dxa"/>
            <w:gridSpan w:val="2"/>
            <w:shd w:val="clear" w:color="auto" w:fill="auto"/>
            <w:noWrap/>
            <w:vAlign w:val="center"/>
            <w:hideMark/>
          </w:tcPr>
          <w:p w14:paraId="03EFBC3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12.2%</w:t>
            </w:r>
          </w:p>
        </w:tc>
        <w:tc>
          <w:tcPr>
            <w:tcW w:w="867" w:type="dxa"/>
            <w:gridSpan w:val="2"/>
            <w:shd w:val="clear" w:color="auto" w:fill="auto"/>
            <w:noWrap/>
            <w:vAlign w:val="center"/>
            <w:hideMark/>
          </w:tcPr>
          <w:p w14:paraId="1F13575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12.3%</w:t>
            </w:r>
          </w:p>
        </w:tc>
        <w:tc>
          <w:tcPr>
            <w:tcW w:w="867" w:type="dxa"/>
            <w:gridSpan w:val="2"/>
            <w:shd w:val="clear" w:color="auto" w:fill="auto"/>
            <w:noWrap/>
            <w:vAlign w:val="center"/>
            <w:hideMark/>
          </w:tcPr>
          <w:p w14:paraId="440AF05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12.4%</w:t>
            </w:r>
          </w:p>
        </w:tc>
        <w:tc>
          <w:tcPr>
            <w:tcW w:w="867" w:type="dxa"/>
            <w:gridSpan w:val="2"/>
            <w:shd w:val="clear" w:color="auto" w:fill="auto"/>
            <w:noWrap/>
            <w:vAlign w:val="center"/>
            <w:hideMark/>
          </w:tcPr>
          <w:p w14:paraId="72B2E8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12.5%</w:t>
            </w:r>
          </w:p>
        </w:tc>
        <w:tc>
          <w:tcPr>
            <w:tcW w:w="867" w:type="dxa"/>
            <w:gridSpan w:val="2"/>
            <w:shd w:val="clear" w:color="auto" w:fill="auto"/>
            <w:noWrap/>
            <w:vAlign w:val="center"/>
            <w:hideMark/>
          </w:tcPr>
          <w:p w14:paraId="548EB83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12.7%</w:t>
            </w:r>
          </w:p>
        </w:tc>
        <w:tc>
          <w:tcPr>
            <w:tcW w:w="867" w:type="dxa"/>
            <w:gridSpan w:val="2"/>
            <w:shd w:val="clear" w:color="auto" w:fill="auto"/>
            <w:noWrap/>
            <w:vAlign w:val="center"/>
            <w:hideMark/>
          </w:tcPr>
          <w:p w14:paraId="023CF81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12.8%</w:t>
            </w:r>
          </w:p>
        </w:tc>
        <w:tc>
          <w:tcPr>
            <w:tcW w:w="867" w:type="dxa"/>
            <w:gridSpan w:val="2"/>
            <w:shd w:val="clear" w:color="000000" w:fill="FFFFCC"/>
            <w:noWrap/>
            <w:vAlign w:val="center"/>
            <w:hideMark/>
          </w:tcPr>
          <w:p w14:paraId="7807088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12.9%</w:t>
            </w:r>
          </w:p>
        </w:tc>
        <w:tc>
          <w:tcPr>
            <w:tcW w:w="867" w:type="dxa"/>
            <w:gridSpan w:val="2"/>
            <w:shd w:val="clear" w:color="auto" w:fill="auto"/>
            <w:noWrap/>
            <w:vAlign w:val="center"/>
            <w:hideMark/>
          </w:tcPr>
          <w:p w14:paraId="40DE68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13.0%</w:t>
            </w:r>
          </w:p>
        </w:tc>
        <w:tc>
          <w:tcPr>
            <w:tcW w:w="867" w:type="dxa"/>
            <w:gridSpan w:val="2"/>
            <w:shd w:val="clear" w:color="auto" w:fill="auto"/>
            <w:noWrap/>
            <w:vAlign w:val="center"/>
            <w:hideMark/>
          </w:tcPr>
          <w:p w14:paraId="2F51535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5DF7C58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056226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215EC35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4B79CA2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1A4C642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c>
          <w:tcPr>
            <w:tcW w:w="867" w:type="dxa"/>
            <w:gridSpan w:val="2"/>
            <w:shd w:val="clear" w:color="auto" w:fill="auto"/>
            <w:noWrap/>
            <w:vAlign w:val="center"/>
            <w:hideMark/>
          </w:tcPr>
          <w:p w14:paraId="7FAAF1E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13.1%</w:t>
            </w:r>
          </w:p>
        </w:tc>
      </w:tr>
      <w:tr w:rsidR="009E7571" w:rsidRPr="001E05F5" w14:paraId="6E7BDE68" w14:textId="77777777" w:rsidTr="00E20967">
        <w:trPr>
          <w:gridAfter w:val="2"/>
          <w:wAfter w:w="26" w:type="dxa"/>
          <w:trHeight w:val="288"/>
        </w:trPr>
        <w:tc>
          <w:tcPr>
            <w:tcW w:w="1028" w:type="dxa"/>
            <w:vMerge/>
            <w:vAlign w:val="center"/>
            <w:hideMark/>
          </w:tcPr>
          <w:p w14:paraId="6A52E3E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8FDB30B"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4: Change in % recovery</w:t>
            </w:r>
          </w:p>
        </w:tc>
        <w:tc>
          <w:tcPr>
            <w:tcW w:w="1129" w:type="dxa"/>
            <w:shd w:val="clear" w:color="auto" w:fill="auto"/>
            <w:noWrap/>
            <w:vAlign w:val="center"/>
            <w:hideMark/>
          </w:tcPr>
          <w:p w14:paraId="07CA613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7A00925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02FAC3C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935C81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F490A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0.1%</w:t>
            </w:r>
          </w:p>
        </w:tc>
        <w:tc>
          <w:tcPr>
            <w:tcW w:w="867" w:type="dxa"/>
            <w:gridSpan w:val="2"/>
            <w:shd w:val="clear" w:color="auto" w:fill="auto"/>
            <w:noWrap/>
            <w:vAlign w:val="center"/>
            <w:hideMark/>
          </w:tcPr>
          <w:p w14:paraId="40133EF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3D640E1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27E03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7753F3A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AB74AF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14C31AB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000000" w:fill="FFFFCC"/>
            <w:noWrap/>
            <w:vAlign w:val="center"/>
            <w:hideMark/>
          </w:tcPr>
          <w:p w14:paraId="1BE5323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42C4C10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112ECB5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4B3C9F1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6FB08CFF"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631E09B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1266E3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10377BE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c>
          <w:tcPr>
            <w:tcW w:w="867" w:type="dxa"/>
            <w:gridSpan w:val="2"/>
            <w:shd w:val="clear" w:color="auto" w:fill="auto"/>
            <w:noWrap/>
            <w:vAlign w:val="center"/>
            <w:hideMark/>
          </w:tcPr>
          <w:p w14:paraId="3B98C2F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3.6%</w:t>
            </w:r>
          </w:p>
        </w:tc>
      </w:tr>
      <w:tr w:rsidR="009E7571" w:rsidRPr="001E05F5" w14:paraId="6EBE291B" w14:textId="77777777" w:rsidTr="00E20967">
        <w:trPr>
          <w:gridAfter w:val="2"/>
          <w:wAfter w:w="26" w:type="dxa"/>
          <w:trHeight w:val="288"/>
        </w:trPr>
        <w:tc>
          <w:tcPr>
            <w:tcW w:w="1028" w:type="dxa"/>
            <w:vMerge/>
            <w:vAlign w:val="center"/>
            <w:hideMark/>
          </w:tcPr>
          <w:p w14:paraId="21103ED5" w14:textId="77777777" w:rsidR="000B6808" w:rsidRPr="001E05F5" w:rsidRDefault="000B6808"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07473F62" w14:textId="77777777" w:rsidR="000B6808" w:rsidRPr="001E05F5" w:rsidRDefault="000B6808" w:rsidP="009E7571">
            <w:pPr>
              <w:spacing w:after="0" w:line="240" w:lineRule="auto"/>
              <w:rPr>
                <w:rFonts w:cs="Arial"/>
                <w:color w:val="000000"/>
                <w:sz w:val="18"/>
                <w:szCs w:val="18"/>
                <w:lang w:eastAsia="en-GB"/>
              </w:rPr>
            </w:pPr>
            <w:r w:rsidRPr="001E05F5">
              <w:rPr>
                <w:rFonts w:cs="Arial"/>
                <w:color w:val="000000"/>
                <w:sz w:val="18"/>
                <w:szCs w:val="18"/>
                <w:lang w:eastAsia="en-GB"/>
              </w:rPr>
              <w:t>5: Change in % landfill</w:t>
            </w:r>
          </w:p>
        </w:tc>
        <w:tc>
          <w:tcPr>
            <w:tcW w:w="1129" w:type="dxa"/>
            <w:shd w:val="clear" w:color="auto" w:fill="auto"/>
            <w:noWrap/>
            <w:vAlign w:val="center"/>
            <w:hideMark/>
          </w:tcPr>
          <w:p w14:paraId="5357497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shd w:val="clear" w:color="auto" w:fill="auto"/>
            <w:noWrap/>
            <w:vAlign w:val="center"/>
            <w:hideMark/>
          </w:tcPr>
          <w:p w14:paraId="56A9991E"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4363F3A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6C87531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0.0%</w:t>
            </w:r>
          </w:p>
        </w:tc>
        <w:tc>
          <w:tcPr>
            <w:tcW w:w="867" w:type="dxa"/>
            <w:gridSpan w:val="2"/>
            <w:shd w:val="clear" w:color="auto" w:fill="auto"/>
            <w:noWrap/>
            <w:vAlign w:val="center"/>
            <w:hideMark/>
          </w:tcPr>
          <w:p w14:paraId="1E8C6CA2"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0C304850"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3352E726"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0E7A7E9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0C571BE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-1.1%</w:t>
            </w:r>
          </w:p>
        </w:tc>
        <w:tc>
          <w:tcPr>
            <w:tcW w:w="867" w:type="dxa"/>
            <w:gridSpan w:val="2"/>
            <w:shd w:val="clear" w:color="auto" w:fill="auto"/>
            <w:noWrap/>
            <w:vAlign w:val="center"/>
            <w:hideMark/>
          </w:tcPr>
          <w:p w14:paraId="04D65DD7"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-2.8%</w:t>
            </w:r>
          </w:p>
        </w:tc>
        <w:tc>
          <w:tcPr>
            <w:tcW w:w="867" w:type="dxa"/>
            <w:gridSpan w:val="2"/>
            <w:shd w:val="clear" w:color="auto" w:fill="auto"/>
            <w:noWrap/>
            <w:vAlign w:val="center"/>
            <w:hideMark/>
          </w:tcPr>
          <w:p w14:paraId="2EDAAA51"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-2.8%</w:t>
            </w:r>
          </w:p>
        </w:tc>
        <w:tc>
          <w:tcPr>
            <w:tcW w:w="867" w:type="dxa"/>
            <w:gridSpan w:val="2"/>
            <w:shd w:val="clear" w:color="000000" w:fill="FFFFCC"/>
            <w:noWrap/>
            <w:vAlign w:val="center"/>
            <w:hideMark/>
          </w:tcPr>
          <w:p w14:paraId="15C4BB85"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-2.8%</w:t>
            </w:r>
          </w:p>
        </w:tc>
        <w:tc>
          <w:tcPr>
            <w:tcW w:w="867" w:type="dxa"/>
            <w:gridSpan w:val="2"/>
            <w:shd w:val="clear" w:color="auto" w:fill="auto"/>
            <w:noWrap/>
            <w:vAlign w:val="center"/>
            <w:hideMark/>
          </w:tcPr>
          <w:p w14:paraId="375AABD8"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-2.8%</w:t>
            </w:r>
          </w:p>
        </w:tc>
        <w:tc>
          <w:tcPr>
            <w:tcW w:w="867" w:type="dxa"/>
            <w:gridSpan w:val="2"/>
            <w:shd w:val="clear" w:color="auto" w:fill="auto"/>
            <w:noWrap/>
            <w:vAlign w:val="center"/>
            <w:hideMark/>
          </w:tcPr>
          <w:p w14:paraId="2C7F3EBC"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28966DCB"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2DFEC0C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2135E5A3"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2BB76E2A"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370A13D4"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c>
          <w:tcPr>
            <w:tcW w:w="867" w:type="dxa"/>
            <w:gridSpan w:val="2"/>
            <w:shd w:val="clear" w:color="auto" w:fill="auto"/>
            <w:noWrap/>
            <w:vAlign w:val="center"/>
            <w:hideMark/>
          </w:tcPr>
          <w:p w14:paraId="18A78C4D" w14:textId="77777777" w:rsidR="000B6808" w:rsidRPr="001E05F5" w:rsidRDefault="000B6808" w:rsidP="009E7571">
            <w:pPr>
              <w:spacing w:after="0" w:line="240" w:lineRule="auto"/>
              <w:jc w:val="right"/>
              <w:rPr>
                <w:rFonts w:cs="Arial"/>
                <w:color w:val="000000"/>
                <w:sz w:val="18"/>
                <w:szCs w:val="18"/>
                <w:lang w:eastAsia="en-GB"/>
              </w:rPr>
            </w:pPr>
            <w:r w:rsidRPr="001E05F5">
              <w:rPr>
                <w:rFonts w:cs="Arial"/>
                <w:color w:val="000000"/>
                <w:sz w:val="18"/>
                <w:szCs w:val="18"/>
                <w:lang w:eastAsia="en-GB"/>
              </w:rPr>
              <w:t>-2.9%</w:t>
            </w:r>
          </w:p>
        </w:tc>
      </w:tr>
      <w:tr w:rsidR="00D46E3A" w:rsidRPr="001E05F5" w14:paraId="0D3A9899" w14:textId="77777777" w:rsidTr="00E20967">
        <w:trPr>
          <w:gridAfter w:val="2"/>
          <w:wAfter w:w="26" w:type="dxa"/>
          <w:trHeight w:val="288"/>
        </w:trPr>
        <w:tc>
          <w:tcPr>
            <w:tcW w:w="1028" w:type="dxa"/>
            <w:vMerge/>
            <w:vAlign w:val="center"/>
            <w:hideMark/>
          </w:tcPr>
          <w:p w14:paraId="103BE76C" w14:textId="77777777" w:rsidR="00D46E3A" w:rsidRPr="001E05F5" w:rsidRDefault="00D46E3A" w:rsidP="009E7571">
            <w:pPr>
              <w:spacing w:after="0" w:line="240" w:lineRule="auto"/>
              <w:rPr>
                <w:rFonts w:cs="Arial"/>
                <w:color w:val="000000"/>
                <w:sz w:val="18"/>
                <w:szCs w:val="18"/>
                <w:lang w:eastAsia="en-GB"/>
              </w:rPr>
            </w:pPr>
          </w:p>
        </w:tc>
        <w:tc>
          <w:tcPr>
            <w:tcW w:w="2233" w:type="dxa"/>
            <w:shd w:val="clear" w:color="auto" w:fill="auto"/>
            <w:noWrap/>
            <w:vAlign w:val="center"/>
            <w:hideMark/>
          </w:tcPr>
          <w:p w14:paraId="6529E263" w14:textId="77777777" w:rsidR="00D46E3A" w:rsidRPr="001E05F5" w:rsidRDefault="00D46E3A" w:rsidP="009E7571">
            <w:pPr>
              <w:spacing w:after="0" w:line="240" w:lineRule="auto"/>
              <w:rPr>
                <w:rFonts w:cs="Arial"/>
                <w:color w:val="000000"/>
                <w:sz w:val="18"/>
                <w:szCs w:val="18"/>
                <w:lang w:eastAsia="en-GB"/>
              </w:rPr>
            </w:pPr>
            <w:r w:rsidRPr="001E05F5">
              <w:rPr>
                <w:rFonts w:cs="Arial"/>
                <w:color w:val="000000"/>
                <w:sz w:val="18"/>
                <w:szCs w:val="18"/>
                <w:lang w:eastAsia="en-GB"/>
              </w:rPr>
              <w:t>9: % change in NPV</w:t>
            </w:r>
          </w:p>
        </w:tc>
        <w:tc>
          <w:tcPr>
            <w:tcW w:w="17602" w:type="dxa"/>
            <w:gridSpan w:val="38"/>
            <w:shd w:val="clear" w:color="auto" w:fill="auto"/>
            <w:noWrap/>
            <w:vAlign w:val="center"/>
            <w:hideMark/>
          </w:tcPr>
          <w:p w14:paraId="12DEED19" w14:textId="77777777" w:rsidR="00D46E3A" w:rsidRPr="001E05F5" w:rsidRDefault="00D46E3A" w:rsidP="00D46E3A">
            <w:pPr>
              <w:spacing w:after="0" w:line="240" w:lineRule="auto"/>
              <w:rPr>
                <w:rFonts w:cs="Arial"/>
                <w:sz w:val="18"/>
                <w:szCs w:val="18"/>
                <w:lang w:eastAsia="en-GB"/>
              </w:rPr>
            </w:pPr>
            <w:r w:rsidRPr="001E05F5">
              <w:rPr>
                <w:rFonts w:cs="Arial"/>
                <w:color w:val="000000"/>
                <w:sz w:val="18"/>
                <w:szCs w:val="18"/>
                <w:lang w:eastAsia="en-GB"/>
              </w:rPr>
              <w:t>-1.5%</w:t>
            </w:r>
          </w:p>
        </w:tc>
      </w:tr>
    </w:tbl>
    <w:p w14:paraId="1BFCE81F" w14:textId="77777777" w:rsidR="001A2BEF" w:rsidRPr="001E05F5" w:rsidRDefault="001A2BEF" w:rsidP="009E7571">
      <w:pPr>
        <w:jc w:val="right"/>
      </w:pPr>
    </w:p>
    <w:p w14:paraId="5061AC20" w14:textId="77777777" w:rsidR="00704D50" w:rsidRPr="001E05F5" w:rsidRDefault="00704D50" w:rsidP="00704D50">
      <w:pPr>
        <w:pStyle w:val="Heading1"/>
        <w:numPr>
          <w:ilvl w:val="0"/>
          <w:numId w:val="0"/>
        </w:numPr>
        <w:ind w:left="850" w:hanging="850"/>
      </w:pPr>
      <w:bookmarkStart w:id="42" w:name="_Toc521426519"/>
      <w:r w:rsidRPr="001E05F5">
        <w:lastRenderedPageBreak/>
        <w:t xml:space="preserve">Appendix </w:t>
      </w:r>
      <w:r w:rsidR="00FC2AED" w:rsidRPr="001E05F5">
        <w:t>G</w:t>
      </w:r>
      <w:r w:rsidRPr="001E05F5">
        <w:t>: Summary of WRATE outputs</w:t>
      </w:r>
      <w:bookmarkEnd w:id="42"/>
      <w:r w:rsidRPr="001E05F5">
        <w:t xml:space="preserve"> </w:t>
      </w:r>
    </w:p>
    <w:tbl>
      <w:tblPr>
        <w:tblW w:w="21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576"/>
        <w:gridCol w:w="1287"/>
        <w:gridCol w:w="1287"/>
        <w:gridCol w:w="1287"/>
        <w:gridCol w:w="1287"/>
        <w:gridCol w:w="1287"/>
        <w:gridCol w:w="1287"/>
        <w:gridCol w:w="1287"/>
        <w:gridCol w:w="1287"/>
        <w:gridCol w:w="1287"/>
        <w:gridCol w:w="1287"/>
        <w:gridCol w:w="1287"/>
        <w:gridCol w:w="1287"/>
        <w:gridCol w:w="1287"/>
      </w:tblGrid>
      <w:tr w:rsidR="00624B28" w:rsidRPr="001E05F5" w14:paraId="190AFE23" w14:textId="77777777" w:rsidTr="001A2BEF">
        <w:trPr>
          <w:trHeight w:val="288"/>
        </w:trPr>
        <w:tc>
          <w:tcPr>
            <w:tcW w:w="3150" w:type="dxa"/>
            <w:tcBorders>
              <w:right w:val="nil"/>
            </w:tcBorders>
            <w:shd w:val="clear" w:color="auto" w:fill="D9D9D9" w:themeFill="background1" w:themeFillShade="D9"/>
            <w:noWrap/>
            <w:vAlign w:val="center"/>
            <w:hideMark/>
          </w:tcPr>
          <w:p w14:paraId="4E1530AD" w14:textId="77777777" w:rsidR="009107DE" w:rsidRPr="001E05F5" w:rsidRDefault="009107DE" w:rsidP="001A2BEF">
            <w:pPr>
              <w:spacing w:after="0" w:line="240" w:lineRule="auto"/>
              <w:rPr>
                <w:rFonts w:cs="Arial"/>
                <w:b/>
                <w:color w:val="000000"/>
                <w:sz w:val="18"/>
                <w:szCs w:val="18"/>
                <w:lang w:eastAsia="en-GB"/>
              </w:rPr>
            </w:pPr>
            <w:r w:rsidRPr="001E05F5">
              <w:rPr>
                <w:rFonts w:cs="Arial"/>
                <w:b/>
                <w:color w:val="000000"/>
                <w:sz w:val="18"/>
                <w:szCs w:val="18"/>
                <w:lang w:eastAsia="en-GB"/>
              </w:rPr>
              <w:t xml:space="preserve">Raw Data </w:t>
            </w:r>
          </w:p>
        </w:tc>
        <w:tc>
          <w:tcPr>
            <w:tcW w:w="1576" w:type="dxa"/>
            <w:tcBorders>
              <w:left w:val="nil"/>
            </w:tcBorders>
            <w:shd w:val="clear" w:color="auto" w:fill="D9D9D9" w:themeFill="background1" w:themeFillShade="D9"/>
            <w:noWrap/>
            <w:vAlign w:val="center"/>
            <w:hideMark/>
          </w:tcPr>
          <w:p w14:paraId="1DF929A7" w14:textId="77777777" w:rsidR="009107DE" w:rsidRPr="001E05F5" w:rsidRDefault="009107DE" w:rsidP="00624B28">
            <w:pPr>
              <w:spacing w:after="0" w:line="240" w:lineRule="auto"/>
              <w:jc w:val="center"/>
              <w:rPr>
                <w:rFonts w:cs="Arial"/>
                <w:b/>
                <w:color w:val="000000"/>
                <w:sz w:val="18"/>
                <w:szCs w:val="18"/>
                <w:lang w:eastAsia="en-GB"/>
              </w:rPr>
            </w:pPr>
            <w:r w:rsidRPr="001E05F5">
              <w:rPr>
                <w:rFonts w:cs="Arial"/>
                <w:b/>
                <w:color w:val="000000"/>
                <w:sz w:val="18"/>
                <w:szCs w:val="18"/>
                <w:lang w:eastAsia="en-GB"/>
              </w:rPr>
              <w:t>Unit</w:t>
            </w:r>
          </w:p>
        </w:tc>
        <w:tc>
          <w:tcPr>
            <w:tcW w:w="1287" w:type="dxa"/>
            <w:shd w:val="clear" w:color="auto" w:fill="D9D9D9" w:themeFill="background1" w:themeFillShade="D9"/>
            <w:noWrap/>
            <w:vAlign w:val="center"/>
            <w:hideMark/>
          </w:tcPr>
          <w:p w14:paraId="7ABFA61C"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Sc1a (Baseline)</w:t>
            </w:r>
          </w:p>
        </w:tc>
        <w:tc>
          <w:tcPr>
            <w:tcW w:w="1287" w:type="dxa"/>
            <w:shd w:val="clear" w:color="auto" w:fill="D9D9D9" w:themeFill="background1" w:themeFillShade="D9"/>
            <w:noWrap/>
            <w:vAlign w:val="center"/>
            <w:hideMark/>
          </w:tcPr>
          <w:p w14:paraId="25547417"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Sc1b EfW (electricity only)</w:t>
            </w:r>
          </w:p>
        </w:tc>
        <w:tc>
          <w:tcPr>
            <w:tcW w:w="1287" w:type="dxa"/>
            <w:shd w:val="clear" w:color="auto" w:fill="D9D9D9" w:themeFill="background1" w:themeFillShade="D9"/>
            <w:noWrap/>
            <w:vAlign w:val="center"/>
            <w:hideMark/>
          </w:tcPr>
          <w:p w14:paraId="33F649D5"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Sc1b EfW (CHP)</w:t>
            </w:r>
          </w:p>
        </w:tc>
        <w:tc>
          <w:tcPr>
            <w:tcW w:w="1287" w:type="dxa"/>
            <w:shd w:val="clear" w:color="auto" w:fill="D9D9D9" w:themeFill="background1" w:themeFillShade="D9"/>
            <w:noWrap/>
            <w:vAlign w:val="center"/>
            <w:hideMark/>
          </w:tcPr>
          <w:p w14:paraId="0A7B420E"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Sc1c</w:t>
            </w:r>
          </w:p>
        </w:tc>
        <w:tc>
          <w:tcPr>
            <w:tcW w:w="1287" w:type="dxa"/>
            <w:shd w:val="clear" w:color="auto" w:fill="D9D9D9" w:themeFill="background1" w:themeFillShade="D9"/>
            <w:noWrap/>
            <w:vAlign w:val="center"/>
            <w:hideMark/>
          </w:tcPr>
          <w:p w14:paraId="35A1C61D"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Sc1d</w:t>
            </w:r>
          </w:p>
        </w:tc>
        <w:tc>
          <w:tcPr>
            <w:tcW w:w="1287" w:type="dxa"/>
            <w:shd w:val="clear" w:color="auto" w:fill="D9D9D9" w:themeFill="background1" w:themeFillShade="D9"/>
            <w:noWrap/>
            <w:vAlign w:val="center"/>
            <w:hideMark/>
          </w:tcPr>
          <w:p w14:paraId="1A3A14C3"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Sc2a</w:t>
            </w:r>
          </w:p>
        </w:tc>
        <w:tc>
          <w:tcPr>
            <w:tcW w:w="1287" w:type="dxa"/>
            <w:shd w:val="clear" w:color="auto" w:fill="D9D9D9" w:themeFill="background1" w:themeFillShade="D9"/>
            <w:noWrap/>
            <w:vAlign w:val="center"/>
            <w:hideMark/>
          </w:tcPr>
          <w:p w14:paraId="413B4898"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Sc2b</w:t>
            </w:r>
            <w:r w:rsidR="001A2BEF" w:rsidRPr="001E05F5">
              <w:rPr>
                <w:rFonts w:cs="Arial"/>
                <w:b/>
                <w:color w:val="000000"/>
                <w:sz w:val="18"/>
                <w:szCs w:val="18"/>
                <w:lang w:eastAsia="en-GB"/>
              </w:rPr>
              <w:t xml:space="preserve"> EfW (electricity only)</w:t>
            </w:r>
          </w:p>
        </w:tc>
        <w:tc>
          <w:tcPr>
            <w:tcW w:w="1287" w:type="dxa"/>
            <w:shd w:val="clear" w:color="auto" w:fill="D9D9D9" w:themeFill="background1" w:themeFillShade="D9"/>
            <w:noWrap/>
            <w:vAlign w:val="center"/>
            <w:hideMark/>
          </w:tcPr>
          <w:p w14:paraId="1A5CBB33"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Sc2c</w:t>
            </w:r>
          </w:p>
        </w:tc>
        <w:tc>
          <w:tcPr>
            <w:tcW w:w="1287" w:type="dxa"/>
            <w:shd w:val="clear" w:color="auto" w:fill="D9D9D9" w:themeFill="background1" w:themeFillShade="D9"/>
            <w:noWrap/>
            <w:vAlign w:val="center"/>
            <w:hideMark/>
          </w:tcPr>
          <w:p w14:paraId="72864E0B"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Sc2d</w:t>
            </w:r>
          </w:p>
        </w:tc>
        <w:tc>
          <w:tcPr>
            <w:tcW w:w="1287" w:type="dxa"/>
            <w:shd w:val="clear" w:color="auto" w:fill="D9D9D9" w:themeFill="background1" w:themeFillShade="D9"/>
            <w:noWrap/>
            <w:vAlign w:val="center"/>
            <w:hideMark/>
          </w:tcPr>
          <w:p w14:paraId="256CF6E1"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Sc2e</w:t>
            </w:r>
          </w:p>
        </w:tc>
        <w:tc>
          <w:tcPr>
            <w:tcW w:w="1287" w:type="dxa"/>
            <w:shd w:val="clear" w:color="auto" w:fill="D9D9D9" w:themeFill="background1" w:themeFillShade="D9"/>
            <w:noWrap/>
            <w:vAlign w:val="center"/>
            <w:hideMark/>
          </w:tcPr>
          <w:p w14:paraId="6047EB61"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Sc2f</w:t>
            </w:r>
            <w:r w:rsidR="001A2BEF" w:rsidRPr="001E05F5">
              <w:rPr>
                <w:rFonts w:cs="Arial"/>
                <w:b/>
                <w:color w:val="000000"/>
                <w:sz w:val="18"/>
                <w:szCs w:val="18"/>
                <w:lang w:eastAsia="en-GB"/>
              </w:rPr>
              <w:t xml:space="preserve"> EfW (electricity only)</w:t>
            </w:r>
          </w:p>
        </w:tc>
        <w:tc>
          <w:tcPr>
            <w:tcW w:w="1287" w:type="dxa"/>
            <w:shd w:val="clear" w:color="auto" w:fill="D9D9D9" w:themeFill="background1" w:themeFillShade="D9"/>
            <w:noWrap/>
            <w:vAlign w:val="center"/>
            <w:hideMark/>
          </w:tcPr>
          <w:p w14:paraId="421DD9AE"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Sc2g</w:t>
            </w:r>
          </w:p>
        </w:tc>
        <w:tc>
          <w:tcPr>
            <w:tcW w:w="1287" w:type="dxa"/>
            <w:shd w:val="clear" w:color="auto" w:fill="D9D9D9" w:themeFill="background1" w:themeFillShade="D9"/>
            <w:noWrap/>
            <w:vAlign w:val="center"/>
            <w:hideMark/>
          </w:tcPr>
          <w:p w14:paraId="0E34C234" w14:textId="77777777" w:rsidR="009107DE" w:rsidRPr="001E05F5" w:rsidRDefault="009107DE" w:rsidP="001A2BEF">
            <w:pPr>
              <w:spacing w:before="60" w:after="60" w:line="240" w:lineRule="auto"/>
              <w:jc w:val="center"/>
              <w:rPr>
                <w:rFonts w:cs="Arial"/>
                <w:b/>
                <w:color w:val="000000"/>
                <w:sz w:val="18"/>
                <w:szCs w:val="18"/>
                <w:lang w:eastAsia="en-GB"/>
              </w:rPr>
            </w:pPr>
            <w:r w:rsidRPr="001E05F5">
              <w:rPr>
                <w:rFonts w:cs="Arial"/>
                <w:b/>
                <w:color w:val="000000"/>
                <w:sz w:val="18"/>
                <w:szCs w:val="18"/>
                <w:lang w:eastAsia="en-GB"/>
              </w:rPr>
              <w:t>Sc2h</w:t>
            </w:r>
          </w:p>
        </w:tc>
      </w:tr>
      <w:tr w:rsidR="00624B28" w:rsidRPr="001E05F5" w14:paraId="6EA47418" w14:textId="77777777" w:rsidTr="001A2BEF">
        <w:trPr>
          <w:trHeight w:val="288"/>
        </w:trPr>
        <w:tc>
          <w:tcPr>
            <w:tcW w:w="3150" w:type="dxa"/>
            <w:tcBorders>
              <w:right w:val="nil"/>
            </w:tcBorders>
            <w:shd w:val="clear" w:color="auto" w:fill="auto"/>
            <w:noWrap/>
            <w:vAlign w:val="center"/>
            <w:hideMark/>
          </w:tcPr>
          <w:p w14:paraId="55C455DC"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Climate change: GWP 100a</w:t>
            </w:r>
          </w:p>
        </w:tc>
        <w:tc>
          <w:tcPr>
            <w:tcW w:w="1576" w:type="dxa"/>
            <w:tcBorders>
              <w:left w:val="nil"/>
            </w:tcBorders>
            <w:shd w:val="clear" w:color="auto" w:fill="auto"/>
            <w:noWrap/>
            <w:vAlign w:val="center"/>
            <w:hideMark/>
          </w:tcPr>
          <w:p w14:paraId="681ECE42" w14:textId="77777777" w:rsidR="009107DE" w:rsidRPr="001E05F5" w:rsidRDefault="009107DE" w:rsidP="00624B28">
            <w:pPr>
              <w:spacing w:after="0" w:line="240" w:lineRule="auto"/>
              <w:jc w:val="center"/>
              <w:rPr>
                <w:rFonts w:cs="Arial"/>
                <w:color w:val="000000"/>
                <w:sz w:val="18"/>
                <w:szCs w:val="18"/>
                <w:lang w:eastAsia="en-GB"/>
              </w:rPr>
            </w:pPr>
            <w:r w:rsidRPr="001E05F5">
              <w:rPr>
                <w:rFonts w:cs="Arial"/>
                <w:color w:val="000000"/>
                <w:sz w:val="18"/>
                <w:szCs w:val="18"/>
                <w:lang w:eastAsia="en-GB"/>
              </w:rPr>
              <w:t>kg CO2-Eq</w:t>
            </w:r>
          </w:p>
        </w:tc>
        <w:tc>
          <w:tcPr>
            <w:tcW w:w="1287" w:type="dxa"/>
            <w:shd w:val="clear" w:color="auto" w:fill="auto"/>
            <w:noWrap/>
            <w:vAlign w:val="center"/>
            <w:hideMark/>
          </w:tcPr>
          <w:p w14:paraId="00DBA50E"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-10,090,974</w:t>
            </w:r>
          </w:p>
        </w:tc>
        <w:tc>
          <w:tcPr>
            <w:tcW w:w="1287" w:type="dxa"/>
            <w:shd w:val="clear" w:color="auto" w:fill="auto"/>
            <w:noWrap/>
            <w:vAlign w:val="center"/>
            <w:hideMark/>
          </w:tcPr>
          <w:p w14:paraId="0557ACD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-29,507,099</w:t>
            </w:r>
          </w:p>
        </w:tc>
        <w:tc>
          <w:tcPr>
            <w:tcW w:w="1287" w:type="dxa"/>
            <w:shd w:val="clear" w:color="auto" w:fill="auto"/>
            <w:noWrap/>
            <w:vAlign w:val="center"/>
            <w:hideMark/>
          </w:tcPr>
          <w:p w14:paraId="0F8F0BD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-52,175,384</w:t>
            </w:r>
          </w:p>
        </w:tc>
        <w:tc>
          <w:tcPr>
            <w:tcW w:w="1287" w:type="dxa"/>
            <w:shd w:val="clear" w:color="auto" w:fill="auto"/>
            <w:noWrap/>
            <w:vAlign w:val="center"/>
            <w:hideMark/>
          </w:tcPr>
          <w:p w14:paraId="7DC580D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-7,479,756</w:t>
            </w:r>
          </w:p>
        </w:tc>
        <w:tc>
          <w:tcPr>
            <w:tcW w:w="1287" w:type="dxa"/>
            <w:shd w:val="clear" w:color="auto" w:fill="auto"/>
            <w:noWrap/>
            <w:vAlign w:val="center"/>
            <w:hideMark/>
          </w:tcPr>
          <w:p w14:paraId="1CEBA05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-27,927,226</w:t>
            </w:r>
          </w:p>
        </w:tc>
        <w:tc>
          <w:tcPr>
            <w:tcW w:w="1287" w:type="dxa"/>
            <w:shd w:val="clear" w:color="auto" w:fill="auto"/>
            <w:noWrap/>
            <w:vAlign w:val="center"/>
            <w:hideMark/>
          </w:tcPr>
          <w:p w14:paraId="1673AB9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-14,563,558</w:t>
            </w:r>
          </w:p>
        </w:tc>
        <w:tc>
          <w:tcPr>
            <w:tcW w:w="1287" w:type="dxa"/>
            <w:shd w:val="clear" w:color="auto" w:fill="auto"/>
            <w:noWrap/>
            <w:vAlign w:val="center"/>
            <w:hideMark/>
          </w:tcPr>
          <w:p w14:paraId="6E8A5BE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-33,067,854</w:t>
            </w:r>
          </w:p>
        </w:tc>
        <w:tc>
          <w:tcPr>
            <w:tcW w:w="1287" w:type="dxa"/>
            <w:shd w:val="clear" w:color="auto" w:fill="auto"/>
            <w:noWrap/>
            <w:vAlign w:val="center"/>
            <w:hideMark/>
          </w:tcPr>
          <w:p w14:paraId="4CF39E07"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-10,936,213</w:t>
            </w:r>
          </w:p>
        </w:tc>
        <w:tc>
          <w:tcPr>
            <w:tcW w:w="1287" w:type="dxa"/>
            <w:shd w:val="clear" w:color="auto" w:fill="auto"/>
            <w:noWrap/>
            <w:vAlign w:val="center"/>
            <w:hideMark/>
          </w:tcPr>
          <w:p w14:paraId="390263E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-31,427,214</w:t>
            </w:r>
          </w:p>
        </w:tc>
        <w:tc>
          <w:tcPr>
            <w:tcW w:w="1287" w:type="dxa"/>
            <w:shd w:val="clear" w:color="auto" w:fill="auto"/>
            <w:noWrap/>
            <w:vAlign w:val="center"/>
            <w:hideMark/>
          </w:tcPr>
          <w:p w14:paraId="2BBFB4A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-15,182,048</w:t>
            </w:r>
          </w:p>
        </w:tc>
        <w:tc>
          <w:tcPr>
            <w:tcW w:w="1287" w:type="dxa"/>
            <w:shd w:val="clear" w:color="auto" w:fill="auto"/>
            <w:noWrap/>
            <w:vAlign w:val="center"/>
            <w:hideMark/>
          </w:tcPr>
          <w:p w14:paraId="7482C17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-31,777,034</w:t>
            </w:r>
          </w:p>
        </w:tc>
        <w:tc>
          <w:tcPr>
            <w:tcW w:w="1287" w:type="dxa"/>
            <w:shd w:val="clear" w:color="auto" w:fill="auto"/>
            <w:noWrap/>
            <w:vAlign w:val="center"/>
            <w:hideMark/>
          </w:tcPr>
          <w:p w14:paraId="5745A92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-15,756,06</w:t>
            </w:r>
          </w:p>
        </w:tc>
        <w:tc>
          <w:tcPr>
            <w:tcW w:w="1287" w:type="dxa"/>
            <w:shd w:val="clear" w:color="auto" w:fill="auto"/>
            <w:noWrap/>
            <w:vAlign w:val="center"/>
            <w:hideMark/>
          </w:tcPr>
          <w:p w14:paraId="267842B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-30,649,906</w:t>
            </w:r>
          </w:p>
        </w:tc>
      </w:tr>
      <w:tr w:rsidR="00624B28" w:rsidRPr="001E05F5" w14:paraId="0E8393FC" w14:textId="77777777" w:rsidTr="001A2BEF">
        <w:trPr>
          <w:trHeight w:val="288"/>
        </w:trPr>
        <w:tc>
          <w:tcPr>
            <w:tcW w:w="3150" w:type="dxa"/>
            <w:tcBorders>
              <w:right w:val="nil"/>
            </w:tcBorders>
            <w:shd w:val="clear" w:color="auto" w:fill="auto"/>
            <w:noWrap/>
            <w:vAlign w:val="center"/>
            <w:hideMark/>
          </w:tcPr>
          <w:p w14:paraId="3606A219"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 xml:space="preserve">Climate change: GWP 100a </w:t>
            </w:r>
            <w:r w:rsidR="00624B28" w:rsidRPr="001E05F5">
              <w:rPr>
                <w:rFonts w:cs="Arial"/>
                <w:color w:val="000000"/>
                <w:sz w:val="18"/>
                <w:szCs w:val="18"/>
                <w:lang w:eastAsia="en-GB"/>
              </w:rPr>
              <w:br/>
            </w:r>
            <w:r w:rsidRPr="001E05F5">
              <w:rPr>
                <w:rFonts w:cs="Arial"/>
                <w:color w:val="000000"/>
                <w:sz w:val="18"/>
                <w:szCs w:val="18"/>
                <w:lang w:eastAsia="en-GB"/>
              </w:rPr>
              <w:t>Change from baseline</w:t>
            </w:r>
          </w:p>
        </w:tc>
        <w:tc>
          <w:tcPr>
            <w:tcW w:w="1576" w:type="dxa"/>
            <w:tcBorders>
              <w:left w:val="nil"/>
            </w:tcBorders>
            <w:shd w:val="clear" w:color="auto" w:fill="auto"/>
            <w:noWrap/>
            <w:vAlign w:val="center"/>
            <w:hideMark/>
          </w:tcPr>
          <w:p w14:paraId="378569C8" w14:textId="77777777" w:rsidR="009107DE" w:rsidRPr="001E05F5" w:rsidRDefault="009107DE" w:rsidP="00624B28">
            <w:pPr>
              <w:spacing w:after="0" w:line="240" w:lineRule="auto"/>
              <w:jc w:val="center"/>
              <w:rPr>
                <w:rFonts w:cs="Arial"/>
                <w:color w:val="000000"/>
                <w:sz w:val="18"/>
                <w:szCs w:val="18"/>
                <w:lang w:eastAsia="en-GB"/>
              </w:rPr>
            </w:pPr>
            <w:r w:rsidRPr="001E05F5">
              <w:rPr>
                <w:rFonts w:cs="Arial"/>
                <w:color w:val="000000"/>
                <w:sz w:val="18"/>
                <w:szCs w:val="18"/>
                <w:lang w:eastAsia="en-GB"/>
              </w:rPr>
              <w:t>t CO2-Eq</w:t>
            </w:r>
          </w:p>
        </w:tc>
        <w:tc>
          <w:tcPr>
            <w:tcW w:w="1287" w:type="dxa"/>
            <w:shd w:val="clear" w:color="auto" w:fill="auto"/>
            <w:noWrap/>
            <w:vAlign w:val="center"/>
            <w:hideMark/>
          </w:tcPr>
          <w:p w14:paraId="1437E930" w14:textId="77777777" w:rsidR="009107DE" w:rsidRPr="001E05F5" w:rsidRDefault="009107DE" w:rsidP="001A2BEF">
            <w:pPr>
              <w:spacing w:before="60" w:after="60" w:line="240" w:lineRule="auto"/>
              <w:jc w:val="center"/>
              <w:rPr>
                <w:rFonts w:cs="Arial"/>
                <w:color w:val="000000"/>
                <w:sz w:val="18"/>
                <w:szCs w:val="18"/>
                <w:lang w:eastAsia="en-GB"/>
              </w:rPr>
            </w:pPr>
          </w:p>
        </w:tc>
        <w:tc>
          <w:tcPr>
            <w:tcW w:w="1287" w:type="dxa"/>
            <w:shd w:val="clear" w:color="auto" w:fill="auto"/>
            <w:noWrap/>
            <w:vAlign w:val="center"/>
            <w:hideMark/>
          </w:tcPr>
          <w:p w14:paraId="3FF98D83"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-19,400</w:t>
            </w:r>
          </w:p>
        </w:tc>
        <w:tc>
          <w:tcPr>
            <w:tcW w:w="1287" w:type="dxa"/>
            <w:shd w:val="clear" w:color="auto" w:fill="auto"/>
            <w:noWrap/>
            <w:vAlign w:val="center"/>
            <w:hideMark/>
          </w:tcPr>
          <w:p w14:paraId="63B6A17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-42,100</w:t>
            </w:r>
          </w:p>
        </w:tc>
        <w:tc>
          <w:tcPr>
            <w:tcW w:w="1287" w:type="dxa"/>
            <w:shd w:val="clear" w:color="auto" w:fill="auto"/>
            <w:noWrap/>
            <w:vAlign w:val="center"/>
            <w:hideMark/>
          </w:tcPr>
          <w:p w14:paraId="705D725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2,600</w:t>
            </w:r>
          </w:p>
        </w:tc>
        <w:tc>
          <w:tcPr>
            <w:tcW w:w="1287" w:type="dxa"/>
            <w:shd w:val="clear" w:color="auto" w:fill="auto"/>
            <w:noWrap/>
            <w:vAlign w:val="center"/>
            <w:hideMark/>
          </w:tcPr>
          <w:p w14:paraId="4BF8C6E7"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-17,800</w:t>
            </w:r>
          </w:p>
        </w:tc>
        <w:tc>
          <w:tcPr>
            <w:tcW w:w="1287" w:type="dxa"/>
            <w:shd w:val="clear" w:color="auto" w:fill="auto"/>
            <w:noWrap/>
            <w:vAlign w:val="center"/>
            <w:hideMark/>
          </w:tcPr>
          <w:p w14:paraId="21F36E73"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-4,500</w:t>
            </w:r>
          </w:p>
        </w:tc>
        <w:tc>
          <w:tcPr>
            <w:tcW w:w="1287" w:type="dxa"/>
            <w:shd w:val="clear" w:color="auto" w:fill="auto"/>
            <w:noWrap/>
            <w:vAlign w:val="center"/>
            <w:hideMark/>
          </w:tcPr>
          <w:p w14:paraId="12E1062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-23,000</w:t>
            </w:r>
          </w:p>
        </w:tc>
        <w:tc>
          <w:tcPr>
            <w:tcW w:w="1287" w:type="dxa"/>
            <w:shd w:val="clear" w:color="auto" w:fill="auto"/>
            <w:noWrap/>
            <w:vAlign w:val="center"/>
            <w:hideMark/>
          </w:tcPr>
          <w:p w14:paraId="5DB5A782"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-800</w:t>
            </w:r>
          </w:p>
        </w:tc>
        <w:tc>
          <w:tcPr>
            <w:tcW w:w="1287" w:type="dxa"/>
            <w:shd w:val="clear" w:color="auto" w:fill="auto"/>
            <w:noWrap/>
            <w:vAlign w:val="center"/>
            <w:hideMark/>
          </w:tcPr>
          <w:p w14:paraId="1CE81FEA"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-21,300</w:t>
            </w:r>
          </w:p>
        </w:tc>
        <w:tc>
          <w:tcPr>
            <w:tcW w:w="1287" w:type="dxa"/>
            <w:shd w:val="clear" w:color="auto" w:fill="auto"/>
            <w:noWrap/>
            <w:vAlign w:val="center"/>
            <w:hideMark/>
          </w:tcPr>
          <w:p w14:paraId="101D06E3"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-5,100</w:t>
            </w:r>
          </w:p>
        </w:tc>
        <w:tc>
          <w:tcPr>
            <w:tcW w:w="1287" w:type="dxa"/>
            <w:shd w:val="clear" w:color="auto" w:fill="auto"/>
            <w:noWrap/>
            <w:vAlign w:val="center"/>
            <w:hideMark/>
          </w:tcPr>
          <w:p w14:paraId="449DF2C1"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-21,700</w:t>
            </w:r>
          </w:p>
        </w:tc>
        <w:tc>
          <w:tcPr>
            <w:tcW w:w="1287" w:type="dxa"/>
            <w:shd w:val="clear" w:color="auto" w:fill="auto"/>
            <w:noWrap/>
            <w:vAlign w:val="center"/>
            <w:hideMark/>
          </w:tcPr>
          <w:p w14:paraId="7A76AA1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-5,700</w:t>
            </w:r>
          </w:p>
        </w:tc>
        <w:tc>
          <w:tcPr>
            <w:tcW w:w="1287" w:type="dxa"/>
            <w:shd w:val="clear" w:color="auto" w:fill="auto"/>
            <w:noWrap/>
            <w:vAlign w:val="center"/>
            <w:hideMark/>
          </w:tcPr>
          <w:p w14:paraId="3568BF67"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-20,600</w:t>
            </w:r>
          </w:p>
        </w:tc>
      </w:tr>
      <w:tr w:rsidR="00624B28" w:rsidRPr="001E05F5" w14:paraId="4EF7CCA0" w14:textId="77777777" w:rsidTr="001A2BEF">
        <w:trPr>
          <w:trHeight w:val="288"/>
        </w:trPr>
        <w:tc>
          <w:tcPr>
            <w:tcW w:w="3150" w:type="dxa"/>
            <w:tcBorders>
              <w:right w:val="nil"/>
            </w:tcBorders>
            <w:shd w:val="clear" w:color="auto" w:fill="auto"/>
            <w:noWrap/>
            <w:vAlign w:val="center"/>
            <w:hideMark/>
          </w:tcPr>
          <w:p w14:paraId="68D0DB8C"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Acidification potential: average European</w:t>
            </w:r>
          </w:p>
        </w:tc>
        <w:tc>
          <w:tcPr>
            <w:tcW w:w="1576" w:type="dxa"/>
            <w:tcBorders>
              <w:left w:val="nil"/>
            </w:tcBorders>
            <w:shd w:val="clear" w:color="auto" w:fill="auto"/>
            <w:noWrap/>
            <w:vAlign w:val="center"/>
            <w:hideMark/>
          </w:tcPr>
          <w:p w14:paraId="2F83821F" w14:textId="77777777" w:rsidR="009107DE" w:rsidRPr="001E05F5" w:rsidRDefault="009107DE" w:rsidP="00624B28">
            <w:pPr>
              <w:spacing w:after="0" w:line="240" w:lineRule="auto"/>
              <w:jc w:val="center"/>
              <w:rPr>
                <w:rFonts w:cs="Arial"/>
                <w:color w:val="000000"/>
                <w:sz w:val="18"/>
                <w:szCs w:val="18"/>
                <w:lang w:eastAsia="en-GB"/>
              </w:rPr>
            </w:pPr>
            <w:r w:rsidRPr="001E05F5">
              <w:rPr>
                <w:rFonts w:cs="Arial"/>
                <w:color w:val="000000"/>
                <w:sz w:val="18"/>
                <w:szCs w:val="18"/>
                <w:lang w:eastAsia="en-GB"/>
              </w:rPr>
              <w:t>kg SO2-Eq</w:t>
            </w:r>
          </w:p>
        </w:tc>
        <w:tc>
          <w:tcPr>
            <w:tcW w:w="1287" w:type="dxa"/>
            <w:shd w:val="clear" w:color="auto" w:fill="auto"/>
            <w:noWrap/>
            <w:vAlign w:val="center"/>
            <w:hideMark/>
          </w:tcPr>
          <w:p w14:paraId="6323A731"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-113,435</w:t>
            </w:r>
          </w:p>
        </w:tc>
        <w:tc>
          <w:tcPr>
            <w:tcW w:w="1287" w:type="dxa"/>
            <w:shd w:val="clear" w:color="auto" w:fill="auto"/>
            <w:noWrap/>
            <w:vAlign w:val="center"/>
            <w:hideMark/>
          </w:tcPr>
          <w:p w14:paraId="69D1EB0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-111,320</w:t>
            </w:r>
          </w:p>
        </w:tc>
        <w:tc>
          <w:tcPr>
            <w:tcW w:w="1287" w:type="dxa"/>
            <w:shd w:val="clear" w:color="auto" w:fill="auto"/>
            <w:noWrap/>
            <w:vAlign w:val="center"/>
            <w:hideMark/>
          </w:tcPr>
          <w:p w14:paraId="3532386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-133,577</w:t>
            </w:r>
          </w:p>
        </w:tc>
        <w:tc>
          <w:tcPr>
            <w:tcW w:w="1287" w:type="dxa"/>
            <w:shd w:val="clear" w:color="auto" w:fill="auto"/>
            <w:noWrap/>
            <w:vAlign w:val="center"/>
            <w:hideMark/>
          </w:tcPr>
          <w:p w14:paraId="62AB48A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-217,651</w:t>
            </w:r>
          </w:p>
        </w:tc>
        <w:tc>
          <w:tcPr>
            <w:tcW w:w="1287" w:type="dxa"/>
            <w:shd w:val="clear" w:color="auto" w:fill="auto"/>
            <w:noWrap/>
            <w:vAlign w:val="center"/>
            <w:hideMark/>
          </w:tcPr>
          <w:p w14:paraId="600ED1B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-102,795</w:t>
            </w:r>
          </w:p>
        </w:tc>
        <w:tc>
          <w:tcPr>
            <w:tcW w:w="1287" w:type="dxa"/>
            <w:shd w:val="clear" w:color="auto" w:fill="auto"/>
            <w:noWrap/>
            <w:vAlign w:val="center"/>
            <w:hideMark/>
          </w:tcPr>
          <w:p w14:paraId="3390F37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183,710</w:t>
            </w:r>
          </w:p>
        </w:tc>
        <w:tc>
          <w:tcPr>
            <w:tcW w:w="1287" w:type="dxa"/>
            <w:shd w:val="clear" w:color="auto" w:fill="auto"/>
            <w:noWrap/>
            <w:vAlign w:val="center"/>
            <w:hideMark/>
          </w:tcPr>
          <w:p w14:paraId="5AD7D6DE"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184,925</w:t>
            </w:r>
          </w:p>
        </w:tc>
        <w:tc>
          <w:tcPr>
            <w:tcW w:w="1287" w:type="dxa"/>
            <w:shd w:val="clear" w:color="auto" w:fill="auto"/>
            <w:noWrap/>
            <w:vAlign w:val="center"/>
            <w:hideMark/>
          </w:tcPr>
          <w:p w14:paraId="255AF1E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81,331</w:t>
            </w:r>
          </w:p>
        </w:tc>
        <w:tc>
          <w:tcPr>
            <w:tcW w:w="1287" w:type="dxa"/>
            <w:shd w:val="clear" w:color="auto" w:fill="auto"/>
            <w:noWrap/>
            <w:vAlign w:val="center"/>
            <w:hideMark/>
          </w:tcPr>
          <w:p w14:paraId="2CFF941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193,779</w:t>
            </w:r>
          </w:p>
        </w:tc>
        <w:tc>
          <w:tcPr>
            <w:tcW w:w="1287" w:type="dxa"/>
            <w:shd w:val="clear" w:color="auto" w:fill="auto"/>
            <w:noWrap/>
            <w:vAlign w:val="center"/>
            <w:hideMark/>
          </w:tcPr>
          <w:p w14:paraId="63E140B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207,962</w:t>
            </w:r>
          </w:p>
        </w:tc>
        <w:tc>
          <w:tcPr>
            <w:tcW w:w="1287" w:type="dxa"/>
            <w:shd w:val="clear" w:color="auto" w:fill="auto"/>
            <w:noWrap/>
            <w:vAlign w:val="center"/>
            <w:hideMark/>
          </w:tcPr>
          <w:p w14:paraId="537DCC0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206,909</w:t>
            </w:r>
          </w:p>
        </w:tc>
        <w:tc>
          <w:tcPr>
            <w:tcW w:w="1287" w:type="dxa"/>
            <w:shd w:val="clear" w:color="auto" w:fill="auto"/>
            <w:noWrap/>
            <w:vAlign w:val="center"/>
            <w:hideMark/>
          </w:tcPr>
          <w:p w14:paraId="1C09374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116,398</w:t>
            </w:r>
          </w:p>
        </w:tc>
        <w:tc>
          <w:tcPr>
            <w:tcW w:w="1287" w:type="dxa"/>
            <w:shd w:val="clear" w:color="auto" w:fill="auto"/>
            <w:noWrap/>
            <w:vAlign w:val="center"/>
            <w:hideMark/>
          </w:tcPr>
          <w:p w14:paraId="289A9FF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212,991</w:t>
            </w:r>
          </w:p>
        </w:tc>
      </w:tr>
      <w:tr w:rsidR="00624B28" w:rsidRPr="001E05F5" w14:paraId="2602AADF" w14:textId="77777777" w:rsidTr="001A2BEF">
        <w:trPr>
          <w:trHeight w:val="288"/>
        </w:trPr>
        <w:tc>
          <w:tcPr>
            <w:tcW w:w="3150" w:type="dxa"/>
            <w:tcBorders>
              <w:right w:val="nil"/>
            </w:tcBorders>
            <w:shd w:val="clear" w:color="auto" w:fill="auto"/>
            <w:noWrap/>
            <w:vAlign w:val="center"/>
            <w:hideMark/>
          </w:tcPr>
          <w:p w14:paraId="137206AC"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Eutrophication potential: generic</w:t>
            </w:r>
          </w:p>
        </w:tc>
        <w:tc>
          <w:tcPr>
            <w:tcW w:w="1576" w:type="dxa"/>
            <w:tcBorders>
              <w:left w:val="nil"/>
            </w:tcBorders>
            <w:shd w:val="clear" w:color="auto" w:fill="auto"/>
            <w:noWrap/>
            <w:vAlign w:val="center"/>
            <w:hideMark/>
          </w:tcPr>
          <w:p w14:paraId="1876A138" w14:textId="77777777" w:rsidR="009107DE" w:rsidRPr="001E05F5" w:rsidRDefault="009107DE" w:rsidP="00624B28">
            <w:pPr>
              <w:spacing w:after="0" w:line="240" w:lineRule="auto"/>
              <w:jc w:val="center"/>
              <w:rPr>
                <w:rFonts w:cs="Arial"/>
                <w:color w:val="000000"/>
                <w:sz w:val="18"/>
                <w:szCs w:val="18"/>
                <w:lang w:eastAsia="en-GB"/>
              </w:rPr>
            </w:pPr>
            <w:r w:rsidRPr="001E05F5">
              <w:rPr>
                <w:rFonts w:cs="Arial"/>
                <w:color w:val="000000"/>
                <w:sz w:val="18"/>
                <w:szCs w:val="18"/>
                <w:lang w:eastAsia="en-GB"/>
              </w:rPr>
              <w:t>kg PO4-Eq</w:t>
            </w:r>
          </w:p>
        </w:tc>
        <w:tc>
          <w:tcPr>
            <w:tcW w:w="1287" w:type="dxa"/>
            <w:shd w:val="clear" w:color="auto" w:fill="auto"/>
            <w:noWrap/>
            <w:vAlign w:val="center"/>
            <w:hideMark/>
          </w:tcPr>
          <w:p w14:paraId="1A13A5AE"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21,249</w:t>
            </w:r>
          </w:p>
        </w:tc>
        <w:tc>
          <w:tcPr>
            <w:tcW w:w="1287" w:type="dxa"/>
            <w:shd w:val="clear" w:color="auto" w:fill="auto"/>
            <w:noWrap/>
            <w:vAlign w:val="center"/>
            <w:hideMark/>
          </w:tcPr>
          <w:p w14:paraId="7EC7D0D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12,971</w:t>
            </w:r>
          </w:p>
        </w:tc>
        <w:tc>
          <w:tcPr>
            <w:tcW w:w="1287" w:type="dxa"/>
            <w:shd w:val="clear" w:color="auto" w:fill="auto"/>
            <w:noWrap/>
            <w:vAlign w:val="center"/>
            <w:hideMark/>
          </w:tcPr>
          <w:p w14:paraId="52A4812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12,862</w:t>
            </w:r>
          </w:p>
        </w:tc>
        <w:tc>
          <w:tcPr>
            <w:tcW w:w="1287" w:type="dxa"/>
            <w:shd w:val="clear" w:color="auto" w:fill="auto"/>
            <w:noWrap/>
            <w:vAlign w:val="center"/>
            <w:hideMark/>
          </w:tcPr>
          <w:p w14:paraId="0BFBB17A"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53,109</w:t>
            </w:r>
          </w:p>
        </w:tc>
        <w:tc>
          <w:tcPr>
            <w:tcW w:w="1287" w:type="dxa"/>
            <w:shd w:val="clear" w:color="auto" w:fill="auto"/>
            <w:noWrap/>
            <w:vAlign w:val="center"/>
            <w:hideMark/>
          </w:tcPr>
          <w:p w14:paraId="51D455E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14,605</w:t>
            </w:r>
          </w:p>
        </w:tc>
        <w:tc>
          <w:tcPr>
            <w:tcW w:w="1287" w:type="dxa"/>
            <w:shd w:val="clear" w:color="auto" w:fill="auto"/>
            <w:noWrap/>
            <w:vAlign w:val="center"/>
            <w:hideMark/>
          </w:tcPr>
          <w:p w14:paraId="59F0952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87,601</w:t>
            </w:r>
          </w:p>
        </w:tc>
        <w:tc>
          <w:tcPr>
            <w:tcW w:w="1287" w:type="dxa"/>
            <w:shd w:val="clear" w:color="auto" w:fill="auto"/>
            <w:noWrap/>
            <w:vAlign w:val="center"/>
            <w:hideMark/>
          </w:tcPr>
          <w:p w14:paraId="7D96B3E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79,919</w:t>
            </w:r>
          </w:p>
        </w:tc>
        <w:tc>
          <w:tcPr>
            <w:tcW w:w="1287" w:type="dxa"/>
            <w:shd w:val="clear" w:color="auto" w:fill="auto"/>
            <w:noWrap/>
            <w:vAlign w:val="center"/>
            <w:hideMark/>
          </w:tcPr>
          <w:p w14:paraId="1980DB12"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119,739</w:t>
            </w:r>
          </w:p>
        </w:tc>
        <w:tc>
          <w:tcPr>
            <w:tcW w:w="1287" w:type="dxa"/>
            <w:shd w:val="clear" w:color="auto" w:fill="auto"/>
            <w:noWrap/>
            <w:vAlign w:val="center"/>
            <w:hideMark/>
          </w:tcPr>
          <w:p w14:paraId="7F610AE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81,616</w:t>
            </w:r>
          </w:p>
        </w:tc>
        <w:tc>
          <w:tcPr>
            <w:tcW w:w="1287" w:type="dxa"/>
            <w:shd w:val="clear" w:color="auto" w:fill="auto"/>
            <w:noWrap/>
            <w:vAlign w:val="center"/>
            <w:hideMark/>
          </w:tcPr>
          <w:p w14:paraId="48EBC65D"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89,458</w:t>
            </w:r>
          </w:p>
        </w:tc>
        <w:tc>
          <w:tcPr>
            <w:tcW w:w="1287" w:type="dxa"/>
            <w:shd w:val="clear" w:color="auto" w:fill="auto"/>
            <w:noWrap/>
            <w:vAlign w:val="center"/>
            <w:hideMark/>
          </w:tcPr>
          <w:p w14:paraId="1825A93E"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83,331</w:t>
            </w:r>
          </w:p>
        </w:tc>
        <w:tc>
          <w:tcPr>
            <w:tcW w:w="1287" w:type="dxa"/>
            <w:shd w:val="clear" w:color="auto" w:fill="auto"/>
            <w:noWrap/>
            <w:vAlign w:val="center"/>
            <w:hideMark/>
          </w:tcPr>
          <w:p w14:paraId="77DA5FA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115,427</w:t>
            </w:r>
          </w:p>
        </w:tc>
        <w:tc>
          <w:tcPr>
            <w:tcW w:w="1287" w:type="dxa"/>
            <w:shd w:val="clear" w:color="auto" w:fill="auto"/>
            <w:noWrap/>
            <w:vAlign w:val="center"/>
            <w:hideMark/>
          </w:tcPr>
          <w:p w14:paraId="0F936E7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84,496</w:t>
            </w:r>
          </w:p>
        </w:tc>
      </w:tr>
      <w:tr w:rsidR="00624B28" w:rsidRPr="001E05F5" w14:paraId="0EB939C3" w14:textId="77777777" w:rsidTr="001A2BEF">
        <w:trPr>
          <w:trHeight w:val="288"/>
        </w:trPr>
        <w:tc>
          <w:tcPr>
            <w:tcW w:w="3150" w:type="dxa"/>
            <w:tcBorders>
              <w:right w:val="nil"/>
            </w:tcBorders>
            <w:shd w:val="clear" w:color="auto" w:fill="auto"/>
            <w:noWrap/>
            <w:vAlign w:val="center"/>
            <w:hideMark/>
          </w:tcPr>
          <w:p w14:paraId="4F61F159"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Freshwater aquatic ecotoxicity: FAETP infinite</w:t>
            </w:r>
          </w:p>
        </w:tc>
        <w:tc>
          <w:tcPr>
            <w:tcW w:w="1576" w:type="dxa"/>
            <w:tcBorders>
              <w:left w:val="nil"/>
            </w:tcBorders>
            <w:shd w:val="clear" w:color="auto" w:fill="auto"/>
            <w:noWrap/>
            <w:vAlign w:val="center"/>
            <w:hideMark/>
          </w:tcPr>
          <w:p w14:paraId="7B74AFFB" w14:textId="77777777" w:rsidR="009107DE" w:rsidRPr="001E05F5" w:rsidRDefault="009107DE" w:rsidP="00624B28">
            <w:pPr>
              <w:spacing w:after="0" w:line="240" w:lineRule="auto"/>
              <w:jc w:val="center"/>
              <w:rPr>
                <w:rFonts w:cs="Arial"/>
                <w:color w:val="000000"/>
                <w:sz w:val="18"/>
                <w:szCs w:val="18"/>
                <w:lang w:eastAsia="en-GB"/>
              </w:rPr>
            </w:pPr>
            <w:r w:rsidRPr="001E05F5">
              <w:rPr>
                <w:rFonts w:cs="Arial"/>
                <w:color w:val="000000"/>
                <w:sz w:val="18"/>
                <w:szCs w:val="18"/>
                <w:lang w:eastAsia="en-GB"/>
              </w:rPr>
              <w:t>kg 1,4-DCB-Eq</w:t>
            </w:r>
          </w:p>
        </w:tc>
        <w:tc>
          <w:tcPr>
            <w:tcW w:w="1287" w:type="dxa"/>
            <w:shd w:val="clear" w:color="auto" w:fill="auto"/>
            <w:noWrap/>
            <w:vAlign w:val="center"/>
            <w:hideMark/>
          </w:tcPr>
          <w:p w14:paraId="4690296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-7,922,771</w:t>
            </w:r>
          </w:p>
        </w:tc>
        <w:tc>
          <w:tcPr>
            <w:tcW w:w="1287" w:type="dxa"/>
            <w:shd w:val="clear" w:color="auto" w:fill="auto"/>
            <w:noWrap/>
            <w:vAlign w:val="center"/>
            <w:hideMark/>
          </w:tcPr>
          <w:p w14:paraId="2391C3D1"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-8,538,891</w:t>
            </w:r>
          </w:p>
        </w:tc>
        <w:tc>
          <w:tcPr>
            <w:tcW w:w="1287" w:type="dxa"/>
            <w:shd w:val="clear" w:color="auto" w:fill="auto"/>
            <w:noWrap/>
            <w:vAlign w:val="center"/>
            <w:hideMark/>
          </w:tcPr>
          <w:p w14:paraId="2A11E98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-8,536,584</w:t>
            </w:r>
          </w:p>
        </w:tc>
        <w:tc>
          <w:tcPr>
            <w:tcW w:w="1287" w:type="dxa"/>
            <w:shd w:val="clear" w:color="auto" w:fill="auto"/>
            <w:noWrap/>
            <w:vAlign w:val="center"/>
            <w:hideMark/>
          </w:tcPr>
          <w:p w14:paraId="0C38367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-7,713,597</w:t>
            </w:r>
          </w:p>
        </w:tc>
        <w:tc>
          <w:tcPr>
            <w:tcW w:w="1287" w:type="dxa"/>
            <w:shd w:val="clear" w:color="auto" w:fill="auto"/>
            <w:noWrap/>
            <w:vAlign w:val="center"/>
            <w:hideMark/>
          </w:tcPr>
          <w:p w14:paraId="638E079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-8,392,579</w:t>
            </w:r>
          </w:p>
        </w:tc>
        <w:tc>
          <w:tcPr>
            <w:tcW w:w="1287" w:type="dxa"/>
            <w:shd w:val="clear" w:color="auto" w:fill="auto"/>
            <w:noWrap/>
            <w:vAlign w:val="center"/>
            <w:hideMark/>
          </w:tcPr>
          <w:p w14:paraId="5AC6D51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-8,617,423</w:t>
            </w:r>
          </w:p>
        </w:tc>
        <w:tc>
          <w:tcPr>
            <w:tcW w:w="1287" w:type="dxa"/>
            <w:shd w:val="clear" w:color="auto" w:fill="auto"/>
            <w:noWrap/>
            <w:vAlign w:val="center"/>
            <w:hideMark/>
          </w:tcPr>
          <w:p w14:paraId="18E9E95D"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-9,216,150</w:t>
            </w:r>
          </w:p>
        </w:tc>
        <w:tc>
          <w:tcPr>
            <w:tcW w:w="1287" w:type="dxa"/>
            <w:shd w:val="clear" w:color="auto" w:fill="auto"/>
            <w:noWrap/>
            <w:vAlign w:val="center"/>
            <w:hideMark/>
          </w:tcPr>
          <w:p w14:paraId="60AA60F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-8,373,291</w:t>
            </w:r>
          </w:p>
        </w:tc>
        <w:tc>
          <w:tcPr>
            <w:tcW w:w="1287" w:type="dxa"/>
            <w:shd w:val="clear" w:color="auto" w:fill="auto"/>
            <w:noWrap/>
            <w:vAlign w:val="center"/>
            <w:hideMark/>
          </w:tcPr>
          <w:p w14:paraId="03579957"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-9,064,210</w:t>
            </w:r>
          </w:p>
        </w:tc>
        <w:tc>
          <w:tcPr>
            <w:tcW w:w="1287" w:type="dxa"/>
            <w:shd w:val="clear" w:color="auto" w:fill="auto"/>
            <w:noWrap/>
            <w:vAlign w:val="center"/>
            <w:hideMark/>
          </w:tcPr>
          <w:p w14:paraId="52A2406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-8,565,552</w:t>
            </w:r>
          </w:p>
        </w:tc>
        <w:tc>
          <w:tcPr>
            <w:tcW w:w="1287" w:type="dxa"/>
            <w:shd w:val="clear" w:color="auto" w:fill="auto"/>
            <w:noWrap/>
            <w:vAlign w:val="center"/>
            <w:hideMark/>
          </w:tcPr>
          <w:p w14:paraId="358D5FD3"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-9,145,763</w:t>
            </w:r>
          </w:p>
        </w:tc>
        <w:tc>
          <w:tcPr>
            <w:tcW w:w="1287" w:type="dxa"/>
            <w:shd w:val="clear" w:color="auto" w:fill="auto"/>
            <w:noWrap/>
            <w:vAlign w:val="center"/>
            <w:hideMark/>
          </w:tcPr>
          <w:p w14:paraId="0BA1E22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-8,300,587</w:t>
            </w:r>
          </w:p>
        </w:tc>
        <w:tc>
          <w:tcPr>
            <w:tcW w:w="1287" w:type="dxa"/>
            <w:shd w:val="clear" w:color="auto" w:fill="auto"/>
            <w:noWrap/>
            <w:vAlign w:val="center"/>
            <w:hideMark/>
          </w:tcPr>
          <w:p w14:paraId="5C6E4E2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-9,041,380</w:t>
            </w:r>
          </w:p>
        </w:tc>
      </w:tr>
      <w:tr w:rsidR="00624B28" w:rsidRPr="001E05F5" w14:paraId="67F7D8BD" w14:textId="77777777" w:rsidTr="001A2BEF">
        <w:trPr>
          <w:trHeight w:val="288"/>
        </w:trPr>
        <w:tc>
          <w:tcPr>
            <w:tcW w:w="3150" w:type="dxa"/>
            <w:tcBorders>
              <w:right w:val="nil"/>
            </w:tcBorders>
            <w:shd w:val="clear" w:color="auto" w:fill="auto"/>
            <w:noWrap/>
            <w:vAlign w:val="center"/>
            <w:hideMark/>
          </w:tcPr>
          <w:p w14:paraId="72E9B086"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Human toxicity: HTP infinite</w:t>
            </w:r>
          </w:p>
        </w:tc>
        <w:tc>
          <w:tcPr>
            <w:tcW w:w="1576" w:type="dxa"/>
            <w:tcBorders>
              <w:left w:val="nil"/>
            </w:tcBorders>
            <w:shd w:val="clear" w:color="auto" w:fill="auto"/>
            <w:noWrap/>
            <w:vAlign w:val="center"/>
            <w:hideMark/>
          </w:tcPr>
          <w:p w14:paraId="0A25F7D9" w14:textId="77777777" w:rsidR="009107DE" w:rsidRPr="001E05F5" w:rsidRDefault="009107DE" w:rsidP="00624B28">
            <w:pPr>
              <w:spacing w:after="0" w:line="240" w:lineRule="auto"/>
              <w:jc w:val="center"/>
              <w:rPr>
                <w:rFonts w:cs="Arial"/>
                <w:color w:val="000000"/>
                <w:sz w:val="18"/>
                <w:szCs w:val="18"/>
                <w:lang w:eastAsia="en-GB"/>
              </w:rPr>
            </w:pPr>
            <w:r w:rsidRPr="001E05F5">
              <w:rPr>
                <w:rFonts w:cs="Arial"/>
                <w:color w:val="000000"/>
                <w:sz w:val="18"/>
                <w:szCs w:val="18"/>
                <w:lang w:eastAsia="en-GB"/>
              </w:rPr>
              <w:t>kg 1,4-DCB-Eq</w:t>
            </w:r>
          </w:p>
        </w:tc>
        <w:tc>
          <w:tcPr>
            <w:tcW w:w="1287" w:type="dxa"/>
            <w:shd w:val="clear" w:color="auto" w:fill="auto"/>
            <w:noWrap/>
            <w:vAlign w:val="center"/>
            <w:hideMark/>
          </w:tcPr>
          <w:p w14:paraId="6DA1FA5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-96,566,232</w:t>
            </w:r>
          </w:p>
        </w:tc>
        <w:tc>
          <w:tcPr>
            <w:tcW w:w="1287" w:type="dxa"/>
            <w:shd w:val="clear" w:color="auto" w:fill="auto"/>
            <w:noWrap/>
            <w:vAlign w:val="center"/>
            <w:hideMark/>
          </w:tcPr>
          <w:p w14:paraId="7A0E233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-99,971,347</w:t>
            </w:r>
          </w:p>
        </w:tc>
        <w:tc>
          <w:tcPr>
            <w:tcW w:w="1287" w:type="dxa"/>
            <w:shd w:val="clear" w:color="auto" w:fill="auto"/>
            <w:noWrap/>
            <w:vAlign w:val="center"/>
            <w:hideMark/>
          </w:tcPr>
          <w:p w14:paraId="0B69CAA1"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-102,687,607</w:t>
            </w:r>
          </w:p>
        </w:tc>
        <w:tc>
          <w:tcPr>
            <w:tcW w:w="1287" w:type="dxa"/>
            <w:shd w:val="clear" w:color="auto" w:fill="auto"/>
            <w:noWrap/>
            <w:vAlign w:val="center"/>
            <w:hideMark/>
          </w:tcPr>
          <w:p w14:paraId="748F274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-97,228,199</w:t>
            </w:r>
          </w:p>
        </w:tc>
        <w:tc>
          <w:tcPr>
            <w:tcW w:w="1287" w:type="dxa"/>
            <w:shd w:val="clear" w:color="auto" w:fill="auto"/>
            <w:noWrap/>
            <w:vAlign w:val="center"/>
            <w:hideMark/>
          </w:tcPr>
          <w:p w14:paraId="32E2AFC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-99,267,663</w:t>
            </w:r>
          </w:p>
        </w:tc>
        <w:tc>
          <w:tcPr>
            <w:tcW w:w="1287" w:type="dxa"/>
            <w:shd w:val="clear" w:color="auto" w:fill="auto"/>
            <w:noWrap/>
            <w:vAlign w:val="center"/>
            <w:hideMark/>
          </w:tcPr>
          <w:p w14:paraId="3D7D3463"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-100,769,624</w:t>
            </w:r>
          </w:p>
        </w:tc>
        <w:tc>
          <w:tcPr>
            <w:tcW w:w="1287" w:type="dxa"/>
            <w:shd w:val="clear" w:color="auto" w:fill="auto"/>
            <w:noWrap/>
            <w:vAlign w:val="center"/>
            <w:hideMark/>
          </w:tcPr>
          <w:p w14:paraId="074F996D"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-104,112,354</w:t>
            </w:r>
          </w:p>
        </w:tc>
        <w:tc>
          <w:tcPr>
            <w:tcW w:w="1287" w:type="dxa"/>
            <w:shd w:val="clear" w:color="auto" w:fill="auto"/>
            <w:noWrap/>
            <w:vAlign w:val="center"/>
            <w:hideMark/>
          </w:tcPr>
          <w:p w14:paraId="13BDADD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-100,942,537</w:t>
            </w:r>
          </w:p>
        </w:tc>
        <w:tc>
          <w:tcPr>
            <w:tcW w:w="1287" w:type="dxa"/>
            <w:shd w:val="clear" w:color="auto" w:fill="auto"/>
            <w:noWrap/>
            <w:vAlign w:val="center"/>
            <w:hideMark/>
          </w:tcPr>
          <w:p w14:paraId="6EC1B56A"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-103,381,605</w:t>
            </w:r>
          </w:p>
        </w:tc>
        <w:tc>
          <w:tcPr>
            <w:tcW w:w="1287" w:type="dxa"/>
            <w:shd w:val="clear" w:color="auto" w:fill="auto"/>
            <w:noWrap/>
            <w:vAlign w:val="center"/>
            <w:hideMark/>
          </w:tcPr>
          <w:p w14:paraId="18598DD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-100,589,203</w:t>
            </w:r>
          </w:p>
        </w:tc>
        <w:tc>
          <w:tcPr>
            <w:tcW w:w="1287" w:type="dxa"/>
            <w:shd w:val="clear" w:color="auto" w:fill="auto"/>
            <w:noWrap/>
            <w:vAlign w:val="center"/>
            <w:hideMark/>
          </w:tcPr>
          <w:p w14:paraId="3EA2F4A1"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-103,807,886</w:t>
            </w:r>
          </w:p>
        </w:tc>
        <w:tc>
          <w:tcPr>
            <w:tcW w:w="1287" w:type="dxa"/>
            <w:shd w:val="clear" w:color="auto" w:fill="auto"/>
            <w:noWrap/>
            <w:vAlign w:val="center"/>
            <w:hideMark/>
          </w:tcPr>
          <w:p w14:paraId="0C8F8C93"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-100,713,163</w:t>
            </w:r>
          </w:p>
        </w:tc>
        <w:tc>
          <w:tcPr>
            <w:tcW w:w="1287" w:type="dxa"/>
            <w:shd w:val="clear" w:color="auto" w:fill="auto"/>
            <w:noWrap/>
            <w:vAlign w:val="center"/>
            <w:hideMark/>
          </w:tcPr>
          <w:p w14:paraId="7A108CD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-103,305,857</w:t>
            </w:r>
          </w:p>
        </w:tc>
      </w:tr>
      <w:tr w:rsidR="00624B28" w:rsidRPr="001E05F5" w14:paraId="54C73A64" w14:textId="77777777" w:rsidTr="001A2BEF">
        <w:trPr>
          <w:trHeight w:val="288"/>
        </w:trPr>
        <w:tc>
          <w:tcPr>
            <w:tcW w:w="3150" w:type="dxa"/>
            <w:tcBorders>
              <w:right w:val="nil"/>
            </w:tcBorders>
            <w:shd w:val="clear" w:color="auto" w:fill="auto"/>
            <w:noWrap/>
            <w:vAlign w:val="center"/>
            <w:hideMark/>
          </w:tcPr>
          <w:p w14:paraId="2A42B330"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Resources: depletion of abiotic resources</w:t>
            </w:r>
          </w:p>
        </w:tc>
        <w:tc>
          <w:tcPr>
            <w:tcW w:w="1576" w:type="dxa"/>
            <w:tcBorders>
              <w:left w:val="nil"/>
            </w:tcBorders>
            <w:shd w:val="clear" w:color="auto" w:fill="auto"/>
            <w:noWrap/>
            <w:vAlign w:val="center"/>
            <w:hideMark/>
          </w:tcPr>
          <w:p w14:paraId="5BE0FAD3" w14:textId="77777777" w:rsidR="009107DE" w:rsidRPr="001E05F5" w:rsidRDefault="009107DE" w:rsidP="00624B28">
            <w:pPr>
              <w:spacing w:after="0" w:line="240" w:lineRule="auto"/>
              <w:jc w:val="center"/>
              <w:rPr>
                <w:rFonts w:cs="Arial"/>
                <w:color w:val="000000"/>
                <w:sz w:val="18"/>
                <w:szCs w:val="18"/>
                <w:lang w:eastAsia="en-GB"/>
              </w:rPr>
            </w:pPr>
            <w:r w:rsidRPr="001E05F5">
              <w:rPr>
                <w:rFonts w:cs="Arial"/>
                <w:color w:val="000000"/>
                <w:sz w:val="18"/>
                <w:szCs w:val="18"/>
                <w:lang w:eastAsia="en-GB"/>
              </w:rPr>
              <w:t>kg antimony-</w:t>
            </w:r>
            <w:proofErr w:type="spellStart"/>
            <w:r w:rsidRPr="001E05F5">
              <w:rPr>
                <w:rFonts w:cs="Arial"/>
                <w:color w:val="000000"/>
                <w:sz w:val="18"/>
                <w:szCs w:val="18"/>
                <w:lang w:eastAsia="en-GB"/>
              </w:rPr>
              <w:t>Eq</w:t>
            </w:r>
            <w:proofErr w:type="spellEnd"/>
          </w:p>
        </w:tc>
        <w:tc>
          <w:tcPr>
            <w:tcW w:w="1287" w:type="dxa"/>
            <w:shd w:val="clear" w:color="auto" w:fill="auto"/>
            <w:noWrap/>
            <w:vAlign w:val="center"/>
            <w:hideMark/>
          </w:tcPr>
          <w:p w14:paraId="610347F1"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-750,360</w:t>
            </w:r>
          </w:p>
        </w:tc>
        <w:tc>
          <w:tcPr>
            <w:tcW w:w="1287" w:type="dxa"/>
            <w:shd w:val="clear" w:color="auto" w:fill="auto"/>
            <w:noWrap/>
            <w:vAlign w:val="center"/>
            <w:hideMark/>
          </w:tcPr>
          <w:p w14:paraId="55EBD9D7"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-816,308</w:t>
            </w:r>
          </w:p>
        </w:tc>
        <w:tc>
          <w:tcPr>
            <w:tcW w:w="1287" w:type="dxa"/>
            <w:shd w:val="clear" w:color="auto" w:fill="auto"/>
            <w:noWrap/>
            <w:vAlign w:val="center"/>
            <w:hideMark/>
          </w:tcPr>
          <w:p w14:paraId="5410FF8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-999,816</w:t>
            </w:r>
          </w:p>
        </w:tc>
        <w:tc>
          <w:tcPr>
            <w:tcW w:w="1287" w:type="dxa"/>
            <w:shd w:val="clear" w:color="auto" w:fill="auto"/>
            <w:noWrap/>
            <w:vAlign w:val="center"/>
            <w:hideMark/>
          </w:tcPr>
          <w:p w14:paraId="2B27792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-1,425,738</w:t>
            </w:r>
          </w:p>
        </w:tc>
        <w:tc>
          <w:tcPr>
            <w:tcW w:w="1287" w:type="dxa"/>
            <w:shd w:val="clear" w:color="auto" w:fill="auto"/>
            <w:noWrap/>
            <w:vAlign w:val="center"/>
            <w:hideMark/>
          </w:tcPr>
          <w:p w14:paraId="2460370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-802,791</w:t>
            </w:r>
          </w:p>
        </w:tc>
        <w:tc>
          <w:tcPr>
            <w:tcW w:w="1287" w:type="dxa"/>
            <w:shd w:val="clear" w:color="auto" w:fill="auto"/>
            <w:noWrap/>
            <w:vAlign w:val="center"/>
            <w:hideMark/>
          </w:tcPr>
          <w:p w14:paraId="1A2B90D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-772,400</w:t>
            </w:r>
          </w:p>
        </w:tc>
        <w:tc>
          <w:tcPr>
            <w:tcW w:w="1287" w:type="dxa"/>
            <w:shd w:val="clear" w:color="auto" w:fill="auto"/>
            <w:noWrap/>
            <w:vAlign w:val="center"/>
            <w:hideMark/>
          </w:tcPr>
          <w:p w14:paraId="1460294D"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-839,637</w:t>
            </w:r>
          </w:p>
        </w:tc>
        <w:tc>
          <w:tcPr>
            <w:tcW w:w="1287" w:type="dxa"/>
            <w:shd w:val="clear" w:color="auto" w:fill="auto"/>
            <w:noWrap/>
            <w:vAlign w:val="center"/>
            <w:hideMark/>
          </w:tcPr>
          <w:p w14:paraId="481D345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-1,417,230</w:t>
            </w:r>
          </w:p>
        </w:tc>
        <w:tc>
          <w:tcPr>
            <w:tcW w:w="1287" w:type="dxa"/>
            <w:shd w:val="clear" w:color="auto" w:fill="auto"/>
            <w:noWrap/>
            <w:vAlign w:val="center"/>
            <w:hideMark/>
          </w:tcPr>
          <w:p w14:paraId="236E688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-825,600</w:t>
            </w:r>
          </w:p>
        </w:tc>
        <w:tc>
          <w:tcPr>
            <w:tcW w:w="1287" w:type="dxa"/>
            <w:shd w:val="clear" w:color="auto" w:fill="auto"/>
            <w:noWrap/>
            <w:vAlign w:val="center"/>
            <w:hideMark/>
          </w:tcPr>
          <w:p w14:paraId="5DAD5C0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-766,045</w:t>
            </w:r>
          </w:p>
        </w:tc>
        <w:tc>
          <w:tcPr>
            <w:tcW w:w="1287" w:type="dxa"/>
            <w:shd w:val="clear" w:color="auto" w:fill="auto"/>
            <w:noWrap/>
            <w:vAlign w:val="center"/>
            <w:hideMark/>
          </w:tcPr>
          <w:p w14:paraId="5EB0A04E"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-825,077</w:t>
            </w:r>
          </w:p>
        </w:tc>
        <w:tc>
          <w:tcPr>
            <w:tcW w:w="1287" w:type="dxa"/>
            <w:shd w:val="clear" w:color="auto" w:fill="auto"/>
            <w:noWrap/>
            <w:vAlign w:val="center"/>
            <w:hideMark/>
          </w:tcPr>
          <w:p w14:paraId="3902C4C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-1,413,915</w:t>
            </w:r>
          </w:p>
        </w:tc>
        <w:tc>
          <w:tcPr>
            <w:tcW w:w="1287" w:type="dxa"/>
            <w:shd w:val="clear" w:color="auto" w:fill="auto"/>
            <w:noWrap/>
            <w:vAlign w:val="center"/>
            <w:hideMark/>
          </w:tcPr>
          <w:p w14:paraId="3A43C41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-815,433</w:t>
            </w:r>
          </w:p>
        </w:tc>
      </w:tr>
      <w:tr w:rsidR="00624B28" w:rsidRPr="001E05F5" w14:paraId="2C2FC21C" w14:textId="77777777" w:rsidTr="001A2BEF">
        <w:trPr>
          <w:trHeight w:val="288"/>
        </w:trPr>
        <w:tc>
          <w:tcPr>
            <w:tcW w:w="3150" w:type="dxa"/>
            <w:tcBorders>
              <w:bottom w:val="single" w:sz="4" w:space="0" w:color="auto"/>
              <w:right w:val="nil"/>
            </w:tcBorders>
            <w:shd w:val="clear" w:color="auto" w:fill="D9D9D9" w:themeFill="background1" w:themeFillShade="D9"/>
            <w:noWrap/>
            <w:vAlign w:val="center"/>
            <w:hideMark/>
          </w:tcPr>
          <w:p w14:paraId="7A17EE75"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Normalise</w:t>
            </w:r>
            <w:r w:rsidR="009908F0" w:rsidRPr="001E05F5">
              <w:rPr>
                <w:rFonts w:cs="Arial"/>
                <w:color w:val="000000"/>
                <w:sz w:val="18"/>
                <w:szCs w:val="18"/>
                <w:lang w:eastAsia="en-GB"/>
              </w:rPr>
              <w:t>d</w:t>
            </w:r>
            <w:r w:rsidRPr="001E05F5">
              <w:rPr>
                <w:rFonts w:cs="Arial"/>
                <w:color w:val="000000"/>
                <w:sz w:val="18"/>
                <w:szCs w:val="18"/>
                <w:lang w:eastAsia="en-GB"/>
              </w:rPr>
              <w:t xml:space="preserve"> data (</w:t>
            </w:r>
            <w:proofErr w:type="gramStart"/>
            <w:r w:rsidRPr="001E05F5">
              <w:rPr>
                <w:rFonts w:cs="Arial"/>
                <w:color w:val="000000"/>
                <w:sz w:val="18"/>
                <w:szCs w:val="18"/>
                <w:lang w:eastAsia="en-GB"/>
              </w:rPr>
              <w:t>Eur.Person.Eq</w:t>
            </w:r>
            <w:proofErr w:type="gramEnd"/>
            <w:r w:rsidRPr="001E05F5">
              <w:rPr>
                <w:rFonts w:cs="Arial"/>
                <w:color w:val="000000"/>
                <w:sz w:val="18"/>
                <w:szCs w:val="18"/>
                <w:lang w:eastAsia="en-GB"/>
              </w:rPr>
              <w:t>)</w:t>
            </w:r>
          </w:p>
        </w:tc>
        <w:tc>
          <w:tcPr>
            <w:tcW w:w="1576" w:type="dxa"/>
            <w:tcBorders>
              <w:left w:val="nil"/>
              <w:bottom w:val="single" w:sz="4" w:space="0" w:color="auto"/>
            </w:tcBorders>
            <w:shd w:val="clear" w:color="auto" w:fill="D9D9D9" w:themeFill="background1" w:themeFillShade="D9"/>
            <w:noWrap/>
            <w:vAlign w:val="center"/>
            <w:hideMark/>
          </w:tcPr>
          <w:p w14:paraId="0324006F" w14:textId="77777777" w:rsidR="009107DE" w:rsidRPr="001E05F5" w:rsidRDefault="009107DE" w:rsidP="00624B28">
            <w:pPr>
              <w:spacing w:after="0" w:line="240" w:lineRule="auto"/>
              <w:jc w:val="center"/>
              <w:rPr>
                <w:rFonts w:cs="Arial"/>
                <w:color w:val="000000"/>
                <w:sz w:val="18"/>
                <w:szCs w:val="18"/>
                <w:lang w:eastAsia="en-GB"/>
              </w:rPr>
            </w:pPr>
            <w:r w:rsidRPr="001E05F5">
              <w:rPr>
                <w:rFonts w:cs="Arial"/>
                <w:color w:val="000000"/>
                <w:sz w:val="18"/>
                <w:szCs w:val="18"/>
                <w:lang w:eastAsia="en-GB"/>
              </w:rPr>
              <w:t>Unit</w:t>
            </w:r>
          </w:p>
        </w:tc>
        <w:tc>
          <w:tcPr>
            <w:tcW w:w="1287" w:type="dxa"/>
            <w:shd w:val="clear" w:color="auto" w:fill="D9D9D9" w:themeFill="background1" w:themeFillShade="D9"/>
            <w:noWrap/>
            <w:vAlign w:val="center"/>
            <w:hideMark/>
          </w:tcPr>
          <w:p w14:paraId="1731549B" w14:textId="77777777" w:rsidR="009107DE" w:rsidRPr="001E05F5" w:rsidRDefault="009107DE" w:rsidP="001A2BEF">
            <w:pPr>
              <w:spacing w:before="60" w:after="60" w:line="240" w:lineRule="auto"/>
              <w:jc w:val="center"/>
              <w:rPr>
                <w:rFonts w:cs="Arial"/>
                <w:color w:val="000000"/>
                <w:sz w:val="18"/>
                <w:szCs w:val="18"/>
                <w:lang w:eastAsia="en-GB"/>
              </w:rPr>
            </w:pPr>
          </w:p>
        </w:tc>
        <w:tc>
          <w:tcPr>
            <w:tcW w:w="1287" w:type="dxa"/>
            <w:shd w:val="clear" w:color="auto" w:fill="D9D9D9" w:themeFill="background1" w:themeFillShade="D9"/>
            <w:noWrap/>
            <w:vAlign w:val="center"/>
            <w:hideMark/>
          </w:tcPr>
          <w:p w14:paraId="5A876D37"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1875BC96"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77D085A7"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15A45C98"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5D80EFAF"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3677FCD1"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342ABB83"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66686568"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4E07384C"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06079C92"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6D0E4229" w14:textId="77777777" w:rsidR="009107DE" w:rsidRPr="001E05F5" w:rsidRDefault="009107DE" w:rsidP="001A2BEF">
            <w:pPr>
              <w:spacing w:before="60" w:after="60" w:line="240" w:lineRule="auto"/>
              <w:jc w:val="center"/>
              <w:rPr>
                <w:rFonts w:cs="Arial"/>
                <w:sz w:val="18"/>
                <w:szCs w:val="18"/>
                <w:lang w:eastAsia="en-GB"/>
              </w:rPr>
            </w:pPr>
          </w:p>
        </w:tc>
        <w:tc>
          <w:tcPr>
            <w:tcW w:w="1287" w:type="dxa"/>
            <w:shd w:val="clear" w:color="auto" w:fill="D9D9D9" w:themeFill="background1" w:themeFillShade="D9"/>
            <w:noWrap/>
            <w:vAlign w:val="center"/>
            <w:hideMark/>
          </w:tcPr>
          <w:p w14:paraId="570D16C7" w14:textId="77777777" w:rsidR="009107DE" w:rsidRPr="001E05F5" w:rsidRDefault="009107DE" w:rsidP="001A2BEF">
            <w:pPr>
              <w:spacing w:before="60" w:after="60" w:line="240" w:lineRule="auto"/>
              <w:jc w:val="center"/>
              <w:rPr>
                <w:rFonts w:cs="Arial"/>
                <w:sz w:val="18"/>
                <w:szCs w:val="18"/>
                <w:lang w:eastAsia="en-GB"/>
              </w:rPr>
            </w:pPr>
          </w:p>
        </w:tc>
      </w:tr>
      <w:tr w:rsidR="00624B28" w:rsidRPr="001E05F5" w14:paraId="4CFAAB82" w14:textId="77777777" w:rsidTr="001A2BEF">
        <w:trPr>
          <w:trHeight w:val="288"/>
        </w:trPr>
        <w:tc>
          <w:tcPr>
            <w:tcW w:w="3150" w:type="dxa"/>
            <w:tcBorders>
              <w:bottom w:val="nil"/>
              <w:right w:val="nil"/>
            </w:tcBorders>
            <w:shd w:val="clear" w:color="auto" w:fill="auto"/>
            <w:noWrap/>
            <w:vAlign w:val="center"/>
            <w:hideMark/>
          </w:tcPr>
          <w:p w14:paraId="3F3682A4"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Acidification potential: average European</w:t>
            </w:r>
          </w:p>
        </w:tc>
        <w:tc>
          <w:tcPr>
            <w:tcW w:w="1576" w:type="dxa"/>
            <w:tcBorders>
              <w:left w:val="nil"/>
              <w:bottom w:val="nil"/>
            </w:tcBorders>
            <w:shd w:val="clear" w:color="auto" w:fill="auto"/>
            <w:noWrap/>
            <w:vAlign w:val="center"/>
            <w:hideMark/>
          </w:tcPr>
          <w:p w14:paraId="293E9895" w14:textId="77777777" w:rsidR="009107DE" w:rsidRPr="001E05F5" w:rsidRDefault="009107DE" w:rsidP="00624B28">
            <w:pPr>
              <w:spacing w:after="0" w:line="240" w:lineRule="auto"/>
              <w:jc w:val="center"/>
              <w:rPr>
                <w:rFonts w:cs="Arial"/>
                <w:color w:val="000000"/>
                <w:sz w:val="18"/>
                <w:szCs w:val="18"/>
                <w:lang w:eastAsia="en-GB"/>
              </w:rPr>
            </w:pPr>
            <w:proofErr w:type="gramStart"/>
            <w:r w:rsidRPr="001E05F5">
              <w:rPr>
                <w:rFonts w:cs="Arial"/>
                <w:color w:val="000000"/>
                <w:sz w:val="18"/>
                <w:szCs w:val="18"/>
                <w:lang w:eastAsia="en-GB"/>
              </w:rPr>
              <w:t>Eur.Person.Eq</w:t>
            </w:r>
            <w:proofErr w:type="gramEnd"/>
          </w:p>
        </w:tc>
        <w:tc>
          <w:tcPr>
            <w:tcW w:w="1287" w:type="dxa"/>
            <w:shd w:val="clear" w:color="auto" w:fill="auto"/>
            <w:noWrap/>
            <w:vAlign w:val="center"/>
            <w:hideMark/>
          </w:tcPr>
          <w:p w14:paraId="61705F2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-1,586</w:t>
            </w:r>
          </w:p>
        </w:tc>
        <w:tc>
          <w:tcPr>
            <w:tcW w:w="1287" w:type="dxa"/>
            <w:shd w:val="clear" w:color="auto" w:fill="auto"/>
            <w:noWrap/>
            <w:vAlign w:val="center"/>
            <w:hideMark/>
          </w:tcPr>
          <w:p w14:paraId="2EFF188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-1,556</w:t>
            </w:r>
          </w:p>
        </w:tc>
        <w:tc>
          <w:tcPr>
            <w:tcW w:w="1287" w:type="dxa"/>
            <w:shd w:val="clear" w:color="auto" w:fill="auto"/>
            <w:noWrap/>
            <w:vAlign w:val="center"/>
            <w:hideMark/>
          </w:tcPr>
          <w:p w14:paraId="0B5D108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-1,867</w:t>
            </w:r>
          </w:p>
        </w:tc>
        <w:tc>
          <w:tcPr>
            <w:tcW w:w="1287" w:type="dxa"/>
            <w:shd w:val="clear" w:color="auto" w:fill="auto"/>
            <w:noWrap/>
            <w:vAlign w:val="center"/>
            <w:hideMark/>
          </w:tcPr>
          <w:p w14:paraId="0C5076F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-3,042</w:t>
            </w:r>
          </w:p>
        </w:tc>
        <w:tc>
          <w:tcPr>
            <w:tcW w:w="1287" w:type="dxa"/>
            <w:shd w:val="clear" w:color="auto" w:fill="auto"/>
            <w:noWrap/>
            <w:vAlign w:val="center"/>
            <w:hideMark/>
          </w:tcPr>
          <w:p w14:paraId="05F1C79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-1,437</w:t>
            </w:r>
          </w:p>
        </w:tc>
        <w:tc>
          <w:tcPr>
            <w:tcW w:w="1287" w:type="dxa"/>
            <w:shd w:val="clear" w:color="auto" w:fill="auto"/>
            <w:noWrap/>
            <w:vAlign w:val="center"/>
            <w:hideMark/>
          </w:tcPr>
          <w:p w14:paraId="2782B31D"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2,568</w:t>
            </w:r>
          </w:p>
        </w:tc>
        <w:tc>
          <w:tcPr>
            <w:tcW w:w="1287" w:type="dxa"/>
            <w:shd w:val="clear" w:color="auto" w:fill="auto"/>
            <w:noWrap/>
            <w:vAlign w:val="center"/>
            <w:hideMark/>
          </w:tcPr>
          <w:p w14:paraId="5C1E2F6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2,585</w:t>
            </w:r>
          </w:p>
        </w:tc>
        <w:tc>
          <w:tcPr>
            <w:tcW w:w="1287" w:type="dxa"/>
            <w:shd w:val="clear" w:color="auto" w:fill="auto"/>
            <w:noWrap/>
            <w:vAlign w:val="center"/>
            <w:hideMark/>
          </w:tcPr>
          <w:p w14:paraId="0D0D9AC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1,137</w:t>
            </w:r>
          </w:p>
        </w:tc>
        <w:tc>
          <w:tcPr>
            <w:tcW w:w="1287" w:type="dxa"/>
            <w:shd w:val="clear" w:color="auto" w:fill="auto"/>
            <w:noWrap/>
            <w:vAlign w:val="center"/>
            <w:hideMark/>
          </w:tcPr>
          <w:p w14:paraId="5DF675CA"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2,709</w:t>
            </w:r>
          </w:p>
        </w:tc>
        <w:tc>
          <w:tcPr>
            <w:tcW w:w="1287" w:type="dxa"/>
            <w:shd w:val="clear" w:color="auto" w:fill="auto"/>
            <w:noWrap/>
            <w:vAlign w:val="center"/>
            <w:hideMark/>
          </w:tcPr>
          <w:p w14:paraId="5311AF82"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2,907</w:t>
            </w:r>
          </w:p>
        </w:tc>
        <w:tc>
          <w:tcPr>
            <w:tcW w:w="1287" w:type="dxa"/>
            <w:shd w:val="clear" w:color="auto" w:fill="auto"/>
            <w:noWrap/>
            <w:vAlign w:val="center"/>
            <w:hideMark/>
          </w:tcPr>
          <w:p w14:paraId="6886E1F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2,892</w:t>
            </w:r>
          </w:p>
        </w:tc>
        <w:tc>
          <w:tcPr>
            <w:tcW w:w="1287" w:type="dxa"/>
            <w:shd w:val="clear" w:color="auto" w:fill="auto"/>
            <w:noWrap/>
            <w:vAlign w:val="center"/>
            <w:hideMark/>
          </w:tcPr>
          <w:p w14:paraId="1998D053"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1,627</w:t>
            </w:r>
          </w:p>
        </w:tc>
        <w:tc>
          <w:tcPr>
            <w:tcW w:w="1287" w:type="dxa"/>
            <w:shd w:val="clear" w:color="auto" w:fill="auto"/>
            <w:noWrap/>
            <w:vAlign w:val="center"/>
            <w:hideMark/>
          </w:tcPr>
          <w:p w14:paraId="167CCE1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2,977</w:t>
            </w:r>
          </w:p>
        </w:tc>
      </w:tr>
      <w:tr w:rsidR="00624B28" w:rsidRPr="001E05F5" w14:paraId="1A42B02B" w14:textId="77777777" w:rsidTr="001A2BEF">
        <w:trPr>
          <w:trHeight w:val="288"/>
        </w:trPr>
        <w:tc>
          <w:tcPr>
            <w:tcW w:w="4726" w:type="dxa"/>
            <w:gridSpan w:val="2"/>
            <w:tcBorders>
              <w:top w:val="nil"/>
              <w:bottom w:val="single" w:sz="4" w:space="0" w:color="auto"/>
            </w:tcBorders>
            <w:shd w:val="clear" w:color="auto" w:fill="auto"/>
            <w:noWrap/>
            <w:vAlign w:val="center"/>
            <w:hideMark/>
          </w:tcPr>
          <w:p w14:paraId="479276B0" w14:textId="77777777" w:rsidR="00624B28" w:rsidRPr="001E05F5" w:rsidRDefault="00624B28" w:rsidP="001A2BEF">
            <w:pPr>
              <w:spacing w:after="0" w:line="240" w:lineRule="auto"/>
              <w:jc w:val="right"/>
              <w:rPr>
                <w:rFonts w:cs="Arial"/>
                <w:color w:val="000000"/>
                <w:sz w:val="18"/>
                <w:szCs w:val="18"/>
                <w:lang w:eastAsia="en-GB"/>
              </w:rPr>
            </w:pPr>
            <w:r w:rsidRPr="001E05F5">
              <w:rPr>
                <w:rFonts w:cs="Arial"/>
                <w:color w:val="000000"/>
                <w:sz w:val="18"/>
                <w:szCs w:val="18"/>
                <w:lang w:eastAsia="en-GB"/>
              </w:rPr>
              <w:t>% change from baseline</w:t>
            </w:r>
          </w:p>
        </w:tc>
        <w:tc>
          <w:tcPr>
            <w:tcW w:w="1287" w:type="dxa"/>
            <w:shd w:val="clear" w:color="auto" w:fill="auto"/>
            <w:noWrap/>
            <w:vAlign w:val="center"/>
            <w:hideMark/>
          </w:tcPr>
          <w:p w14:paraId="58E01D52" w14:textId="77777777" w:rsidR="00624B28" w:rsidRPr="001E05F5" w:rsidRDefault="00624B28" w:rsidP="001A2BEF">
            <w:pPr>
              <w:spacing w:before="60" w:after="60" w:line="240" w:lineRule="auto"/>
              <w:jc w:val="center"/>
              <w:rPr>
                <w:rFonts w:cs="Arial"/>
                <w:sz w:val="18"/>
                <w:szCs w:val="18"/>
                <w:lang w:eastAsia="en-GB"/>
              </w:rPr>
            </w:pPr>
          </w:p>
        </w:tc>
        <w:tc>
          <w:tcPr>
            <w:tcW w:w="1287" w:type="dxa"/>
            <w:shd w:val="clear" w:color="auto" w:fill="auto"/>
            <w:noWrap/>
            <w:vAlign w:val="center"/>
            <w:hideMark/>
          </w:tcPr>
          <w:p w14:paraId="28D1B565"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w:t>
            </w:r>
          </w:p>
        </w:tc>
        <w:tc>
          <w:tcPr>
            <w:tcW w:w="1287" w:type="dxa"/>
            <w:shd w:val="clear" w:color="auto" w:fill="auto"/>
            <w:noWrap/>
            <w:vAlign w:val="center"/>
            <w:hideMark/>
          </w:tcPr>
          <w:p w14:paraId="1028BF08"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18%</w:t>
            </w:r>
          </w:p>
        </w:tc>
        <w:tc>
          <w:tcPr>
            <w:tcW w:w="1287" w:type="dxa"/>
            <w:shd w:val="clear" w:color="auto" w:fill="auto"/>
            <w:noWrap/>
            <w:vAlign w:val="center"/>
            <w:hideMark/>
          </w:tcPr>
          <w:p w14:paraId="0635597F"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92%</w:t>
            </w:r>
          </w:p>
        </w:tc>
        <w:tc>
          <w:tcPr>
            <w:tcW w:w="1287" w:type="dxa"/>
            <w:shd w:val="clear" w:color="auto" w:fill="auto"/>
            <w:noWrap/>
            <w:vAlign w:val="center"/>
            <w:hideMark/>
          </w:tcPr>
          <w:p w14:paraId="47B70A78"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w:t>
            </w:r>
          </w:p>
        </w:tc>
        <w:tc>
          <w:tcPr>
            <w:tcW w:w="1287" w:type="dxa"/>
            <w:shd w:val="clear" w:color="auto" w:fill="auto"/>
            <w:noWrap/>
            <w:vAlign w:val="center"/>
            <w:hideMark/>
          </w:tcPr>
          <w:p w14:paraId="54197350"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-262%</w:t>
            </w:r>
          </w:p>
        </w:tc>
        <w:tc>
          <w:tcPr>
            <w:tcW w:w="1287" w:type="dxa"/>
            <w:shd w:val="clear" w:color="auto" w:fill="auto"/>
            <w:noWrap/>
            <w:vAlign w:val="center"/>
            <w:hideMark/>
          </w:tcPr>
          <w:p w14:paraId="6F69961B"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-263%</w:t>
            </w:r>
          </w:p>
        </w:tc>
        <w:tc>
          <w:tcPr>
            <w:tcW w:w="1287" w:type="dxa"/>
            <w:shd w:val="clear" w:color="auto" w:fill="auto"/>
            <w:noWrap/>
            <w:vAlign w:val="center"/>
            <w:hideMark/>
          </w:tcPr>
          <w:p w14:paraId="40B0860A"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-172%</w:t>
            </w:r>
          </w:p>
        </w:tc>
        <w:tc>
          <w:tcPr>
            <w:tcW w:w="1287" w:type="dxa"/>
            <w:shd w:val="clear" w:color="auto" w:fill="auto"/>
            <w:noWrap/>
            <w:vAlign w:val="center"/>
            <w:hideMark/>
          </w:tcPr>
          <w:p w14:paraId="4F130DC4"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-271%</w:t>
            </w:r>
          </w:p>
        </w:tc>
        <w:tc>
          <w:tcPr>
            <w:tcW w:w="1287" w:type="dxa"/>
            <w:shd w:val="clear" w:color="auto" w:fill="auto"/>
            <w:noWrap/>
            <w:vAlign w:val="center"/>
            <w:hideMark/>
          </w:tcPr>
          <w:p w14:paraId="2903F3C4"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-283%</w:t>
            </w:r>
          </w:p>
        </w:tc>
        <w:tc>
          <w:tcPr>
            <w:tcW w:w="1287" w:type="dxa"/>
            <w:shd w:val="clear" w:color="auto" w:fill="auto"/>
            <w:noWrap/>
            <w:vAlign w:val="center"/>
            <w:hideMark/>
          </w:tcPr>
          <w:p w14:paraId="17AB7EB2"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-282%</w:t>
            </w:r>
          </w:p>
        </w:tc>
        <w:tc>
          <w:tcPr>
            <w:tcW w:w="1287" w:type="dxa"/>
            <w:shd w:val="clear" w:color="auto" w:fill="auto"/>
            <w:noWrap/>
            <w:vAlign w:val="center"/>
            <w:hideMark/>
          </w:tcPr>
          <w:p w14:paraId="292839FF"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-203%</w:t>
            </w:r>
          </w:p>
        </w:tc>
        <w:tc>
          <w:tcPr>
            <w:tcW w:w="1287" w:type="dxa"/>
            <w:shd w:val="clear" w:color="auto" w:fill="auto"/>
            <w:noWrap/>
            <w:vAlign w:val="center"/>
            <w:hideMark/>
          </w:tcPr>
          <w:p w14:paraId="0745C27B"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-288%</w:t>
            </w:r>
          </w:p>
        </w:tc>
      </w:tr>
      <w:tr w:rsidR="00624B28" w:rsidRPr="001E05F5" w14:paraId="00C21214" w14:textId="77777777" w:rsidTr="001A2BEF">
        <w:trPr>
          <w:trHeight w:val="288"/>
        </w:trPr>
        <w:tc>
          <w:tcPr>
            <w:tcW w:w="3150" w:type="dxa"/>
            <w:tcBorders>
              <w:bottom w:val="nil"/>
              <w:right w:val="nil"/>
            </w:tcBorders>
            <w:shd w:val="clear" w:color="auto" w:fill="auto"/>
            <w:noWrap/>
            <w:vAlign w:val="center"/>
            <w:hideMark/>
          </w:tcPr>
          <w:p w14:paraId="0B6D200A"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Eutrophication potential: generic</w:t>
            </w:r>
          </w:p>
        </w:tc>
        <w:tc>
          <w:tcPr>
            <w:tcW w:w="1576" w:type="dxa"/>
            <w:tcBorders>
              <w:left w:val="nil"/>
              <w:bottom w:val="nil"/>
            </w:tcBorders>
            <w:shd w:val="clear" w:color="auto" w:fill="auto"/>
            <w:noWrap/>
            <w:vAlign w:val="center"/>
            <w:hideMark/>
          </w:tcPr>
          <w:p w14:paraId="7472DEDF" w14:textId="77777777" w:rsidR="009107DE" w:rsidRPr="001E05F5" w:rsidRDefault="009107DE" w:rsidP="00624B28">
            <w:pPr>
              <w:spacing w:after="0" w:line="240" w:lineRule="auto"/>
              <w:jc w:val="center"/>
              <w:rPr>
                <w:rFonts w:cs="Arial"/>
                <w:color w:val="000000"/>
                <w:sz w:val="18"/>
                <w:szCs w:val="18"/>
                <w:lang w:eastAsia="en-GB"/>
              </w:rPr>
            </w:pPr>
            <w:proofErr w:type="gramStart"/>
            <w:r w:rsidRPr="001E05F5">
              <w:rPr>
                <w:rFonts w:cs="Arial"/>
                <w:color w:val="000000"/>
                <w:sz w:val="18"/>
                <w:szCs w:val="18"/>
                <w:lang w:eastAsia="en-GB"/>
              </w:rPr>
              <w:t>Eur.Person.Eq</w:t>
            </w:r>
            <w:proofErr w:type="gramEnd"/>
          </w:p>
        </w:tc>
        <w:tc>
          <w:tcPr>
            <w:tcW w:w="1287" w:type="dxa"/>
            <w:shd w:val="clear" w:color="auto" w:fill="auto"/>
            <w:noWrap/>
            <w:vAlign w:val="center"/>
            <w:hideMark/>
          </w:tcPr>
          <w:p w14:paraId="75DCF68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636</w:t>
            </w:r>
          </w:p>
        </w:tc>
        <w:tc>
          <w:tcPr>
            <w:tcW w:w="1287" w:type="dxa"/>
            <w:shd w:val="clear" w:color="auto" w:fill="auto"/>
            <w:noWrap/>
            <w:vAlign w:val="center"/>
            <w:hideMark/>
          </w:tcPr>
          <w:p w14:paraId="38EAEAC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388</w:t>
            </w:r>
          </w:p>
        </w:tc>
        <w:tc>
          <w:tcPr>
            <w:tcW w:w="1287" w:type="dxa"/>
            <w:shd w:val="clear" w:color="auto" w:fill="auto"/>
            <w:noWrap/>
            <w:vAlign w:val="center"/>
            <w:hideMark/>
          </w:tcPr>
          <w:p w14:paraId="273D4AEE"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385</w:t>
            </w:r>
          </w:p>
        </w:tc>
        <w:tc>
          <w:tcPr>
            <w:tcW w:w="1287" w:type="dxa"/>
            <w:shd w:val="clear" w:color="auto" w:fill="auto"/>
            <w:noWrap/>
            <w:vAlign w:val="center"/>
            <w:hideMark/>
          </w:tcPr>
          <w:p w14:paraId="75704B3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1,589</w:t>
            </w:r>
          </w:p>
        </w:tc>
        <w:tc>
          <w:tcPr>
            <w:tcW w:w="1287" w:type="dxa"/>
            <w:shd w:val="clear" w:color="auto" w:fill="auto"/>
            <w:noWrap/>
            <w:vAlign w:val="center"/>
            <w:hideMark/>
          </w:tcPr>
          <w:p w14:paraId="7003B85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437</w:t>
            </w:r>
          </w:p>
        </w:tc>
        <w:tc>
          <w:tcPr>
            <w:tcW w:w="1287" w:type="dxa"/>
            <w:shd w:val="clear" w:color="auto" w:fill="auto"/>
            <w:noWrap/>
            <w:vAlign w:val="center"/>
            <w:hideMark/>
          </w:tcPr>
          <w:p w14:paraId="59C365E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2,621</w:t>
            </w:r>
          </w:p>
        </w:tc>
        <w:tc>
          <w:tcPr>
            <w:tcW w:w="1287" w:type="dxa"/>
            <w:shd w:val="clear" w:color="auto" w:fill="auto"/>
            <w:noWrap/>
            <w:vAlign w:val="center"/>
            <w:hideMark/>
          </w:tcPr>
          <w:p w14:paraId="382829DA"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2,391</w:t>
            </w:r>
          </w:p>
        </w:tc>
        <w:tc>
          <w:tcPr>
            <w:tcW w:w="1287" w:type="dxa"/>
            <w:shd w:val="clear" w:color="auto" w:fill="auto"/>
            <w:noWrap/>
            <w:vAlign w:val="center"/>
            <w:hideMark/>
          </w:tcPr>
          <w:p w14:paraId="77DA641D"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3,583</w:t>
            </w:r>
          </w:p>
        </w:tc>
        <w:tc>
          <w:tcPr>
            <w:tcW w:w="1287" w:type="dxa"/>
            <w:shd w:val="clear" w:color="auto" w:fill="auto"/>
            <w:noWrap/>
            <w:vAlign w:val="center"/>
            <w:hideMark/>
          </w:tcPr>
          <w:p w14:paraId="103F972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2,442</w:t>
            </w:r>
          </w:p>
        </w:tc>
        <w:tc>
          <w:tcPr>
            <w:tcW w:w="1287" w:type="dxa"/>
            <w:shd w:val="clear" w:color="auto" w:fill="auto"/>
            <w:noWrap/>
            <w:vAlign w:val="center"/>
            <w:hideMark/>
          </w:tcPr>
          <w:p w14:paraId="7296C5A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2,677</w:t>
            </w:r>
          </w:p>
        </w:tc>
        <w:tc>
          <w:tcPr>
            <w:tcW w:w="1287" w:type="dxa"/>
            <w:shd w:val="clear" w:color="auto" w:fill="auto"/>
            <w:noWrap/>
            <w:vAlign w:val="center"/>
            <w:hideMark/>
          </w:tcPr>
          <w:p w14:paraId="1D2975A1"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2,493</w:t>
            </w:r>
          </w:p>
        </w:tc>
        <w:tc>
          <w:tcPr>
            <w:tcW w:w="1287" w:type="dxa"/>
            <w:shd w:val="clear" w:color="auto" w:fill="auto"/>
            <w:noWrap/>
            <w:vAlign w:val="center"/>
            <w:hideMark/>
          </w:tcPr>
          <w:p w14:paraId="5A9272E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3,454</w:t>
            </w:r>
          </w:p>
        </w:tc>
        <w:tc>
          <w:tcPr>
            <w:tcW w:w="1287" w:type="dxa"/>
            <w:shd w:val="clear" w:color="auto" w:fill="auto"/>
            <w:noWrap/>
            <w:vAlign w:val="center"/>
            <w:hideMark/>
          </w:tcPr>
          <w:p w14:paraId="3F5025AC"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2,528</w:t>
            </w:r>
          </w:p>
        </w:tc>
      </w:tr>
      <w:tr w:rsidR="00624B28" w:rsidRPr="001E05F5" w14:paraId="6E87FFC5" w14:textId="77777777" w:rsidTr="001A2BEF">
        <w:trPr>
          <w:trHeight w:val="288"/>
        </w:trPr>
        <w:tc>
          <w:tcPr>
            <w:tcW w:w="4726" w:type="dxa"/>
            <w:gridSpan w:val="2"/>
            <w:tcBorders>
              <w:top w:val="nil"/>
              <w:bottom w:val="single" w:sz="4" w:space="0" w:color="auto"/>
            </w:tcBorders>
            <w:shd w:val="clear" w:color="auto" w:fill="auto"/>
            <w:noWrap/>
            <w:vAlign w:val="center"/>
            <w:hideMark/>
          </w:tcPr>
          <w:p w14:paraId="303C2D88" w14:textId="77777777" w:rsidR="00624B28" w:rsidRPr="001E05F5" w:rsidRDefault="00624B28" w:rsidP="001A2BEF">
            <w:pPr>
              <w:spacing w:after="0" w:line="240" w:lineRule="auto"/>
              <w:jc w:val="right"/>
              <w:rPr>
                <w:rFonts w:cs="Arial"/>
                <w:color w:val="000000"/>
                <w:sz w:val="18"/>
                <w:szCs w:val="18"/>
                <w:lang w:eastAsia="en-GB"/>
              </w:rPr>
            </w:pPr>
            <w:r w:rsidRPr="001E05F5">
              <w:rPr>
                <w:rFonts w:cs="Arial"/>
                <w:color w:val="000000"/>
                <w:sz w:val="18"/>
                <w:szCs w:val="18"/>
                <w:lang w:eastAsia="en-GB"/>
              </w:rPr>
              <w:t>% change from baseline</w:t>
            </w:r>
          </w:p>
        </w:tc>
        <w:tc>
          <w:tcPr>
            <w:tcW w:w="1287" w:type="dxa"/>
            <w:shd w:val="clear" w:color="auto" w:fill="auto"/>
            <w:noWrap/>
            <w:vAlign w:val="center"/>
            <w:hideMark/>
          </w:tcPr>
          <w:p w14:paraId="0FAB90F4" w14:textId="77777777" w:rsidR="00624B28" w:rsidRPr="001E05F5" w:rsidRDefault="00624B28" w:rsidP="001A2BEF">
            <w:pPr>
              <w:spacing w:before="60" w:after="60" w:line="240" w:lineRule="auto"/>
              <w:jc w:val="center"/>
              <w:rPr>
                <w:rFonts w:cs="Arial"/>
                <w:sz w:val="18"/>
                <w:szCs w:val="18"/>
                <w:lang w:eastAsia="en-GB"/>
              </w:rPr>
            </w:pPr>
          </w:p>
        </w:tc>
        <w:tc>
          <w:tcPr>
            <w:tcW w:w="1287" w:type="dxa"/>
            <w:shd w:val="clear" w:color="auto" w:fill="auto"/>
            <w:noWrap/>
            <w:vAlign w:val="center"/>
            <w:hideMark/>
          </w:tcPr>
          <w:p w14:paraId="43E497C0"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39%</w:t>
            </w:r>
          </w:p>
        </w:tc>
        <w:tc>
          <w:tcPr>
            <w:tcW w:w="1287" w:type="dxa"/>
            <w:shd w:val="clear" w:color="auto" w:fill="auto"/>
            <w:noWrap/>
            <w:vAlign w:val="center"/>
            <w:hideMark/>
          </w:tcPr>
          <w:p w14:paraId="339E7E4D"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39%</w:t>
            </w:r>
          </w:p>
        </w:tc>
        <w:tc>
          <w:tcPr>
            <w:tcW w:w="1287" w:type="dxa"/>
            <w:shd w:val="clear" w:color="auto" w:fill="auto"/>
            <w:noWrap/>
            <w:vAlign w:val="center"/>
            <w:hideMark/>
          </w:tcPr>
          <w:p w14:paraId="62600E29"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-150%</w:t>
            </w:r>
          </w:p>
        </w:tc>
        <w:tc>
          <w:tcPr>
            <w:tcW w:w="1287" w:type="dxa"/>
            <w:shd w:val="clear" w:color="auto" w:fill="auto"/>
            <w:noWrap/>
            <w:vAlign w:val="center"/>
            <w:hideMark/>
          </w:tcPr>
          <w:p w14:paraId="1A0C31F5"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31%</w:t>
            </w:r>
          </w:p>
        </w:tc>
        <w:tc>
          <w:tcPr>
            <w:tcW w:w="1287" w:type="dxa"/>
            <w:shd w:val="clear" w:color="auto" w:fill="auto"/>
            <w:noWrap/>
            <w:vAlign w:val="center"/>
            <w:hideMark/>
          </w:tcPr>
          <w:p w14:paraId="60E54F88"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-312%</w:t>
            </w:r>
          </w:p>
        </w:tc>
        <w:tc>
          <w:tcPr>
            <w:tcW w:w="1287" w:type="dxa"/>
            <w:shd w:val="clear" w:color="auto" w:fill="auto"/>
            <w:noWrap/>
            <w:vAlign w:val="center"/>
            <w:hideMark/>
          </w:tcPr>
          <w:p w14:paraId="5828F1D7"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-276%</w:t>
            </w:r>
          </w:p>
        </w:tc>
        <w:tc>
          <w:tcPr>
            <w:tcW w:w="1287" w:type="dxa"/>
            <w:shd w:val="clear" w:color="auto" w:fill="auto"/>
            <w:noWrap/>
            <w:vAlign w:val="center"/>
            <w:hideMark/>
          </w:tcPr>
          <w:p w14:paraId="35D2B25A"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-463%</w:t>
            </w:r>
          </w:p>
        </w:tc>
        <w:tc>
          <w:tcPr>
            <w:tcW w:w="1287" w:type="dxa"/>
            <w:shd w:val="clear" w:color="auto" w:fill="auto"/>
            <w:noWrap/>
            <w:vAlign w:val="center"/>
            <w:hideMark/>
          </w:tcPr>
          <w:p w14:paraId="6F10FA17"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-284%</w:t>
            </w:r>
          </w:p>
        </w:tc>
        <w:tc>
          <w:tcPr>
            <w:tcW w:w="1287" w:type="dxa"/>
            <w:shd w:val="clear" w:color="auto" w:fill="auto"/>
            <w:noWrap/>
            <w:vAlign w:val="center"/>
            <w:hideMark/>
          </w:tcPr>
          <w:p w14:paraId="7957248F"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-321%</w:t>
            </w:r>
          </w:p>
        </w:tc>
        <w:tc>
          <w:tcPr>
            <w:tcW w:w="1287" w:type="dxa"/>
            <w:shd w:val="clear" w:color="auto" w:fill="auto"/>
            <w:noWrap/>
            <w:vAlign w:val="center"/>
            <w:hideMark/>
          </w:tcPr>
          <w:p w14:paraId="1F228AD8"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-292%</w:t>
            </w:r>
          </w:p>
        </w:tc>
        <w:tc>
          <w:tcPr>
            <w:tcW w:w="1287" w:type="dxa"/>
            <w:shd w:val="clear" w:color="auto" w:fill="auto"/>
            <w:noWrap/>
            <w:vAlign w:val="center"/>
            <w:hideMark/>
          </w:tcPr>
          <w:p w14:paraId="0B3554EB"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-443%</w:t>
            </w:r>
          </w:p>
        </w:tc>
        <w:tc>
          <w:tcPr>
            <w:tcW w:w="1287" w:type="dxa"/>
            <w:shd w:val="clear" w:color="auto" w:fill="auto"/>
            <w:noWrap/>
            <w:vAlign w:val="center"/>
            <w:hideMark/>
          </w:tcPr>
          <w:p w14:paraId="180763AF"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-297%</w:t>
            </w:r>
          </w:p>
        </w:tc>
      </w:tr>
      <w:tr w:rsidR="00624B28" w:rsidRPr="001E05F5" w14:paraId="67682733" w14:textId="77777777" w:rsidTr="001A2BEF">
        <w:trPr>
          <w:trHeight w:val="288"/>
        </w:trPr>
        <w:tc>
          <w:tcPr>
            <w:tcW w:w="3150" w:type="dxa"/>
            <w:tcBorders>
              <w:bottom w:val="nil"/>
              <w:right w:val="nil"/>
            </w:tcBorders>
            <w:shd w:val="clear" w:color="auto" w:fill="auto"/>
            <w:noWrap/>
            <w:vAlign w:val="center"/>
            <w:hideMark/>
          </w:tcPr>
          <w:p w14:paraId="726C288B"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Freshwater aquatic ecotoxicity: FAETP infinite</w:t>
            </w:r>
          </w:p>
        </w:tc>
        <w:tc>
          <w:tcPr>
            <w:tcW w:w="1576" w:type="dxa"/>
            <w:tcBorders>
              <w:left w:val="nil"/>
              <w:bottom w:val="nil"/>
            </w:tcBorders>
            <w:shd w:val="clear" w:color="auto" w:fill="auto"/>
            <w:noWrap/>
            <w:vAlign w:val="center"/>
            <w:hideMark/>
          </w:tcPr>
          <w:p w14:paraId="3A5C3FA0" w14:textId="77777777" w:rsidR="009107DE" w:rsidRPr="001E05F5" w:rsidRDefault="009107DE" w:rsidP="00624B28">
            <w:pPr>
              <w:spacing w:after="0" w:line="240" w:lineRule="auto"/>
              <w:jc w:val="center"/>
              <w:rPr>
                <w:rFonts w:cs="Arial"/>
                <w:color w:val="000000"/>
                <w:sz w:val="18"/>
                <w:szCs w:val="18"/>
                <w:lang w:eastAsia="en-GB"/>
              </w:rPr>
            </w:pPr>
            <w:proofErr w:type="gramStart"/>
            <w:r w:rsidRPr="001E05F5">
              <w:rPr>
                <w:rFonts w:cs="Arial"/>
                <w:color w:val="000000"/>
                <w:sz w:val="18"/>
                <w:szCs w:val="18"/>
                <w:lang w:eastAsia="en-GB"/>
              </w:rPr>
              <w:t>Eur.Person.Eq</w:t>
            </w:r>
            <w:proofErr w:type="gramEnd"/>
          </w:p>
        </w:tc>
        <w:tc>
          <w:tcPr>
            <w:tcW w:w="1287" w:type="dxa"/>
            <w:shd w:val="clear" w:color="auto" w:fill="auto"/>
            <w:noWrap/>
            <w:vAlign w:val="center"/>
            <w:hideMark/>
          </w:tcPr>
          <w:p w14:paraId="0001C2F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-6,009</w:t>
            </w:r>
          </w:p>
        </w:tc>
        <w:tc>
          <w:tcPr>
            <w:tcW w:w="1287" w:type="dxa"/>
            <w:shd w:val="clear" w:color="auto" w:fill="auto"/>
            <w:noWrap/>
            <w:vAlign w:val="center"/>
            <w:hideMark/>
          </w:tcPr>
          <w:p w14:paraId="5EA0DEB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-6,476</w:t>
            </w:r>
          </w:p>
        </w:tc>
        <w:tc>
          <w:tcPr>
            <w:tcW w:w="1287" w:type="dxa"/>
            <w:shd w:val="clear" w:color="auto" w:fill="auto"/>
            <w:noWrap/>
            <w:vAlign w:val="center"/>
            <w:hideMark/>
          </w:tcPr>
          <w:p w14:paraId="5C8CBE5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-6,474</w:t>
            </w:r>
          </w:p>
        </w:tc>
        <w:tc>
          <w:tcPr>
            <w:tcW w:w="1287" w:type="dxa"/>
            <w:shd w:val="clear" w:color="auto" w:fill="auto"/>
            <w:noWrap/>
            <w:vAlign w:val="center"/>
            <w:hideMark/>
          </w:tcPr>
          <w:p w14:paraId="1E6DF4B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-5,850</w:t>
            </w:r>
          </w:p>
        </w:tc>
        <w:tc>
          <w:tcPr>
            <w:tcW w:w="1287" w:type="dxa"/>
            <w:shd w:val="clear" w:color="auto" w:fill="auto"/>
            <w:noWrap/>
            <w:vAlign w:val="center"/>
            <w:hideMark/>
          </w:tcPr>
          <w:p w14:paraId="7B52727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-6,365</w:t>
            </w:r>
          </w:p>
        </w:tc>
        <w:tc>
          <w:tcPr>
            <w:tcW w:w="1287" w:type="dxa"/>
            <w:shd w:val="clear" w:color="auto" w:fill="auto"/>
            <w:noWrap/>
            <w:vAlign w:val="center"/>
            <w:hideMark/>
          </w:tcPr>
          <w:p w14:paraId="24FE127A"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-6,536</w:t>
            </w:r>
          </w:p>
        </w:tc>
        <w:tc>
          <w:tcPr>
            <w:tcW w:w="1287" w:type="dxa"/>
            <w:shd w:val="clear" w:color="auto" w:fill="auto"/>
            <w:noWrap/>
            <w:vAlign w:val="center"/>
            <w:hideMark/>
          </w:tcPr>
          <w:p w14:paraId="4217A4A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-6,990</w:t>
            </w:r>
          </w:p>
        </w:tc>
        <w:tc>
          <w:tcPr>
            <w:tcW w:w="1287" w:type="dxa"/>
            <w:shd w:val="clear" w:color="auto" w:fill="auto"/>
            <w:noWrap/>
            <w:vAlign w:val="center"/>
            <w:hideMark/>
          </w:tcPr>
          <w:p w14:paraId="2014FF8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-6,350</w:t>
            </w:r>
          </w:p>
        </w:tc>
        <w:tc>
          <w:tcPr>
            <w:tcW w:w="1287" w:type="dxa"/>
            <w:shd w:val="clear" w:color="auto" w:fill="auto"/>
            <w:noWrap/>
            <w:vAlign w:val="center"/>
            <w:hideMark/>
          </w:tcPr>
          <w:p w14:paraId="609AA0F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-6,874</w:t>
            </w:r>
          </w:p>
        </w:tc>
        <w:tc>
          <w:tcPr>
            <w:tcW w:w="1287" w:type="dxa"/>
            <w:shd w:val="clear" w:color="auto" w:fill="auto"/>
            <w:noWrap/>
            <w:vAlign w:val="center"/>
            <w:hideMark/>
          </w:tcPr>
          <w:p w14:paraId="271F4C2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-6,496</w:t>
            </w:r>
          </w:p>
        </w:tc>
        <w:tc>
          <w:tcPr>
            <w:tcW w:w="1287" w:type="dxa"/>
            <w:shd w:val="clear" w:color="auto" w:fill="auto"/>
            <w:noWrap/>
            <w:vAlign w:val="center"/>
            <w:hideMark/>
          </w:tcPr>
          <w:p w14:paraId="76B83A4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- 6,936</w:t>
            </w:r>
          </w:p>
        </w:tc>
        <w:tc>
          <w:tcPr>
            <w:tcW w:w="1287" w:type="dxa"/>
            <w:shd w:val="clear" w:color="auto" w:fill="auto"/>
            <w:noWrap/>
            <w:vAlign w:val="center"/>
            <w:hideMark/>
          </w:tcPr>
          <w:p w14:paraId="14A05052"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-6,295</w:t>
            </w:r>
          </w:p>
        </w:tc>
        <w:tc>
          <w:tcPr>
            <w:tcW w:w="1287" w:type="dxa"/>
            <w:shd w:val="clear" w:color="auto" w:fill="auto"/>
            <w:noWrap/>
            <w:vAlign w:val="center"/>
            <w:hideMark/>
          </w:tcPr>
          <w:p w14:paraId="653618F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-6,857</w:t>
            </w:r>
          </w:p>
        </w:tc>
      </w:tr>
      <w:tr w:rsidR="00624B28" w:rsidRPr="001E05F5" w14:paraId="68EF4B9E" w14:textId="77777777" w:rsidTr="001A2BEF">
        <w:trPr>
          <w:trHeight w:val="288"/>
        </w:trPr>
        <w:tc>
          <w:tcPr>
            <w:tcW w:w="4726" w:type="dxa"/>
            <w:gridSpan w:val="2"/>
            <w:tcBorders>
              <w:top w:val="nil"/>
              <w:bottom w:val="single" w:sz="4" w:space="0" w:color="auto"/>
            </w:tcBorders>
            <w:shd w:val="clear" w:color="auto" w:fill="auto"/>
            <w:noWrap/>
            <w:vAlign w:val="center"/>
            <w:hideMark/>
          </w:tcPr>
          <w:p w14:paraId="21B4B236" w14:textId="77777777" w:rsidR="00624B28" w:rsidRPr="001E05F5" w:rsidRDefault="00624B28" w:rsidP="001A2BEF">
            <w:pPr>
              <w:spacing w:after="0" w:line="240" w:lineRule="auto"/>
              <w:jc w:val="right"/>
              <w:rPr>
                <w:rFonts w:cs="Arial"/>
                <w:color w:val="000000"/>
                <w:sz w:val="18"/>
                <w:szCs w:val="18"/>
                <w:lang w:eastAsia="en-GB"/>
              </w:rPr>
            </w:pPr>
            <w:r w:rsidRPr="001E05F5">
              <w:rPr>
                <w:rFonts w:cs="Arial"/>
                <w:color w:val="000000"/>
                <w:sz w:val="18"/>
                <w:szCs w:val="18"/>
                <w:lang w:eastAsia="en-GB"/>
              </w:rPr>
              <w:t>% change from baseline</w:t>
            </w:r>
          </w:p>
        </w:tc>
        <w:tc>
          <w:tcPr>
            <w:tcW w:w="1287" w:type="dxa"/>
            <w:shd w:val="clear" w:color="auto" w:fill="auto"/>
            <w:noWrap/>
            <w:vAlign w:val="center"/>
            <w:hideMark/>
          </w:tcPr>
          <w:p w14:paraId="2C257D90" w14:textId="77777777" w:rsidR="00624B28" w:rsidRPr="001E05F5" w:rsidRDefault="00624B28" w:rsidP="001A2BEF">
            <w:pPr>
              <w:spacing w:before="60" w:after="60" w:line="240" w:lineRule="auto"/>
              <w:jc w:val="center"/>
              <w:rPr>
                <w:rFonts w:cs="Arial"/>
                <w:sz w:val="18"/>
                <w:szCs w:val="18"/>
                <w:lang w:eastAsia="en-GB"/>
              </w:rPr>
            </w:pPr>
          </w:p>
        </w:tc>
        <w:tc>
          <w:tcPr>
            <w:tcW w:w="1287" w:type="dxa"/>
            <w:shd w:val="clear" w:color="auto" w:fill="auto"/>
            <w:noWrap/>
            <w:vAlign w:val="center"/>
            <w:hideMark/>
          </w:tcPr>
          <w:p w14:paraId="354EBCC7"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w:t>
            </w:r>
          </w:p>
        </w:tc>
        <w:tc>
          <w:tcPr>
            <w:tcW w:w="1287" w:type="dxa"/>
            <w:shd w:val="clear" w:color="auto" w:fill="auto"/>
            <w:noWrap/>
            <w:vAlign w:val="center"/>
            <w:hideMark/>
          </w:tcPr>
          <w:p w14:paraId="28ACF25D"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w:t>
            </w:r>
          </w:p>
        </w:tc>
        <w:tc>
          <w:tcPr>
            <w:tcW w:w="1287" w:type="dxa"/>
            <w:shd w:val="clear" w:color="auto" w:fill="auto"/>
            <w:noWrap/>
            <w:vAlign w:val="center"/>
            <w:hideMark/>
          </w:tcPr>
          <w:p w14:paraId="0DDAABFC"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w:t>
            </w:r>
          </w:p>
        </w:tc>
        <w:tc>
          <w:tcPr>
            <w:tcW w:w="1287" w:type="dxa"/>
            <w:shd w:val="clear" w:color="auto" w:fill="auto"/>
            <w:noWrap/>
            <w:vAlign w:val="center"/>
            <w:hideMark/>
          </w:tcPr>
          <w:p w14:paraId="19049FFE"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w:t>
            </w:r>
          </w:p>
        </w:tc>
        <w:tc>
          <w:tcPr>
            <w:tcW w:w="1287" w:type="dxa"/>
            <w:shd w:val="clear" w:color="auto" w:fill="auto"/>
            <w:noWrap/>
            <w:vAlign w:val="center"/>
            <w:hideMark/>
          </w:tcPr>
          <w:p w14:paraId="617A84A6"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w:t>
            </w:r>
          </w:p>
        </w:tc>
        <w:tc>
          <w:tcPr>
            <w:tcW w:w="1287" w:type="dxa"/>
            <w:shd w:val="clear" w:color="auto" w:fill="auto"/>
            <w:noWrap/>
            <w:vAlign w:val="center"/>
            <w:hideMark/>
          </w:tcPr>
          <w:p w14:paraId="343FC90B"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16%</w:t>
            </w:r>
          </w:p>
        </w:tc>
        <w:tc>
          <w:tcPr>
            <w:tcW w:w="1287" w:type="dxa"/>
            <w:shd w:val="clear" w:color="auto" w:fill="auto"/>
            <w:noWrap/>
            <w:vAlign w:val="center"/>
            <w:hideMark/>
          </w:tcPr>
          <w:p w14:paraId="0E1084B0"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w:t>
            </w:r>
          </w:p>
        </w:tc>
        <w:tc>
          <w:tcPr>
            <w:tcW w:w="1287" w:type="dxa"/>
            <w:shd w:val="clear" w:color="auto" w:fill="auto"/>
            <w:noWrap/>
            <w:vAlign w:val="center"/>
            <w:hideMark/>
          </w:tcPr>
          <w:p w14:paraId="2ABF17AD"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14%</w:t>
            </w:r>
          </w:p>
        </w:tc>
        <w:tc>
          <w:tcPr>
            <w:tcW w:w="1287" w:type="dxa"/>
            <w:shd w:val="clear" w:color="auto" w:fill="auto"/>
            <w:noWrap/>
            <w:vAlign w:val="center"/>
            <w:hideMark/>
          </w:tcPr>
          <w:p w14:paraId="7FFC031D"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w:t>
            </w:r>
          </w:p>
        </w:tc>
        <w:tc>
          <w:tcPr>
            <w:tcW w:w="1287" w:type="dxa"/>
            <w:shd w:val="clear" w:color="auto" w:fill="auto"/>
            <w:noWrap/>
            <w:vAlign w:val="center"/>
            <w:hideMark/>
          </w:tcPr>
          <w:p w14:paraId="02106361"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15%</w:t>
            </w:r>
          </w:p>
        </w:tc>
        <w:tc>
          <w:tcPr>
            <w:tcW w:w="1287" w:type="dxa"/>
            <w:shd w:val="clear" w:color="auto" w:fill="auto"/>
            <w:noWrap/>
            <w:vAlign w:val="center"/>
            <w:hideMark/>
          </w:tcPr>
          <w:p w14:paraId="49C12CD2"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w:t>
            </w:r>
          </w:p>
        </w:tc>
        <w:tc>
          <w:tcPr>
            <w:tcW w:w="1287" w:type="dxa"/>
            <w:shd w:val="clear" w:color="auto" w:fill="auto"/>
            <w:noWrap/>
            <w:vAlign w:val="center"/>
            <w:hideMark/>
          </w:tcPr>
          <w:p w14:paraId="12E1510E"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14%</w:t>
            </w:r>
          </w:p>
        </w:tc>
      </w:tr>
      <w:tr w:rsidR="00624B28" w:rsidRPr="001E05F5" w14:paraId="13C91786" w14:textId="77777777" w:rsidTr="001A2BEF">
        <w:trPr>
          <w:trHeight w:val="288"/>
        </w:trPr>
        <w:tc>
          <w:tcPr>
            <w:tcW w:w="3150" w:type="dxa"/>
            <w:tcBorders>
              <w:bottom w:val="nil"/>
              <w:right w:val="nil"/>
            </w:tcBorders>
            <w:shd w:val="clear" w:color="auto" w:fill="auto"/>
            <w:noWrap/>
            <w:vAlign w:val="center"/>
            <w:hideMark/>
          </w:tcPr>
          <w:p w14:paraId="3F34DBD1"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Human toxicity: HTP infinite</w:t>
            </w:r>
          </w:p>
        </w:tc>
        <w:tc>
          <w:tcPr>
            <w:tcW w:w="1576" w:type="dxa"/>
            <w:tcBorders>
              <w:left w:val="nil"/>
              <w:bottom w:val="nil"/>
            </w:tcBorders>
            <w:shd w:val="clear" w:color="auto" w:fill="auto"/>
            <w:noWrap/>
            <w:vAlign w:val="center"/>
            <w:hideMark/>
          </w:tcPr>
          <w:p w14:paraId="69E1BE95" w14:textId="77777777" w:rsidR="009107DE" w:rsidRPr="001E05F5" w:rsidRDefault="009107DE" w:rsidP="00624B28">
            <w:pPr>
              <w:spacing w:after="0" w:line="240" w:lineRule="auto"/>
              <w:jc w:val="center"/>
              <w:rPr>
                <w:rFonts w:cs="Arial"/>
                <w:color w:val="000000"/>
                <w:sz w:val="18"/>
                <w:szCs w:val="18"/>
                <w:lang w:eastAsia="en-GB"/>
              </w:rPr>
            </w:pPr>
            <w:proofErr w:type="gramStart"/>
            <w:r w:rsidRPr="001E05F5">
              <w:rPr>
                <w:rFonts w:cs="Arial"/>
                <w:color w:val="000000"/>
                <w:sz w:val="18"/>
                <w:szCs w:val="18"/>
                <w:lang w:eastAsia="en-GB"/>
              </w:rPr>
              <w:t>Eur.Person.Eq</w:t>
            </w:r>
            <w:proofErr w:type="gramEnd"/>
          </w:p>
        </w:tc>
        <w:tc>
          <w:tcPr>
            <w:tcW w:w="1287" w:type="dxa"/>
            <w:shd w:val="clear" w:color="auto" w:fill="auto"/>
            <w:noWrap/>
            <w:vAlign w:val="center"/>
            <w:hideMark/>
          </w:tcPr>
          <w:p w14:paraId="14595C4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-4,886</w:t>
            </w:r>
          </w:p>
        </w:tc>
        <w:tc>
          <w:tcPr>
            <w:tcW w:w="1287" w:type="dxa"/>
            <w:shd w:val="clear" w:color="auto" w:fill="auto"/>
            <w:noWrap/>
            <w:vAlign w:val="center"/>
            <w:hideMark/>
          </w:tcPr>
          <w:p w14:paraId="4335FD3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-5,058</w:t>
            </w:r>
          </w:p>
        </w:tc>
        <w:tc>
          <w:tcPr>
            <w:tcW w:w="1287" w:type="dxa"/>
            <w:shd w:val="clear" w:color="auto" w:fill="auto"/>
            <w:noWrap/>
            <w:vAlign w:val="center"/>
            <w:hideMark/>
          </w:tcPr>
          <w:p w14:paraId="093EFBC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-5,195</w:t>
            </w:r>
          </w:p>
        </w:tc>
        <w:tc>
          <w:tcPr>
            <w:tcW w:w="1287" w:type="dxa"/>
            <w:shd w:val="clear" w:color="auto" w:fill="auto"/>
            <w:noWrap/>
            <w:vAlign w:val="center"/>
            <w:hideMark/>
          </w:tcPr>
          <w:p w14:paraId="504D8C88"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-4,919</w:t>
            </w:r>
          </w:p>
        </w:tc>
        <w:tc>
          <w:tcPr>
            <w:tcW w:w="1287" w:type="dxa"/>
            <w:shd w:val="clear" w:color="auto" w:fill="auto"/>
            <w:noWrap/>
            <w:vAlign w:val="center"/>
            <w:hideMark/>
          </w:tcPr>
          <w:p w14:paraId="4A1520B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-5,022</w:t>
            </w:r>
          </w:p>
        </w:tc>
        <w:tc>
          <w:tcPr>
            <w:tcW w:w="1287" w:type="dxa"/>
            <w:shd w:val="clear" w:color="auto" w:fill="auto"/>
            <w:noWrap/>
            <w:vAlign w:val="center"/>
            <w:hideMark/>
          </w:tcPr>
          <w:p w14:paraId="2793CD4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-5,098</w:t>
            </w:r>
          </w:p>
        </w:tc>
        <w:tc>
          <w:tcPr>
            <w:tcW w:w="1287" w:type="dxa"/>
            <w:shd w:val="clear" w:color="auto" w:fill="auto"/>
            <w:noWrap/>
            <w:vAlign w:val="center"/>
            <w:hideMark/>
          </w:tcPr>
          <w:p w14:paraId="6C366E8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-5,268</w:t>
            </w:r>
          </w:p>
        </w:tc>
        <w:tc>
          <w:tcPr>
            <w:tcW w:w="1287" w:type="dxa"/>
            <w:shd w:val="clear" w:color="auto" w:fill="auto"/>
            <w:noWrap/>
            <w:vAlign w:val="center"/>
            <w:hideMark/>
          </w:tcPr>
          <w:p w14:paraId="7F3C616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-5,107</w:t>
            </w:r>
          </w:p>
        </w:tc>
        <w:tc>
          <w:tcPr>
            <w:tcW w:w="1287" w:type="dxa"/>
            <w:shd w:val="clear" w:color="auto" w:fill="auto"/>
            <w:noWrap/>
            <w:vAlign w:val="center"/>
            <w:hideMark/>
          </w:tcPr>
          <w:p w14:paraId="4A70A2C6"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-5,231</w:t>
            </w:r>
          </w:p>
        </w:tc>
        <w:tc>
          <w:tcPr>
            <w:tcW w:w="1287" w:type="dxa"/>
            <w:shd w:val="clear" w:color="auto" w:fill="auto"/>
            <w:noWrap/>
            <w:vAlign w:val="center"/>
            <w:hideMark/>
          </w:tcPr>
          <w:p w14:paraId="5E216C5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-5,089</w:t>
            </w:r>
          </w:p>
        </w:tc>
        <w:tc>
          <w:tcPr>
            <w:tcW w:w="1287" w:type="dxa"/>
            <w:shd w:val="clear" w:color="auto" w:fill="auto"/>
            <w:noWrap/>
            <w:vAlign w:val="center"/>
            <w:hideMark/>
          </w:tcPr>
          <w:p w14:paraId="4346C483"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-5,252</w:t>
            </w:r>
          </w:p>
        </w:tc>
        <w:tc>
          <w:tcPr>
            <w:tcW w:w="1287" w:type="dxa"/>
            <w:shd w:val="clear" w:color="auto" w:fill="auto"/>
            <w:noWrap/>
            <w:vAlign w:val="center"/>
            <w:hideMark/>
          </w:tcPr>
          <w:p w14:paraId="0CEDAD2F"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-5,096</w:t>
            </w:r>
          </w:p>
        </w:tc>
        <w:tc>
          <w:tcPr>
            <w:tcW w:w="1287" w:type="dxa"/>
            <w:shd w:val="clear" w:color="auto" w:fill="auto"/>
            <w:noWrap/>
            <w:vAlign w:val="center"/>
            <w:hideMark/>
          </w:tcPr>
          <w:p w14:paraId="1519A48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-5,227</w:t>
            </w:r>
          </w:p>
        </w:tc>
      </w:tr>
      <w:tr w:rsidR="00624B28" w:rsidRPr="001E05F5" w14:paraId="2C2F7E94" w14:textId="77777777" w:rsidTr="001A2BEF">
        <w:trPr>
          <w:trHeight w:val="288"/>
        </w:trPr>
        <w:tc>
          <w:tcPr>
            <w:tcW w:w="4726" w:type="dxa"/>
            <w:gridSpan w:val="2"/>
            <w:tcBorders>
              <w:top w:val="nil"/>
              <w:bottom w:val="single" w:sz="4" w:space="0" w:color="auto"/>
            </w:tcBorders>
            <w:shd w:val="clear" w:color="auto" w:fill="auto"/>
            <w:noWrap/>
            <w:vAlign w:val="center"/>
            <w:hideMark/>
          </w:tcPr>
          <w:p w14:paraId="249832AB" w14:textId="77777777" w:rsidR="00624B28" w:rsidRPr="001E05F5" w:rsidRDefault="00624B28" w:rsidP="001A2BEF">
            <w:pPr>
              <w:spacing w:after="0" w:line="240" w:lineRule="auto"/>
              <w:jc w:val="right"/>
              <w:rPr>
                <w:rFonts w:cs="Arial"/>
                <w:color w:val="000000"/>
                <w:sz w:val="18"/>
                <w:szCs w:val="18"/>
                <w:lang w:eastAsia="en-GB"/>
              </w:rPr>
            </w:pPr>
            <w:r w:rsidRPr="001E05F5">
              <w:rPr>
                <w:rFonts w:cs="Arial"/>
                <w:color w:val="000000"/>
                <w:sz w:val="18"/>
                <w:szCs w:val="18"/>
                <w:lang w:eastAsia="en-GB"/>
              </w:rPr>
              <w:t>% change from baseline</w:t>
            </w:r>
          </w:p>
        </w:tc>
        <w:tc>
          <w:tcPr>
            <w:tcW w:w="1287" w:type="dxa"/>
            <w:shd w:val="clear" w:color="auto" w:fill="auto"/>
            <w:noWrap/>
            <w:vAlign w:val="center"/>
            <w:hideMark/>
          </w:tcPr>
          <w:p w14:paraId="7DDC8C6E" w14:textId="77777777" w:rsidR="00624B28" w:rsidRPr="001E05F5" w:rsidRDefault="00624B28" w:rsidP="001A2BEF">
            <w:pPr>
              <w:spacing w:before="60" w:after="60" w:line="240" w:lineRule="auto"/>
              <w:jc w:val="center"/>
              <w:rPr>
                <w:rFonts w:cs="Arial"/>
                <w:sz w:val="18"/>
                <w:szCs w:val="18"/>
                <w:lang w:eastAsia="en-GB"/>
              </w:rPr>
            </w:pPr>
          </w:p>
        </w:tc>
        <w:tc>
          <w:tcPr>
            <w:tcW w:w="1287" w:type="dxa"/>
            <w:shd w:val="clear" w:color="auto" w:fill="auto"/>
            <w:noWrap/>
            <w:vAlign w:val="center"/>
            <w:hideMark/>
          </w:tcPr>
          <w:p w14:paraId="11044EA7"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w:t>
            </w:r>
          </w:p>
        </w:tc>
        <w:tc>
          <w:tcPr>
            <w:tcW w:w="1287" w:type="dxa"/>
            <w:shd w:val="clear" w:color="auto" w:fill="auto"/>
            <w:noWrap/>
            <w:vAlign w:val="center"/>
            <w:hideMark/>
          </w:tcPr>
          <w:p w14:paraId="6D4A055A"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6%</w:t>
            </w:r>
          </w:p>
        </w:tc>
        <w:tc>
          <w:tcPr>
            <w:tcW w:w="1287" w:type="dxa"/>
            <w:shd w:val="clear" w:color="auto" w:fill="auto"/>
            <w:noWrap/>
            <w:vAlign w:val="center"/>
            <w:hideMark/>
          </w:tcPr>
          <w:p w14:paraId="4BBC3FBC"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w:t>
            </w:r>
          </w:p>
        </w:tc>
        <w:tc>
          <w:tcPr>
            <w:tcW w:w="1287" w:type="dxa"/>
            <w:shd w:val="clear" w:color="auto" w:fill="auto"/>
            <w:noWrap/>
            <w:vAlign w:val="center"/>
            <w:hideMark/>
          </w:tcPr>
          <w:p w14:paraId="0FE5FAD2"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w:t>
            </w:r>
          </w:p>
        </w:tc>
        <w:tc>
          <w:tcPr>
            <w:tcW w:w="1287" w:type="dxa"/>
            <w:shd w:val="clear" w:color="auto" w:fill="auto"/>
            <w:noWrap/>
            <w:vAlign w:val="center"/>
            <w:hideMark/>
          </w:tcPr>
          <w:p w14:paraId="04D416DF"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w:t>
            </w:r>
          </w:p>
        </w:tc>
        <w:tc>
          <w:tcPr>
            <w:tcW w:w="1287" w:type="dxa"/>
            <w:shd w:val="clear" w:color="auto" w:fill="auto"/>
            <w:noWrap/>
            <w:vAlign w:val="center"/>
            <w:hideMark/>
          </w:tcPr>
          <w:p w14:paraId="577E0E8D"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w:t>
            </w:r>
          </w:p>
        </w:tc>
        <w:tc>
          <w:tcPr>
            <w:tcW w:w="1287" w:type="dxa"/>
            <w:shd w:val="clear" w:color="auto" w:fill="auto"/>
            <w:noWrap/>
            <w:vAlign w:val="center"/>
            <w:hideMark/>
          </w:tcPr>
          <w:p w14:paraId="1A011124"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5%</w:t>
            </w:r>
          </w:p>
        </w:tc>
        <w:tc>
          <w:tcPr>
            <w:tcW w:w="1287" w:type="dxa"/>
            <w:shd w:val="clear" w:color="auto" w:fill="auto"/>
            <w:noWrap/>
            <w:vAlign w:val="center"/>
            <w:hideMark/>
          </w:tcPr>
          <w:p w14:paraId="35FB445B"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w:t>
            </w:r>
          </w:p>
        </w:tc>
        <w:tc>
          <w:tcPr>
            <w:tcW w:w="1287" w:type="dxa"/>
            <w:shd w:val="clear" w:color="auto" w:fill="auto"/>
            <w:noWrap/>
            <w:vAlign w:val="center"/>
            <w:hideMark/>
          </w:tcPr>
          <w:p w14:paraId="037A2C55"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w:t>
            </w:r>
          </w:p>
        </w:tc>
        <w:tc>
          <w:tcPr>
            <w:tcW w:w="1287" w:type="dxa"/>
            <w:shd w:val="clear" w:color="auto" w:fill="auto"/>
            <w:noWrap/>
            <w:vAlign w:val="center"/>
            <w:hideMark/>
          </w:tcPr>
          <w:p w14:paraId="0103611F"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w:t>
            </w:r>
          </w:p>
        </w:tc>
        <w:tc>
          <w:tcPr>
            <w:tcW w:w="1287" w:type="dxa"/>
            <w:shd w:val="clear" w:color="auto" w:fill="auto"/>
            <w:noWrap/>
            <w:vAlign w:val="center"/>
            <w:hideMark/>
          </w:tcPr>
          <w:p w14:paraId="79B18420"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4%</w:t>
            </w:r>
          </w:p>
        </w:tc>
        <w:tc>
          <w:tcPr>
            <w:tcW w:w="1287" w:type="dxa"/>
            <w:shd w:val="clear" w:color="auto" w:fill="auto"/>
            <w:noWrap/>
            <w:vAlign w:val="center"/>
            <w:hideMark/>
          </w:tcPr>
          <w:p w14:paraId="2A26C3BA"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w:t>
            </w:r>
          </w:p>
        </w:tc>
      </w:tr>
      <w:tr w:rsidR="00624B28" w:rsidRPr="001E05F5" w14:paraId="5C428F29" w14:textId="77777777" w:rsidTr="001A2BEF">
        <w:trPr>
          <w:trHeight w:val="288"/>
        </w:trPr>
        <w:tc>
          <w:tcPr>
            <w:tcW w:w="3150" w:type="dxa"/>
            <w:tcBorders>
              <w:bottom w:val="nil"/>
              <w:right w:val="nil"/>
            </w:tcBorders>
            <w:shd w:val="clear" w:color="auto" w:fill="auto"/>
            <w:noWrap/>
            <w:vAlign w:val="center"/>
            <w:hideMark/>
          </w:tcPr>
          <w:p w14:paraId="3517BC99" w14:textId="77777777" w:rsidR="009107DE" w:rsidRPr="001E05F5" w:rsidRDefault="009107DE" w:rsidP="001A2BEF">
            <w:pPr>
              <w:spacing w:after="0" w:line="240" w:lineRule="auto"/>
              <w:rPr>
                <w:rFonts w:cs="Arial"/>
                <w:color w:val="000000"/>
                <w:sz w:val="18"/>
                <w:szCs w:val="18"/>
                <w:lang w:eastAsia="en-GB"/>
              </w:rPr>
            </w:pPr>
            <w:r w:rsidRPr="001E05F5">
              <w:rPr>
                <w:rFonts w:cs="Arial"/>
                <w:color w:val="000000"/>
                <w:sz w:val="18"/>
                <w:szCs w:val="18"/>
                <w:lang w:eastAsia="en-GB"/>
              </w:rPr>
              <w:t>Resources: depletion of abiotic resources</w:t>
            </w:r>
          </w:p>
        </w:tc>
        <w:tc>
          <w:tcPr>
            <w:tcW w:w="1576" w:type="dxa"/>
            <w:tcBorders>
              <w:left w:val="nil"/>
              <w:bottom w:val="nil"/>
            </w:tcBorders>
            <w:shd w:val="clear" w:color="auto" w:fill="auto"/>
            <w:noWrap/>
            <w:vAlign w:val="center"/>
            <w:hideMark/>
          </w:tcPr>
          <w:p w14:paraId="6AAB0256" w14:textId="77777777" w:rsidR="009107DE" w:rsidRPr="001E05F5" w:rsidRDefault="009107DE" w:rsidP="00624B28">
            <w:pPr>
              <w:spacing w:after="0" w:line="240" w:lineRule="auto"/>
              <w:jc w:val="center"/>
              <w:rPr>
                <w:rFonts w:cs="Arial"/>
                <w:color w:val="000000"/>
                <w:sz w:val="18"/>
                <w:szCs w:val="18"/>
                <w:lang w:eastAsia="en-GB"/>
              </w:rPr>
            </w:pPr>
            <w:proofErr w:type="gramStart"/>
            <w:r w:rsidRPr="001E05F5">
              <w:rPr>
                <w:rFonts w:cs="Arial"/>
                <w:color w:val="000000"/>
                <w:sz w:val="18"/>
                <w:szCs w:val="18"/>
                <w:lang w:eastAsia="en-GB"/>
              </w:rPr>
              <w:t>Eur.Person.Eq</w:t>
            </w:r>
            <w:proofErr w:type="gramEnd"/>
          </w:p>
        </w:tc>
        <w:tc>
          <w:tcPr>
            <w:tcW w:w="1287" w:type="dxa"/>
            <w:shd w:val="clear" w:color="auto" w:fill="auto"/>
            <w:noWrap/>
            <w:vAlign w:val="center"/>
            <w:hideMark/>
          </w:tcPr>
          <w:p w14:paraId="3D85856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-9,418</w:t>
            </w:r>
          </w:p>
        </w:tc>
        <w:tc>
          <w:tcPr>
            <w:tcW w:w="1287" w:type="dxa"/>
            <w:shd w:val="clear" w:color="auto" w:fill="auto"/>
            <w:noWrap/>
            <w:vAlign w:val="center"/>
            <w:hideMark/>
          </w:tcPr>
          <w:p w14:paraId="465B3999"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-21,125</w:t>
            </w:r>
          </w:p>
        </w:tc>
        <w:tc>
          <w:tcPr>
            <w:tcW w:w="1287" w:type="dxa"/>
            <w:shd w:val="clear" w:color="auto" w:fill="auto"/>
            <w:noWrap/>
            <w:vAlign w:val="center"/>
            <w:hideMark/>
          </w:tcPr>
          <w:p w14:paraId="34BD8E7B"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-25,874</w:t>
            </w:r>
          </w:p>
        </w:tc>
        <w:tc>
          <w:tcPr>
            <w:tcW w:w="1287" w:type="dxa"/>
            <w:shd w:val="clear" w:color="auto" w:fill="auto"/>
            <w:noWrap/>
            <w:vAlign w:val="center"/>
            <w:hideMark/>
          </w:tcPr>
          <w:p w14:paraId="670FCDBD"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-36,896</w:t>
            </w:r>
          </w:p>
        </w:tc>
        <w:tc>
          <w:tcPr>
            <w:tcW w:w="1287" w:type="dxa"/>
            <w:shd w:val="clear" w:color="auto" w:fill="auto"/>
            <w:noWrap/>
            <w:vAlign w:val="center"/>
            <w:hideMark/>
          </w:tcPr>
          <w:p w14:paraId="6454A952"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-20,775</w:t>
            </w:r>
          </w:p>
        </w:tc>
        <w:tc>
          <w:tcPr>
            <w:tcW w:w="1287" w:type="dxa"/>
            <w:shd w:val="clear" w:color="auto" w:fill="auto"/>
            <w:noWrap/>
            <w:vAlign w:val="center"/>
            <w:hideMark/>
          </w:tcPr>
          <w:p w14:paraId="1EF08A9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-19,988</w:t>
            </w:r>
          </w:p>
        </w:tc>
        <w:tc>
          <w:tcPr>
            <w:tcW w:w="1287" w:type="dxa"/>
            <w:shd w:val="clear" w:color="auto" w:fill="auto"/>
            <w:noWrap/>
            <w:vAlign w:val="center"/>
            <w:hideMark/>
          </w:tcPr>
          <w:p w14:paraId="0D0116CD"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-21,728</w:t>
            </w:r>
          </w:p>
        </w:tc>
        <w:tc>
          <w:tcPr>
            <w:tcW w:w="1287" w:type="dxa"/>
            <w:shd w:val="clear" w:color="auto" w:fill="auto"/>
            <w:noWrap/>
            <w:vAlign w:val="center"/>
            <w:hideMark/>
          </w:tcPr>
          <w:p w14:paraId="7DD47170"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-36,676</w:t>
            </w:r>
          </w:p>
        </w:tc>
        <w:tc>
          <w:tcPr>
            <w:tcW w:w="1287" w:type="dxa"/>
            <w:shd w:val="clear" w:color="auto" w:fill="auto"/>
            <w:noWrap/>
            <w:vAlign w:val="center"/>
            <w:hideMark/>
          </w:tcPr>
          <w:p w14:paraId="5A10D40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-21,365</w:t>
            </w:r>
          </w:p>
        </w:tc>
        <w:tc>
          <w:tcPr>
            <w:tcW w:w="1287" w:type="dxa"/>
            <w:shd w:val="clear" w:color="auto" w:fill="auto"/>
            <w:noWrap/>
            <w:vAlign w:val="center"/>
            <w:hideMark/>
          </w:tcPr>
          <w:p w14:paraId="52A280E2"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-19,824</w:t>
            </w:r>
          </w:p>
        </w:tc>
        <w:tc>
          <w:tcPr>
            <w:tcW w:w="1287" w:type="dxa"/>
            <w:shd w:val="clear" w:color="auto" w:fill="auto"/>
            <w:noWrap/>
            <w:vAlign w:val="center"/>
            <w:hideMark/>
          </w:tcPr>
          <w:p w14:paraId="3F37395D"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-21,352</w:t>
            </w:r>
          </w:p>
        </w:tc>
        <w:tc>
          <w:tcPr>
            <w:tcW w:w="1287" w:type="dxa"/>
            <w:shd w:val="clear" w:color="auto" w:fill="auto"/>
            <w:noWrap/>
            <w:vAlign w:val="center"/>
            <w:hideMark/>
          </w:tcPr>
          <w:p w14:paraId="44A087C4"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-36,590</w:t>
            </w:r>
          </w:p>
        </w:tc>
        <w:tc>
          <w:tcPr>
            <w:tcW w:w="1287" w:type="dxa"/>
            <w:shd w:val="clear" w:color="auto" w:fill="auto"/>
            <w:noWrap/>
            <w:vAlign w:val="center"/>
            <w:hideMark/>
          </w:tcPr>
          <w:p w14:paraId="5D854205" w14:textId="77777777" w:rsidR="009107DE" w:rsidRPr="001E05F5" w:rsidRDefault="009107DE"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-21,102</w:t>
            </w:r>
          </w:p>
        </w:tc>
      </w:tr>
      <w:tr w:rsidR="00624B28" w:rsidRPr="001E05F5" w14:paraId="52E87AC1" w14:textId="77777777" w:rsidTr="001A2BEF">
        <w:trPr>
          <w:trHeight w:val="288"/>
        </w:trPr>
        <w:tc>
          <w:tcPr>
            <w:tcW w:w="4726" w:type="dxa"/>
            <w:gridSpan w:val="2"/>
            <w:tcBorders>
              <w:top w:val="nil"/>
              <w:bottom w:val="single" w:sz="4" w:space="0" w:color="auto"/>
            </w:tcBorders>
            <w:shd w:val="clear" w:color="auto" w:fill="auto"/>
            <w:noWrap/>
            <w:vAlign w:val="center"/>
            <w:hideMark/>
          </w:tcPr>
          <w:p w14:paraId="007AED78" w14:textId="77777777" w:rsidR="00624B28" w:rsidRPr="001E05F5" w:rsidRDefault="00624B28" w:rsidP="001A2BEF">
            <w:pPr>
              <w:spacing w:after="0" w:line="240" w:lineRule="auto"/>
              <w:jc w:val="right"/>
              <w:rPr>
                <w:rFonts w:cs="Arial"/>
                <w:sz w:val="18"/>
                <w:szCs w:val="18"/>
                <w:lang w:eastAsia="en-GB"/>
              </w:rPr>
            </w:pPr>
            <w:r w:rsidRPr="001E05F5">
              <w:rPr>
                <w:rFonts w:cs="Arial"/>
                <w:color w:val="000000"/>
                <w:sz w:val="18"/>
                <w:szCs w:val="18"/>
                <w:lang w:eastAsia="en-GB"/>
              </w:rPr>
              <w:t>% change from baseline</w:t>
            </w:r>
          </w:p>
        </w:tc>
        <w:tc>
          <w:tcPr>
            <w:tcW w:w="1287" w:type="dxa"/>
            <w:tcBorders>
              <w:bottom w:val="single" w:sz="4" w:space="0" w:color="auto"/>
            </w:tcBorders>
            <w:shd w:val="clear" w:color="auto" w:fill="auto"/>
            <w:noWrap/>
            <w:vAlign w:val="center"/>
            <w:hideMark/>
          </w:tcPr>
          <w:p w14:paraId="06F4B258" w14:textId="77777777" w:rsidR="00624B28" w:rsidRPr="001E05F5" w:rsidRDefault="00624B28" w:rsidP="001A2BEF">
            <w:pPr>
              <w:spacing w:before="60" w:after="60" w:line="240" w:lineRule="auto"/>
              <w:jc w:val="center"/>
              <w:rPr>
                <w:rFonts w:cs="Arial"/>
                <w:sz w:val="18"/>
                <w:szCs w:val="18"/>
                <w:lang w:eastAsia="en-GB"/>
              </w:rPr>
            </w:pPr>
          </w:p>
        </w:tc>
        <w:tc>
          <w:tcPr>
            <w:tcW w:w="1287" w:type="dxa"/>
            <w:tcBorders>
              <w:bottom w:val="single" w:sz="4" w:space="0" w:color="auto"/>
            </w:tcBorders>
            <w:shd w:val="clear" w:color="auto" w:fill="auto"/>
            <w:noWrap/>
            <w:vAlign w:val="center"/>
            <w:hideMark/>
          </w:tcPr>
          <w:p w14:paraId="746A91B7"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w:t>
            </w:r>
          </w:p>
        </w:tc>
        <w:tc>
          <w:tcPr>
            <w:tcW w:w="1287" w:type="dxa"/>
            <w:tcBorders>
              <w:bottom w:val="single" w:sz="4" w:space="0" w:color="auto"/>
            </w:tcBorders>
            <w:shd w:val="clear" w:color="auto" w:fill="auto"/>
            <w:noWrap/>
            <w:vAlign w:val="center"/>
            <w:hideMark/>
          </w:tcPr>
          <w:p w14:paraId="37650437"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33%</w:t>
            </w:r>
          </w:p>
        </w:tc>
        <w:tc>
          <w:tcPr>
            <w:tcW w:w="1287" w:type="dxa"/>
            <w:tcBorders>
              <w:bottom w:val="single" w:sz="4" w:space="0" w:color="auto"/>
            </w:tcBorders>
            <w:shd w:val="clear" w:color="auto" w:fill="auto"/>
            <w:noWrap/>
            <w:vAlign w:val="center"/>
            <w:hideMark/>
          </w:tcPr>
          <w:p w14:paraId="395F9569"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90%</w:t>
            </w:r>
          </w:p>
        </w:tc>
        <w:tc>
          <w:tcPr>
            <w:tcW w:w="1287" w:type="dxa"/>
            <w:tcBorders>
              <w:bottom w:val="single" w:sz="4" w:space="0" w:color="auto"/>
            </w:tcBorders>
            <w:shd w:val="clear" w:color="auto" w:fill="auto"/>
            <w:noWrap/>
            <w:vAlign w:val="center"/>
            <w:hideMark/>
          </w:tcPr>
          <w:p w14:paraId="22F3B869"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7%</w:t>
            </w:r>
          </w:p>
        </w:tc>
        <w:tc>
          <w:tcPr>
            <w:tcW w:w="1287" w:type="dxa"/>
            <w:tcBorders>
              <w:bottom w:val="single" w:sz="4" w:space="0" w:color="auto"/>
            </w:tcBorders>
            <w:shd w:val="clear" w:color="auto" w:fill="auto"/>
            <w:noWrap/>
            <w:vAlign w:val="center"/>
            <w:hideMark/>
          </w:tcPr>
          <w:p w14:paraId="7AF650C2"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3%</w:t>
            </w:r>
          </w:p>
        </w:tc>
        <w:tc>
          <w:tcPr>
            <w:tcW w:w="1287" w:type="dxa"/>
            <w:tcBorders>
              <w:bottom w:val="single" w:sz="4" w:space="0" w:color="auto"/>
            </w:tcBorders>
            <w:shd w:val="clear" w:color="auto" w:fill="auto"/>
            <w:noWrap/>
            <w:vAlign w:val="center"/>
            <w:hideMark/>
          </w:tcPr>
          <w:p w14:paraId="568520A8"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12%</w:t>
            </w:r>
          </w:p>
        </w:tc>
        <w:tc>
          <w:tcPr>
            <w:tcW w:w="1287" w:type="dxa"/>
            <w:tcBorders>
              <w:bottom w:val="single" w:sz="4" w:space="0" w:color="auto"/>
            </w:tcBorders>
            <w:shd w:val="clear" w:color="auto" w:fill="auto"/>
            <w:noWrap/>
            <w:vAlign w:val="center"/>
            <w:hideMark/>
          </w:tcPr>
          <w:p w14:paraId="4C42A260"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89%</w:t>
            </w:r>
          </w:p>
        </w:tc>
        <w:tc>
          <w:tcPr>
            <w:tcW w:w="1287" w:type="dxa"/>
            <w:tcBorders>
              <w:bottom w:val="single" w:sz="4" w:space="0" w:color="auto"/>
            </w:tcBorders>
            <w:shd w:val="clear" w:color="auto" w:fill="auto"/>
            <w:noWrap/>
            <w:vAlign w:val="center"/>
            <w:hideMark/>
          </w:tcPr>
          <w:p w14:paraId="335C1272"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w:t>
            </w:r>
          </w:p>
        </w:tc>
        <w:tc>
          <w:tcPr>
            <w:tcW w:w="1287" w:type="dxa"/>
            <w:tcBorders>
              <w:bottom w:val="single" w:sz="4" w:space="0" w:color="auto"/>
            </w:tcBorders>
            <w:shd w:val="clear" w:color="auto" w:fill="auto"/>
            <w:noWrap/>
            <w:vAlign w:val="center"/>
            <w:hideMark/>
          </w:tcPr>
          <w:p w14:paraId="6E3C6385"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2%</w:t>
            </w:r>
          </w:p>
        </w:tc>
        <w:tc>
          <w:tcPr>
            <w:tcW w:w="1287" w:type="dxa"/>
            <w:tcBorders>
              <w:bottom w:val="single" w:sz="4" w:space="0" w:color="auto"/>
            </w:tcBorders>
            <w:shd w:val="clear" w:color="auto" w:fill="auto"/>
            <w:noWrap/>
            <w:vAlign w:val="center"/>
            <w:hideMark/>
          </w:tcPr>
          <w:p w14:paraId="1DC2E9CB"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10%</w:t>
            </w:r>
          </w:p>
        </w:tc>
        <w:tc>
          <w:tcPr>
            <w:tcW w:w="1287" w:type="dxa"/>
            <w:tcBorders>
              <w:bottom w:val="single" w:sz="4" w:space="0" w:color="auto"/>
            </w:tcBorders>
            <w:shd w:val="clear" w:color="auto" w:fill="auto"/>
            <w:noWrap/>
            <w:vAlign w:val="center"/>
            <w:hideMark/>
          </w:tcPr>
          <w:p w14:paraId="598FC99E"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88%</w:t>
            </w:r>
          </w:p>
        </w:tc>
        <w:tc>
          <w:tcPr>
            <w:tcW w:w="1287" w:type="dxa"/>
            <w:tcBorders>
              <w:bottom w:val="single" w:sz="4" w:space="0" w:color="auto"/>
            </w:tcBorders>
            <w:shd w:val="clear" w:color="auto" w:fill="auto"/>
            <w:noWrap/>
            <w:vAlign w:val="center"/>
            <w:hideMark/>
          </w:tcPr>
          <w:p w14:paraId="7C368710" w14:textId="77777777" w:rsidR="00624B28" w:rsidRPr="001E05F5" w:rsidRDefault="00624B28" w:rsidP="001A2BEF">
            <w:pPr>
              <w:spacing w:before="60" w:after="60" w:line="240" w:lineRule="auto"/>
              <w:jc w:val="center"/>
              <w:rPr>
                <w:rFonts w:cs="Arial"/>
                <w:color w:val="000000"/>
                <w:sz w:val="18"/>
                <w:szCs w:val="18"/>
                <w:lang w:eastAsia="en-GB"/>
              </w:rPr>
            </w:pPr>
            <w:r w:rsidRPr="001E05F5">
              <w:rPr>
                <w:rFonts w:cs="Arial"/>
                <w:color w:val="000000"/>
                <w:sz w:val="18"/>
                <w:szCs w:val="18"/>
                <w:lang w:eastAsia="en-GB"/>
              </w:rPr>
              <w:t>9%</w:t>
            </w:r>
          </w:p>
        </w:tc>
      </w:tr>
      <w:tr w:rsidR="001A2BEF" w:rsidRPr="001E05F5" w14:paraId="6F85E2AB" w14:textId="77777777" w:rsidTr="001A2BEF">
        <w:trPr>
          <w:trHeight w:val="288"/>
        </w:trPr>
        <w:tc>
          <w:tcPr>
            <w:tcW w:w="21457" w:type="dxa"/>
            <w:gridSpan w:val="15"/>
            <w:tcBorders>
              <w:top w:val="single" w:sz="4" w:space="0" w:color="auto"/>
            </w:tcBorders>
            <w:shd w:val="clear" w:color="auto" w:fill="auto"/>
            <w:noWrap/>
            <w:vAlign w:val="center"/>
          </w:tcPr>
          <w:p w14:paraId="3BBA2763" w14:textId="77777777" w:rsidR="001A2BEF" w:rsidRPr="001E05F5" w:rsidRDefault="001A2BEF" w:rsidP="001A2BEF">
            <w:pPr>
              <w:spacing w:before="60" w:after="60" w:line="240" w:lineRule="auto"/>
              <w:rPr>
                <w:rFonts w:cs="Arial"/>
                <w:color w:val="000000"/>
                <w:sz w:val="18"/>
                <w:szCs w:val="18"/>
                <w:lang w:eastAsia="en-GB"/>
              </w:rPr>
            </w:pPr>
            <w:r w:rsidRPr="001E05F5">
              <w:rPr>
                <w:rFonts w:cs="Arial"/>
                <w:color w:val="000000"/>
                <w:sz w:val="18"/>
                <w:szCs w:val="18"/>
                <w:lang w:eastAsia="en-GB"/>
              </w:rPr>
              <w:t xml:space="preserve">Note: For the % change from baseline, a positive value is an improvement in performance and a negative value is a deterioration in performance </w:t>
            </w:r>
          </w:p>
        </w:tc>
      </w:tr>
    </w:tbl>
    <w:p w14:paraId="7E55B4ED" w14:textId="77777777" w:rsidR="00704D50" w:rsidRPr="001E05F5" w:rsidRDefault="00704D50" w:rsidP="00AC7AD3">
      <w:pPr>
        <w:jc w:val="center"/>
      </w:pPr>
    </w:p>
    <w:p w14:paraId="390ADD36" w14:textId="77777777" w:rsidR="009107DE" w:rsidRPr="001E05F5" w:rsidRDefault="009107DE" w:rsidP="00AC7AD3">
      <w:pPr>
        <w:jc w:val="center"/>
      </w:pPr>
    </w:p>
    <w:p w14:paraId="70D536DB" w14:textId="77777777" w:rsidR="009107DE" w:rsidRPr="001E05F5" w:rsidRDefault="009107DE" w:rsidP="00A6210C">
      <w:pPr>
        <w:sectPr w:rsidR="009107DE" w:rsidRPr="001E05F5" w:rsidSect="00AC7AD3">
          <w:pgSz w:w="23814" w:h="16840" w:orient="landscape"/>
          <w:pgMar w:top="1440" w:right="1134" w:bottom="1440" w:left="1134" w:header="709" w:footer="709" w:gutter="0"/>
          <w:cols w:space="708"/>
          <w:docGrid w:linePitch="360"/>
        </w:sectPr>
      </w:pPr>
    </w:p>
    <w:p w14:paraId="3EA67262" w14:textId="278A4B03" w:rsidR="009107DE" w:rsidRDefault="00534FAF" w:rsidP="006B0C5B">
      <w:pPr>
        <w:pStyle w:val="Heading1"/>
        <w:numPr>
          <w:ilvl w:val="0"/>
          <w:numId w:val="0"/>
        </w:numPr>
        <w:ind w:left="850" w:hanging="850"/>
      </w:pPr>
      <w:bookmarkStart w:id="43" w:name="_Toc521426520"/>
      <w:r>
        <w:lastRenderedPageBreak/>
        <w:t>Appendix H</w:t>
      </w:r>
      <w:r w:rsidR="00FC2AED" w:rsidRPr="001E05F5">
        <w:t xml:space="preserve">: </w:t>
      </w:r>
      <w:r w:rsidR="006B0C5B" w:rsidRPr="001E05F5">
        <w:t>D</w:t>
      </w:r>
      <w:r w:rsidR="00FC2AED" w:rsidRPr="001E05F5">
        <w:t>etailed assessments of scenario</w:t>
      </w:r>
      <w:r w:rsidR="006B0C5B" w:rsidRPr="001E05F5">
        <w:t>s</w:t>
      </w:r>
      <w:bookmarkEnd w:id="43"/>
      <w:r w:rsidR="00FC2AED" w:rsidRPr="001E05F5">
        <w:t xml:space="preserve"> </w:t>
      </w:r>
    </w:p>
    <w:p w14:paraId="7F6C6F61" w14:textId="7D40E9C9" w:rsidR="00534FAF" w:rsidRDefault="00534FAF" w:rsidP="00534FAF">
      <w:r>
        <w:t>Refer to options appraisal scoring spreadsheet.</w:t>
      </w:r>
    </w:p>
    <w:p w14:paraId="5336B712" w14:textId="77777777" w:rsidR="00877210" w:rsidRPr="00877210" w:rsidRDefault="00877210" w:rsidP="00534FAF">
      <w:pPr>
        <w:rPr>
          <w:b/>
          <w:u w:val="single"/>
        </w:rPr>
      </w:pPr>
      <w:bookmarkStart w:id="44" w:name="_GoBack"/>
      <w:r w:rsidRPr="00877210">
        <w:rPr>
          <w:b/>
          <w:u w:val="single"/>
        </w:rPr>
        <w:t>NOTE!</w:t>
      </w:r>
    </w:p>
    <w:bookmarkEnd w:id="44"/>
    <w:p w14:paraId="3E55BC48" w14:textId="7F7C00C6" w:rsidR="00534FAF" w:rsidRPr="00534FAF" w:rsidRDefault="00534FAF" w:rsidP="00534FAF">
      <w:r>
        <w:t>Tables will be inserted once they are agreed.</w:t>
      </w:r>
    </w:p>
    <w:sectPr w:rsidR="00534FAF" w:rsidRPr="00534FAF" w:rsidSect="00113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97AD" w14:textId="77777777" w:rsidR="00117207" w:rsidRDefault="00117207" w:rsidP="00A3784A">
      <w:r>
        <w:separator/>
      </w:r>
    </w:p>
  </w:endnote>
  <w:endnote w:type="continuationSeparator" w:id="0">
    <w:p w14:paraId="4EB5D0C0" w14:textId="77777777" w:rsidR="00117207" w:rsidRDefault="00117207" w:rsidP="00A3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7C98" w14:textId="306C1A73" w:rsidR="00E536C8" w:rsidRDefault="00E536C8">
    <w:pPr>
      <w:pStyle w:val="Footer"/>
      <w:jc w:val="right"/>
    </w:pPr>
  </w:p>
  <w:p w14:paraId="2839202F" w14:textId="77777777" w:rsidR="00E536C8" w:rsidRDefault="00E53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097"/>
      <w:docPartObj>
        <w:docPartGallery w:val="Page Numbers (Bottom of Page)"/>
        <w:docPartUnique/>
      </w:docPartObj>
    </w:sdtPr>
    <w:sdtEndPr>
      <w:rPr>
        <w:noProof/>
      </w:rPr>
    </w:sdtEndPr>
    <w:sdtContent>
      <w:p w14:paraId="4AD7E422" w14:textId="77777777" w:rsidR="00E536C8" w:rsidRDefault="00E536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57C165" w14:textId="77777777" w:rsidR="00E536C8" w:rsidRDefault="00E53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10ED3" w14:textId="77777777" w:rsidR="00117207" w:rsidRDefault="00117207" w:rsidP="00A3784A">
      <w:r>
        <w:separator/>
      </w:r>
    </w:p>
  </w:footnote>
  <w:footnote w:type="continuationSeparator" w:id="0">
    <w:p w14:paraId="282EDB8D" w14:textId="77777777" w:rsidR="00117207" w:rsidRDefault="00117207" w:rsidP="00A3784A">
      <w:r>
        <w:continuationSeparator/>
      </w:r>
    </w:p>
  </w:footnote>
  <w:footnote w:id="1">
    <w:p w14:paraId="3F8312E1" w14:textId="77777777" w:rsidR="00E536C8" w:rsidRPr="00FC6E14" w:rsidRDefault="00E536C8">
      <w:pPr>
        <w:pStyle w:val="FootnoteText"/>
        <w:rPr>
          <w:sz w:val="18"/>
        </w:rPr>
      </w:pPr>
      <w:r w:rsidRPr="00FC6E14">
        <w:rPr>
          <w:rStyle w:val="FootnoteReference"/>
          <w:sz w:val="18"/>
        </w:rPr>
        <w:footnoteRef/>
      </w:r>
      <w:r w:rsidRPr="00FC6E14">
        <w:rPr>
          <w:sz w:val="18"/>
        </w:rPr>
        <w:t xml:space="preserve"> All central and local Government plans and strategies that can have a significant effect on the environment are required to be assessed regarding how they contribute to Sustainable Development. An assessment of how a strategy meets the aims of Sustainable Development can be delivered through an approach known as a Strategic Environmental Assessment.</w:t>
      </w:r>
    </w:p>
  </w:footnote>
  <w:footnote w:id="2">
    <w:p w14:paraId="4ED230AF" w14:textId="2CFFFC02" w:rsidR="00E536C8" w:rsidRPr="00E762A9" w:rsidRDefault="00E536C8" w:rsidP="00665DAE">
      <w:pPr>
        <w:pStyle w:val="FootnoteText"/>
        <w:rPr>
          <w:sz w:val="16"/>
        </w:rPr>
      </w:pPr>
      <w:r w:rsidRPr="00E762A9">
        <w:rPr>
          <w:rStyle w:val="FootnoteReference"/>
          <w:sz w:val="16"/>
        </w:rPr>
        <w:footnoteRef/>
      </w:r>
      <w:r w:rsidRPr="00E762A9">
        <w:rPr>
          <w:sz w:val="16"/>
        </w:rPr>
        <w:t xml:space="preserve"> Forecasts of future waste flows in the Tees Valley were determined using a waste flow model</w:t>
      </w:r>
      <w:r>
        <w:rPr>
          <w:sz w:val="16"/>
        </w:rPr>
        <w:t>. WRATE is a tool developed by the Environment Agency for quantifying the environmental impact of various waste management systems (see section 4.2.5).</w:t>
      </w:r>
    </w:p>
  </w:footnote>
  <w:footnote w:id="3">
    <w:p w14:paraId="22781762" w14:textId="77777777" w:rsidR="00E536C8" w:rsidRDefault="00E536C8" w:rsidP="00F716BC">
      <w:pPr>
        <w:pStyle w:val="FootnoteText"/>
        <w:spacing w:line="240" w:lineRule="auto"/>
      </w:pPr>
      <w:r>
        <w:rPr>
          <w:rStyle w:val="FootnoteReference"/>
        </w:rPr>
        <w:footnoteRef/>
      </w:r>
      <w:r>
        <w:t xml:space="preserve"> </w:t>
      </w:r>
      <w:r w:rsidRPr="00DE70D0">
        <w:rPr>
          <w:sz w:val="18"/>
          <w:szCs w:val="18"/>
        </w:rPr>
        <w:t>Ministry of Housing, Communities and Local Government (formerly DCLG)</w:t>
      </w:r>
    </w:p>
  </w:footnote>
  <w:footnote w:id="4">
    <w:p w14:paraId="00167C87" w14:textId="0020CB1F" w:rsidR="00E536C8" w:rsidRDefault="00E536C8">
      <w:pPr>
        <w:pStyle w:val="FootnoteText"/>
      </w:pPr>
      <w:r>
        <w:rPr>
          <w:rStyle w:val="FootnoteReference"/>
        </w:rPr>
        <w:footnoteRef/>
      </w:r>
      <w:r>
        <w:t xml:space="preserve"> the web-based system for LACW data reporting by UK local authorities to government</w:t>
      </w:r>
    </w:p>
  </w:footnote>
  <w:footnote w:id="5">
    <w:p w14:paraId="7425D5AD" w14:textId="77777777" w:rsidR="00E536C8" w:rsidRPr="009627B6" w:rsidRDefault="00E536C8" w:rsidP="00A3784A">
      <w:pPr>
        <w:pStyle w:val="FootnoteText"/>
        <w:rPr>
          <w:sz w:val="18"/>
          <w:szCs w:val="18"/>
        </w:rPr>
      </w:pPr>
      <w:r>
        <w:rPr>
          <w:rStyle w:val="FootnoteReference"/>
        </w:rPr>
        <w:footnoteRef/>
      </w:r>
      <w:r>
        <w:t xml:space="preserve"> </w:t>
      </w:r>
      <w:r w:rsidRPr="009627B6">
        <w:rPr>
          <w:sz w:val="18"/>
          <w:szCs w:val="18"/>
        </w:rPr>
        <w:t>Table 406 of the Household_Projections_Published_Tables spreadsheet published in July 2016.</w:t>
      </w:r>
    </w:p>
    <w:p w14:paraId="6A834E33" w14:textId="77777777" w:rsidR="00E536C8" w:rsidRDefault="00877210" w:rsidP="00A3784A">
      <w:pPr>
        <w:pStyle w:val="FootnoteText"/>
      </w:pPr>
      <w:hyperlink r:id="rId1" w:history="1">
        <w:r w:rsidR="00E536C8" w:rsidRPr="009627B6">
          <w:rPr>
            <w:rStyle w:val="Hyperlink"/>
            <w:sz w:val="18"/>
            <w:szCs w:val="18"/>
          </w:rPr>
          <w:t>https://www.gov.uk/government/statistical-data-sets/live-tables-on-household-projections</w:t>
        </w:r>
      </w:hyperlink>
    </w:p>
  </w:footnote>
  <w:footnote w:id="6">
    <w:p w14:paraId="4A5BDA36" w14:textId="77777777" w:rsidR="00E536C8" w:rsidRPr="005B4B91" w:rsidRDefault="00E536C8" w:rsidP="006F1DD2">
      <w:pPr>
        <w:pStyle w:val="FootnoteText"/>
        <w:rPr>
          <w:sz w:val="18"/>
          <w:szCs w:val="18"/>
        </w:rPr>
      </w:pPr>
      <w:r w:rsidRPr="005B4B91">
        <w:rPr>
          <w:rStyle w:val="FootnoteReference"/>
          <w:sz w:val="18"/>
          <w:szCs w:val="18"/>
        </w:rPr>
        <w:footnoteRef/>
      </w:r>
      <w:r w:rsidRPr="005B4B91">
        <w:rPr>
          <w:sz w:val="18"/>
          <w:szCs w:val="18"/>
        </w:rPr>
        <w:t xml:space="preserve"> WRAP, Decoupling of Waste and Economic Indicators, October 2012 </w:t>
      </w:r>
    </w:p>
  </w:footnote>
  <w:footnote w:id="7">
    <w:p w14:paraId="40CF21BC" w14:textId="77777777" w:rsidR="00E536C8" w:rsidRPr="005B4B91" w:rsidRDefault="00E536C8" w:rsidP="006F1DD2">
      <w:pPr>
        <w:pStyle w:val="FootnoteText"/>
        <w:rPr>
          <w:sz w:val="18"/>
          <w:szCs w:val="18"/>
        </w:rPr>
      </w:pPr>
      <w:r w:rsidRPr="005B4B91">
        <w:rPr>
          <w:rStyle w:val="FootnoteReference"/>
          <w:sz w:val="18"/>
          <w:szCs w:val="18"/>
        </w:rPr>
        <w:footnoteRef/>
      </w:r>
      <w:r w:rsidRPr="005B4B91">
        <w:rPr>
          <w:sz w:val="18"/>
          <w:szCs w:val="18"/>
        </w:rPr>
        <w:t xml:space="preserve"> Gross Disposable Household Income (GDHI) – an alternative measure of income; it measures what is available for households to spend or save once taxes, social contributions, pension contributions and property ownership have been taken into account.</w:t>
      </w:r>
    </w:p>
  </w:footnote>
  <w:footnote w:id="8">
    <w:p w14:paraId="654DF426" w14:textId="77777777" w:rsidR="00E536C8" w:rsidRPr="005B4B91" w:rsidRDefault="00E536C8" w:rsidP="006F1DD2">
      <w:pPr>
        <w:pStyle w:val="FootnoteText"/>
        <w:rPr>
          <w:sz w:val="18"/>
          <w:szCs w:val="18"/>
        </w:rPr>
      </w:pPr>
      <w:r w:rsidRPr="005B4B91">
        <w:rPr>
          <w:rStyle w:val="FootnoteReference"/>
          <w:sz w:val="18"/>
          <w:szCs w:val="18"/>
        </w:rPr>
        <w:footnoteRef/>
      </w:r>
      <w:r w:rsidRPr="005B4B91">
        <w:rPr>
          <w:sz w:val="18"/>
          <w:szCs w:val="18"/>
        </w:rPr>
        <w:t xml:space="preserve"> Gross Value Added (GVA) measures the contribution to the economy of each individual producer, industry or sector in the United Kingdom and is a headline measure used to monitor economic performance.</w:t>
      </w:r>
    </w:p>
  </w:footnote>
  <w:footnote w:id="9">
    <w:p w14:paraId="7A9C4140" w14:textId="77777777" w:rsidR="00E536C8" w:rsidRPr="005B4B91" w:rsidRDefault="00E536C8" w:rsidP="006F1DD2">
      <w:pPr>
        <w:pStyle w:val="FootnoteText"/>
        <w:rPr>
          <w:sz w:val="18"/>
          <w:szCs w:val="18"/>
        </w:rPr>
      </w:pPr>
      <w:r w:rsidRPr="005B4B91">
        <w:rPr>
          <w:rStyle w:val="FootnoteReference"/>
          <w:sz w:val="18"/>
          <w:szCs w:val="18"/>
        </w:rPr>
        <w:footnoteRef/>
      </w:r>
      <w:r w:rsidRPr="005B4B91">
        <w:rPr>
          <w:sz w:val="18"/>
          <w:szCs w:val="18"/>
        </w:rPr>
        <w:t xml:space="preserve"> Household Expenditure (HE) encompasses all domestic outlays (by residents and non-residents) for individual needs, including expenditure on goods and services.</w:t>
      </w:r>
    </w:p>
  </w:footnote>
  <w:footnote w:id="10">
    <w:p w14:paraId="57802038" w14:textId="77777777" w:rsidR="00E536C8" w:rsidRPr="005B4B91" w:rsidRDefault="00E536C8" w:rsidP="006F1DD2">
      <w:pPr>
        <w:pStyle w:val="FootnoteText"/>
        <w:rPr>
          <w:sz w:val="18"/>
          <w:szCs w:val="18"/>
        </w:rPr>
      </w:pPr>
      <w:r w:rsidRPr="005B4B91">
        <w:rPr>
          <w:rStyle w:val="FootnoteReference"/>
          <w:sz w:val="18"/>
          <w:szCs w:val="18"/>
        </w:rPr>
        <w:footnoteRef/>
      </w:r>
      <w:r w:rsidRPr="005B4B91">
        <w:rPr>
          <w:sz w:val="18"/>
          <w:szCs w:val="18"/>
        </w:rPr>
        <w:t xml:space="preserve"> Infrastructure Commission (NIC) Modelling Results Roundtable, London, June 2017</w:t>
      </w:r>
    </w:p>
  </w:footnote>
  <w:footnote w:id="11">
    <w:p w14:paraId="6960FACE" w14:textId="21BBDBC2" w:rsidR="00E536C8" w:rsidRDefault="00E536C8" w:rsidP="0052445E">
      <w:pPr>
        <w:pStyle w:val="FootnoteText"/>
      </w:pPr>
      <w:r>
        <w:rPr>
          <w:rStyle w:val="FootnoteReference"/>
        </w:rPr>
        <w:footnoteRef/>
      </w:r>
      <w:r>
        <w:t xml:space="preserve"> The enhanced dry recycling is the same as the increase shown in</w:t>
      </w:r>
      <w:r w:rsidRPr="00E356FE">
        <w:t xml:space="preserve"> </w:t>
      </w:r>
      <w:r w:rsidRPr="00E356FE">
        <w:fldChar w:fldCharType="begin"/>
      </w:r>
      <w:r w:rsidRPr="00E356FE">
        <w:instrText xml:space="preserve"> REF _Ref519000154 \h  \* MERGEFORMAT </w:instrText>
      </w:r>
      <w:r w:rsidRPr="00E356FE">
        <w:fldChar w:fldCharType="separate"/>
      </w:r>
      <w:r w:rsidRPr="00E356FE">
        <w:t>Table D</w:t>
      </w:r>
      <w:r w:rsidRPr="00E356FE">
        <w:rPr>
          <w:noProof/>
        </w:rPr>
        <w:t>2</w:t>
      </w:r>
      <w:r w:rsidRPr="00E356FE">
        <w:fldChar w:fldCharType="end"/>
      </w:r>
      <w:r w:rsidRPr="00E356FE">
        <w:t xml:space="preserve"> (High recycling</w:t>
      </w:r>
      <w:r>
        <w:t xml:space="preserve"> scenario)</w:t>
      </w:r>
    </w:p>
  </w:footnote>
  <w:footnote w:id="12">
    <w:p w14:paraId="48829158" w14:textId="77777777" w:rsidR="00E536C8" w:rsidRDefault="00E536C8" w:rsidP="0052445E">
      <w:pPr>
        <w:pStyle w:val="FootnoteText"/>
      </w:pPr>
      <w:r>
        <w:rPr>
          <w:rStyle w:val="FootnoteReference"/>
        </w:rPr>
        <w:footnoteRef/>
      </w:r>
      <w:r>
        <w:t xml:space="preserve"> Versus the free service, as currently offered in all Tees Valley Authorities except Darlington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4B6"/>
    <w:multiLevelType w:val="hybridMultilevel"/>
    <w:tmpl w:val="6370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C2507"/>
    <w:multiLevelType w:val="hybridMultilevel"/>
    <w:tmpl w:val="7D3A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1CAD"/>
    <w:multiLevelType w:val="hybridMultilevel"/>
    <w:tmpl w:val="BB72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52E8A"/>
    <w:multiLevelType w:val="multilevel"/>
    <w:tmpl w:val="2BB66B5C"/>
    <w:lvl w:ilvl="0">
      <w:start w:val="1"/>
      <w:numFmt w:val="decimal"/>
      <w:lvlRestart w:val="0"/>
      <w:pStyle w:val="Heading1"/>
      <w:lvlText w:val="%1"/>
      <w:lvlJc w:val="left"/>
      <w:pPr>
        <w:tabs>
          <w:tab w:val="num" w:pos="850"/>
        </w:tabs>
        <w:ind w:left="850" w:hanging="85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1134"/>
        </w:tabs>
        <w:ind w:left="1134" w:hanging="850"/>
      </w:pPr>
      <w:rPr>
        <w:rFonts w:hint="default"/>
        <w:b/>
        <w:i w:val="0"/>
      </w:rPr>
    </w:lvl>
    <w:lvl w:ilvl="2">
      <w:start w:val="1"/>
      <w:numFmt w:val="decimal"/>
      <w:pStyle w:val="Heading3"/>
      <w:lvlText w:val="%1.%2.%3"/>
      <w:lvlJc w:val="left"/>
      <w:pPr>
        <w:tabs>
          <w:tab w:val="num" w:pos="282"/>
        </w:tabs>
        <w:ind w:left="282" w:hanging="85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upperRoman"/>
      <w:pStyle w:val="Heading4"/>
      <w:lvlText w:val="%4"/>
      <w:lvlJc w:val="left"/>
      <w:pPr>
        <w:tabs>
          <w:tab w:val="num" w:pos="282"/>
        </w:tabs>
        <w:ind w:left="282" w:hanging="850"/>
      </w:pPr>
      <w:rPr>
        <w:rFonts w:ascii="Arial" w:hAnsi="Arial" w:cs="Arial" w:hint="default"/>
        <w:b w:val="0"/>
        <w:i w:val="0"/>
        <w:color w:val="00C996"/>
        <w:sz w:val="22"/>
        <w:szCs w:val="22"/>
      </w:rPr>
    </w:lvl>
    <w:lvl w:ilvl="4">
      <w:start w:val="1"/>
      <w:numFmt w:val="decimal"/>
      <w:lvlText w:val="%1.%2.%3.%4.%5"/>
      <w:lvlJc w:val="left"/>
      <w:pPr>
        <w:tabs>
          <w:tab w:val="num" w:pos="2312"/>
        </w:tabs>
        <w:ind w:left="441" w:hanging="1009"/>
      </w:pPr>
      <w:rPr>
        <w:rFonts w:hint="default"/>
      </w:rPr>
    </w:lvl>
    <w:lvl w:ilvl="5">
      <w:start w:val="1"/>
      <w:numFmt w:val="decimal"/>
      <w:lvlText w:val="%1.%2.%3.%4.%5.%6"/>
      <w:lvlJc w:val="left"/>
      <w:pPr>
        <w:tabs>
          <w:tab w:val="num" w:pos="583"/>
        </w:tabs>
        <w:ind w:left="583" w:hanging="1151"/>
      </w:pPr>
      <w:rPr>
        <w:rFonts w:hint="default"/>
      </w:rPr>
    </w:lvl>
    <w:lvl w:ilvl="6">
      <w:start w:val="1"/>
      <w:numFmt w:val="decimal"/>
      <w:lvlText w:val="%1.%2.%3.%4.%5.%6.%7"/>
      <w:lvlJc w:val="left"/>
      <w:pPr>
        <w:tabs>
          <w:tab w:val="num" w:pos="730"/>
        </w:tabs>
        <w:ind w:left="730" w:hanging="1298"/>
      </w:pPr>
      <w:rPr>
        <w:rFonts w:hint="default"/>
      </w:rPr>
    </w:lvl>
    <w:lvl w:ilvl="7">
      <w:start w:val="1"/>
      <w:numFmt w:val="decimal"/>
      <w:lvlText w:val="%1.%2.%3.%4.%5.%6.%7.%8"/>
      <w:lvlJc w:val="left"/>
      <w:pPr>
        <w:tabs>
          <w:tab w:val="num" w:pos="872"/>
        </w:tabs>
        <w:ind w:left="872" w:hanging="1440"/>
      </w:pPr>
      <w:rPr>
        <w:rFonts w:hint="default"/>
      </w:rPr>
    </w:lvl>
    <w:lvl w:ilvl="8">
      <w:start w:val="1"/>
      <w:numFmt w:val="decimal"/>
      <w:lvlText w:val="%1.%2.%3.%4.%5.%6.%7.%8.%9"/>
      <w:lvlJc w:val="left"/>
      <w:pPr>
        <w:tabs>
          <w:tab w:val="num" w:pos="1014"/>
        </w:tabs>
        <w:ind w:left="1014" w:hanging="1582"/>
      </w:pPr>
      <w:rPr>
        <w:rFonts w:hint="default"/>
      </w:rPr>
    </w:lvl>
  </w:abstractNum>
  <w:abstractNum w:abstractNumId="4" w15:restartNumberingAfterBreak="0">
    <w:nsid w:val="0E994956"/>
    <w:multiLevelType w:val="hybridMultilevel"/>
    <w:tmpl w:val="509C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856B1"/>
    <w:multiLevelType w:val="hybridMultilevel"/>
    <w:tmpl w:val="2048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E7957"/>
    <w:multiLevelType w:val="hybridMultilevel"/>
    <w:tmpl w:val="C2AE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65680"/>
    <w:multiLevelType w:val="hybridMultilevel"/>
    <w:tmpl w:val="672A3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6E0E2E"/>
    <w:multiLevelType w:val="hybridMultilevel"/>
    <w:tmpl w:val="5FD6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A64A4"/>
    <w:multiLevelType w:val="hybridMultilevel"/>
    <w:tmpl w:val="5774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97F2A"/>
    <w:multiLevelType w:val="hybridMultilevel"/>
    <w:tmpl w:val="9652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B71BC"/>
    <w:multiLevelType w:val="hybridMultilevel"/>
    <w:tmpl w:val="023E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A7C84"/>
    <w:multiLevelType w:val="hybridMultilevel"/>
    <w:tmpl w:val="29063FEA"/>
    <w:lvl w:ilvl="0" w:tplc="35FEDADE">
      <w:start w:val="1"/>
      <w:numFmt w:val="bullet"/>
      <w:lvlText w:val=""/>
      <w:lvlJc w:val="left"/>
      <w:pPr>
        <w:ind w:left="720" w:hanging="360"/>
      </w:pPr>
      <w:rPr>
        <w:rFonts w:ascii="Symbol" w:hAnsi="Symbol" w:hint="default"/>
      </w:rPr>
    </w:lvl>
    <w:lvl w:ilvl="1" w:tplc="14660B98" w:tentative="1">
      <w:start w:val="1"/>
      <w:numFmt w:val="bullet"/>
      <w:lvlText w:val="o"/>
      <w:lvlJc w:val="left"/>
      <w:pPr>
        <w:ind w:left="1440" w:hanging="360"/>
      </w:pPr>
      <w:rPr>
        <w:rFonts w:ascii="Courier New" w:hAnsi="Courier New" w:cs="Courier New" w:hint="default"/>
      </w:rPr>
    </w:lvl>
    <w:lvl w:ilvl="2" w:tplc="324E5AD6" w:tentative="1">
      <w:start w:val="1"/>
      <w:numFmt w:val="bullet"/>
      <w:lvlText w:val=""/>
      <w:lvlJc w:val="left"/>
      <w:pPr>
        <w:ind w:left="2160" w:hanging="360"/>
      </w:pPr>
      <w:rPr>
        <w:rFonts w:ascii="Wingdings" w:hAnsi="Wingdings" w:hint="default"/>
      </w:rPr>
    </w:lvl>
    <w:lvl w:ilvl="3" w:tplc="41B086E8" w:tentative="1">
      <w:start w:val="1"/>
      <w:numFmt w:val="bullet"/>
      <w:lvlText w:val=""/>
      <w:lvlJc w:val="left"/>
      <w:pPr>
        <w:ind w:left="2880" w:hanging="360"/>
      </w:pPr>
      <w:rPr>
        <w:rFonts w:ascii="Symbol" w:hAnsi="Symbol" w:hint="default"/>
      </w:rPr>
    </w:lvl>
    <w:lvl w:ilvl="4" w:tplc="E97490CE" w:tentative="1">
      <w:start w:val="1"/>
      <w:numFmt w:val="bullet"/>
      <w:lvlText w:val="o"/>
      <w:lvlJc w:val="left"/>
      <w:pPr>
        <w:ind w:left="3600" w:hanging="360"/>
      </w:pPr>
      <w:rPr>
        <w:rFonts w:ascii="Courier New" w:hAnsi="Courier New" w:cs="Courier New" w:hint="default"/>
      </w:rPr>
    </w:lvl>
    <w:lvl w:ilvl="5" w:tplc="B4F4696E" w:tentative="1">
      <w:start w:val="1"/>
      <w:numFmt w:val="bullet"/>
      <w:lvlText w:val=""/>
      <w:lvlJc w:val="left"/>
      <w:pPr>
        <w:ind w:left="4320" w:hanging="360"/>
      </w:pPr>
      <w:rPr>
        <w:rFonts w:ascii="Wingdings" w:hAnsi="Wingdings" w:hint="default"/>
      </w:rPr>
    </w:lvl>
    <w:lvl w:ilvl="6" w:tplc="3B742190" w:tentative="1">
      <w:start w:val="1"/>
      <w:numFmt w:val="bullet"/>
      <w:lvlText w:val=""/>
      <w:lvlJc w:val="left"/>
      <w:pPr>
        <w:ind w:left="5040" w:hanging="360"/>
      </w:pPr>
      <w:rPr>
        <w:rFonts w:ascii="Symbol" w:hAnsi="Symbol" w:hint="default"/>
      </w:rPr>
    </w:lvl>
    <w:lvl w:ilvl="7" w:tplc="EC4EF16C" w:tentative="1">
      <w:start w:val="1"/>
      <w:numFmt w:val="bullet"/>
      <w:lvlText w:val="o"/>
      <w:lvlJc w:val="left"/>
      <w:pPr>
        <w:ind w:left="5760" w:hanging="360"/>
      </w:pPr>
      <w:rPr>
        <w:rFonts w:ascii="Courier New" w:hAnsi="Courier New" w:cs="Courier New" w:hint="default"/>
      </w:rPr>
    </w:lvl>
    <w:lvl w:ilvl="8" w:tplc="86DC425E" w:tentative="1">
      <w:start w:val="1"/>
      <w:numFmt w:val="bullet"/>
      <w:lvlText w:val=""/>
      <w:lvlJc w:val="left"/>
      <w:pPr>
        <w:ind w:left="6480" w:hanging="360"/>
      </w:pPr>
      <w:rPr>
        <w:rFonts w:ascii="Wingdings" w:hAnsi="Wingdings" w:hint="default"/>
      </w:rPr>
    </w:lvl>
  </w:abstractNum>
  <w:abstractNum w:abstractNumId="13" w15:restartNumberingAfterBreak="0">
    <w:nsid w:val="3BC40988"/>
    <w:multiLevelType w:val="hybridMultilevel"/>
    <w:tmpl w:val="96E4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35108"/>
    <w:multiLevelType w:val="hybridMultilevel"/>
    <w:tmpl w:val="EB64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D7C09"/>
    <w:multiLevelType w:val="hybridMultilevel"/>
    <w:tmpl w:val="DB2E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4E7094"/>
    <w:multiLevelType w:val="hybridMultilevel"/>
    <w:tmpl w:val="7558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83823"/>
    <w:multiLevelType w:val="hybridMultilevel"/>
    <w:tmpl w:val="8DEC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C7F47"/>
    <w:multiLevelType w:val="hybridMultilevel"/>
    <w:tmpl w:val="55A288DC"/>
    <w:lvl w:ilvl="0" w:tplc="10084D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302498"/>
    <w:multiLevelType w:val="hybridMultilevel"/>
    <w:tmpl w:val="F380319E"/>
    <w:lvl w:ilvl="0" w:tplc="0809000F">
      <w:start w:val="1"/>
      <w:numFmt w:val="bullet"/>
      <w:pStyle w:val="ListParagraph"/>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5EDF6DAB"/>
    <w:multiLevelType w:val="hybridMultilevel"/>
    <w:tmpl w:val="20A85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CA45BC"/>
    <w:multiLevelType w:val="hybridMultilevel"/>
    <w:tmpl w:val="E440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7E200F"/>
    <w:multiLevelType w:val="hybridMultilevel"/>
    <w:tmpl w:val="2D4A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14718A"/>
    <w:multiLevelType w:val="hybridMultilevel"/>
    <w:tmpl w:val="A086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55350"/>
    <w:multiLevelType w:val="hybridMultilevel"/>
    <w:tmpl w:val="DB90D4B4"/>
    <w:lvl w:ilvl="0" w:tplc="767C0CD2">
      <w:start w:val="1"/>
      <w:numFmt w:val="bullet"/>
      <w:lvlText w:val=""/>
      <w:lvlJc w:val="left"/>
      <w:pPr>
        <w:tabs>
          <w:tab w:val="num" w:pos="720"/>
        </w:tabs>
        <w:ind w:left="720" w:hanging="360"/>
      </w:pPr>
      <w:rPr>
        <w:rFonts w:ascii="Wingdings" w:hAnsi="Wingdings" w:hint="default"/>
      </w:rPr>
    </w:lvl>
    <w:lvl w:ilvl="1" w:tplc="541AB8F8" w:tentative="1">
      <w:start w:val="1"/>
      <w:numFmt w:val="bullet"/>
      <w:lvlText w:val=""/>
      <w:lvlJc w:val="left"/>
      <w:pPr>
        <w:tabs>
          <w:tab w:val="num" w:pos="1440"/>
        </w:tabs>
        <w:ind w:left="1440" w:hanging="360"/>
      </w:pPr>
      <w:rPr>
        <w:rFonts w:ascii="Wingdings" w:hAnsi="Wingdings" w:hint="default"/>
      </w:rPr>
    </w:lvl>
    <w:lvl w:ilvl="2" w:tplc="86D63584" w:tentative="1">
      <w:start w:val="1"/>
      <w:numFmt w:val="bullet"/>
      <w:lvlText w:val=""/>
      <w:lvlJc w:val="left"/>
      <w:pPr>
        <w:tabs>
          <w:tab w:val="num" w:pos="2160"/>
        </w:tabs>
        <w:ind w:left="2160" w:hanging="360"/>
      </w:pPr>
      <w:rPr>
        <w:rFonts w:ascii="Wingdings" w:hAnsi="Wingdings" w:hint="default"/>
      </w:rPr>
    </w:lvl>
    <w:lvl w:ilvl="3" w:tplc="7D500D5A" w:tentative="1">
      <w:start w:val="1"/>
      <w:numFmt w:val="bullet"/>
      <w:lvlText w:val=""/>
      <w:lvlJc w:val="left"/>
      <w:pPr>
        <w:tabs>
          <w:tab w:val="num" w:pos="2880"/>
        </w:tabs>
        <w:ind w:left="2880" w:hanging="360"/>
      </w:pPr>
      <w:rPr>
        <w:rFonts w:ascii="Wingdings" w:hAnsi="Wingdings" w:hint="default"/>
      </w:rPr>
    </w:lvl>
    <w:lvl w:ilvl="4" w:tplc="ADC4AA6C" w:tentative="1">
      <w:start w:val="1"/>
      <w:numFmt w:val="bullet"/>
      <w:lvlText w:val=""/>
      <w:lvlJc w:val="left"/>
      <w:pPr>
        <w:tabs>
          <w:tab w:val="num" w:pos="3600"/>
        </w:tabs>
        <w:ind w:left="3600" w:hanging="360"/>
      </w:pPr>
      <w:rPr>
        <w:rFonts w:ascii="Wingdings" w:hAnsi="Wingdings" w:hint="default"/>
      </w:rPr>
    </w:lvl>
    <w:lvl w:ilvl="5" w:tplc="70ACFD72" w:tentative="1">
      <w:start w:val="1"/>
      <w:numFmt w:val="bullet"/>
      <w:lvlText w:val=""/>
      <w:lvlJc w:val="left"/>
      <w:pPr>
        <w:tabs>
          <w:tab w:val="num" w:pos="4320"/>
        </w:tabs>
        <w:ind w:left="4320" w:hanging="360"/>
      </w:pPr>
      <w:rPr>
        <w:rFonts w:ascii="Wingdings" w:hAnsi="Wingdings" w:hint="default"/>
      </w:rPr>
    </w:lvl>
    <w:lvl w:ilvl="6" w:tplc="B13CD7A2" w:tentative="1">
      <w:start w:val="1"/>
      <w:numFmt w:val="bullet"/>
      <w:lvlText w:val=""/>
      <w:lvlJc w:val="left"/>
      <w:pPr>
        <w:tabs>
          <w:tab w:val="num" w:pos="5040"/>
        </w:tabs>
        <w:ind w:left="5040" w:hanging="360"/>
      </w:pPr>
      <w:rPr>
        <w:rFonts w:ascii="Wingdings" w:hAnsi="Wingdings" w:hint="default"/>
      </w:rPr>
    </w:lvl>
    <w:lvl w:ilvl="7" w:tplc="0144D680" w:tentative="1">
      <w:start w:val="1"/>
      <w:numFmt w:val="bullet"/>
      <w:lvlText w:val=""/>
      <w:lvlJc w:val="left"/>
      <w:pPr>
        <w:tabs>
          <w:tab w:val="num" w:pos="5760"/>
        </w:tabs>
        <w:ind w:left="5760" w:hanging="360"/>
      </w:pPr>
      <w:rPr>
        <w:rFonts w:ascii="Wingdings" w:hAnsi="Wingdings" w:hint="default"/>
      </w:rPr>
    </w:lvl>
    <w:lvl w:ilvl="8" w:tplc="8E12E92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543AB"/>
    <w:multiLevelType w:val="hybridMultilevel"/>
    <w:tmpl w:val="6C92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303FA"/>
    <w:multiLevelType w:val="hybridMultilevel"/>
    <w:tmpl w:val="2E562054"/>
    <w:lvl w:ilvl="0" w:tplc="3B20CA0C">
      <w:start w:val="1"/>
      <w:numFmt w:val="decimal"/>
      <w:lvlText w:val="%1."/>
      <w:lvlJc w:val="left"/>
      <w:pPr>
        <w:ind w:left="720" w:hanging="360"/>
      </w:pPr>
      <w:rPr>
        <w:rFonts w:hint="default"/>
        <w:color w:val="auto"/>
      </w:rPr>
    </w:lvl>
    <w:lvl w:ilvl="1" w:tplc="B374F7F2" w:tentative="1">
      <w:start w:val="1"/>
      <w:numFmt w:val="lowerLetter"/>
      <w:lvlText w:val="%2."/>
      <w:lvlJc w:val="left"/>
      <w:pPr>
        <w:ind w:left="1440" w:hanging="360"/>
      </w:pPr>
    </w:lvl>
    <w:lvl w:ilvl="2" w:tplc="C14E4708" w:tentative="1">
      <w:start w:val="1"/>
      <w:numFmt w:val="lowerRoman"/>
      <w:lvlText w:val="%3."/>
      <w:lvlJc w:val="right"/>
      <w:pPr>
        <w:ind w:left="2160" w:hanging="180"/>
      </w:pPr>
    </w:lvl>
    <w:lvl w:ilvl="3" w:tplc="78A49BC8" w:tentative="1">
      <w:start w:val="1"/>
      <w:numFmt w:val="decimal"/>
      <w:lvlText w:val="%4."/>
      <w:lvlJc w:val="left"/>
      <w:pPr>
        <w:ind w:left="2880" w:hanging="360"/>
      </w:pPr>
    </w:lvl>
    <w:lvl w:ilvl="4" w:tplc="CF38316A" w:tentative="1">
      <w:start w:val="1"/>
      <w:numFmt w:val="lowerLetter"/>
      <w:lvlText w:val="%5."/>
      <w:lvlJc w:val="left"/>
      <w:pPr>
        <w:ind w:left="3600" w:hanging="360"/>
      </w:pPr>
    </w:lvl>
    <w:lvl w:ilvl="5" w:tplc="21E4A48E" w:tentative="1">
      <w:start w:val="1"/>
      <w:numFmt w:val="lowerRoman"/>
      <w:lvlText w:val="%6."/>
      <w:lvlJc w:val="right"/>
      <w:pPr>
        <w:ind w:left="4320" w:hanging="180"/>
      </w:pPr>
    </w:lvl>
    <w:lvl w:ilvl="6" w:tplc="7ABA8E34" w:tentative="1">
      <w:start w:val="1"/>
      <w:numFmt w:val="decimal"/>
      <w:lvlText w:val="%7."/>
      <w:lvlJc w:val="left"/>
      <w:pPr>
        <w:ind w:left="5040" w:hanging="360"/>
      </w:pPr>
    </w:lvl>
    <w:lvl w:ilvl="7" w:tplc="C6180544" w:tentative="1">
      <w:start w:val="1"/>
      <w:numFmt w:val="lowerLetter"/>
      <w:lvlText w:val="%8."/>
      <w:lvlJc w:val="left"/>
      <w:pPr>
        <w:ind w:left="5760" w:hanging="360"/>
      </w:pPr>
    </w:lvl>
    <w:lvl w:ilvl="8" w:tplc="647A2EBC" w:tentative="1">
      <w:start w:val="1"/>
      <w:numFmt w:val="lowerRoman"/>
      <w:lvlText w:val="%9."/>
      <w:lvlJc w:val="right"/>
      <w:pPr>
        <w:ind w:left="6480" w:hanging="180"/>
      </w:pPr>
    </w:lvl>
  </w:abstractNum>
  <w:num w:numId="1">
    <w:abstractNumId w:val="3"/>
  </w:num>
  <w:num w:numId="2">
    <w:abstractNumId w:val="19"/>
  </w:num>
  <w:num w:numId="3">
    <w:abstractNumId w:val="26"/>
  </w:num>
  <w:num w:numId="4">
    <w:abstractNumId w:val="11"/>
  </w:num>
  <w:num w:numId="5">
    <w:abstractNumId w:val="13"/>
  </w:num>
  <w:num w:numId="6">
    <w:abstractNumId w:val="23"/>
  </w:num>
  <w:num w:numId="7">
    <w:abstractNumId w:val="9"/>
  </w:num>
  <w:num w:numId="8">
    <w:abstractNumId w:val="18"/>
  </w:num>
  <w:num w:numId="9">
    <w:abstractNumId w:val="25"/>
  </w:num>
  <w:num w:numId="10">
    <w:abstractNumId w:val="17"/>
  </w:num>
  <w:num w:numId="11">
    <w:abstractNumId w:val="1"/>
  </w:num>
  <w:num w:numId="12">
    <w:abstractNumId w:val="12"/>
  </w:num>
  <w:num w:numId="13">
    <w:abstractNumId w:val="4"/>
  </w:num>
  <w:num w:numId="14">
    <w:abstractNumId w:val="14"/>
  </w:num>
  <w:num w:numId="15">
    <w:abstractNumId w:val="15"/>
  </w:num>
  <w:num w:numId="16">
    <w:abstractNumId w:val="21"/>
  </w:num>
  <w:num w:numId="17">
    <w:abstractNumId w:val="8"/>
  </w:num>
  <w:num w:numId="18">
    <w:abstractNumId w:val="7"/>
  </w:num>
  <w:num w:numId="19">
    <w:abstractNumId w:val="22"/>
  </w:num>
  <w:num w:numId="20">
    <w:abstractNumId w:val="16"/>
  </w:num>
  <w:num w:numId="21">
    <w:abstractNumId w:val="10"/>
  </w:num>
  <w:num w:numId="22">
    <w:abstractNumId w:val="2"/>
  </w:num>
  <w:num w:numId="23">
    <w:abstractNumId w:val="24"/>
  </w:num>
  <w:num w:numId="24">
    <w:abstractNumId w:val="0"/>
  </w:num>
  <w:num w:numId="25">
    <w:abstractNumId w:val="6"/>
  </w:num>
  <w:num w:numId="26">
    <w:abstractNumId w:val="19"/>
  </w:num>
  <w:num w:numId="27">
    <w:abstractNumId w:val="19"/>
  </w:num>
  <w:num w:numId="28">
    <w:abstractNumId w:val="20"/>
  </w:num>
  <w:num w:numId="29">
    <w:abstractNumId w:val="19"/>
  </w:num>
  <w:num w:numId="30">
    <w:abstractNumId w:val="5"/>
  </w:num>
  <w:num w:numId="31">
    <w:abstractNumId w:val="19"/>
  </w:num>
  <w:num w:numId="32">
    <w:abstractNumId w:val="19"/>
  </w:num>
  <w:num w:numId="33">
    <w:abstractNumId w:val="19"/>
  </w:num>
  <w:num w:numId="34">
    <w:abstractNumId w:val="19"/>
  </w:num>
  <w:num w:numId="35">
    <w:abstractNumId w:val="3"/>
  </w:num>
  <w:num w:numId="36">
    <w:abstractNumId w:val="3"/>
  </w:num>
  <w:num w:numId="37">
    <w:abstractNumId w:val="3"/>
  </w:num>
  <w:num w:numId="3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9E"/>
    <w:rsid w:val="00000E6E"/>
    <w:rsid w:val="00005853"/>
    <w:rsid w:val="00010F07"/>
    <w:rsid w:val="000118C4"/>
    <w:rsid w:val="00022CEF"/>
    <w:rsid w:val="0002701C"/>
    <w:rsid w:val="00043580"/>
    <w:rsid w:val="00044861"/>
    <w:rsid w:val="0005473B"/>
    <w:rsid w:val="0007149E"/>
    <w:rsid w:val="00073B38"/>
    <w:rsid w:val="00073CEA"/>
    <w:rsid w:val="000A6535"/>
    <w:rsid w:val="000B6808"/>
    <w:rsid w:val="000B6F30"/>
    <w:rsid w:val="000C188C"/>
    <w:rsid w:val="000E6195"/>
    <w:rsid w:val="00107C01"/>
    <w:rsid w:val="00111CDE"/>
    <w:rsid w:val="00112A53"/>
    <w:rsid w:val="001132F1"/>
    <w:rsid w:val="00117207"/>
    <w:rsid w:val="00144D5D"/>
    <w:rsid w:val="001450D0"/>
    <w:rsid w:val="001459A3"/>
    <w:rsid w:val="001848BA"/>
    <w:rsid w:val="00191DC2"/>
    <w:rsid w:val="00196947"/>
    <w:rsid w:val="001A2BEF"/>
    <w:rsid w:val="001A6C49"/>
    <w:rsid w:val="001B0CDA"/>
    <w:rsid w:val="001C26B8"/>
    <w:rsid w:val="001C6210"/>
    <w:rsid w:val="001D6817"/>
    <w:rsid w:val="001E05F5"/>
    <w:rsid w:val="001E136D"/>
    <w:rsid w:val="001E7D4D"/>
    <w:rsid w:val="001F6489"/>
    <w:rsid w:val="00213925"/>
    <w:rsid w:val="002167B0"/>
    <w:rsid w:val="002515AA"/>
    <w:rsid w:val="00253EC2"/>
    <w:rsid w:val="0025401D"/>
    <w:rsid w:val="002573F0"/>
    <w:rsid w:val="00257714"/>
    <w:rsid w:val="002608D7"/>
    <w:rsid w:val="00263072"/>
    <w:rsid w:val="0026711B"/>
    <w:rsid w:val="002767CE"/>
    <w:rsid w:val="0028187F"/>
    <w:rsid w:val="00287C4F"/>
    <w:rsid w:val="00297A75"/>
    <w:rsid w:val="002A622A"/>
    <w:rsid w:val="002B1748"/>
    <w:rsid w:val="002B3AB1"/>
    <w:rsid w:val="002C52BB"/>
    <w:rsid w:val="002C78DF"/>
    <w:rsid w:val="002D1EAD"/>
    <w:rsid w:val="002D6A7A"/>
    <w:rsid w:val="002E25EB"/>
    <w:rsid w:val="002E2FB8"/>
    <w:rsid w:val="002F3C78"/>
    <w:rsid w:val="0030266A"/>
    <w:rsid w:val="00302D0E"/>
    <w:rsid w:val="00304772"/>
    <w:rsid w:val="00315159"/>
    <w:rsid w:val="003364FE"/>
    <w:rsid w:val="00342EDB"/>
    <w:rsid w:val="00376E9F"/>
    <w:rsid w:val="0038088B"/>
    <w:rsid w:val="00385764"/>
    <w:rsid w:val="00392A9D"/>
    <w:rsid w:val="003B36EC"/>
    <w:rsid w:val="003B6848"/>
    <w:rsid w:val="003C0641"/>
    <w:rsid w:val="003E20B2"/>
    <w:rsid w:val="004200B5"/>
    <w:rsid w:val="004212FC"/>
    <w:rsid w:val="00427A85"/>
    <w:rsid w:val="0043425F"/>
    <w:rsid w:val="0043447D"/>
    <w:rsid w:val="00436ECD"/>
    <w:rsid w:val="00443987"/>
    <w:rsid w:val="00453419"/>
    <w:rsid w:val="0045605A"/>
    <w:rsid w:val="00456810"/>
    <w:rsid w:val="00465FB1"/>
    <w:rsid w:val="004710A6"/>
    <w:rsid w:val="00480370"/>
    <w:rsid w:val="0049243A"/>
    <w:rsid w:val="004A2001"/>
    <w:rsid w:val="004A40DD"/>
    <w:rsid w:val="004B2F23"/>
    <w:rsid w:val="004C7367"/>
    <w:rsid w:val="004D3772"/>
    <w:rsid w:val="004E121A"/>
    <w:rsid w:val="004E2433"/>
    <w:rsid w:val="004F09B3"/>
    <w:rsid w:val="004F0C10"/>
    <w:rsid w:val="004F22A7"/>
    <w:rsid w:val="00516771"/>
    <w:rsid w:val="0052445E"/>
    <w:rsid w:val="00525249"/>
    <w:rsid w:val="00534FAF"/>
    <w:rsid w:val="0054055E"/>
    <w:rsid w:val="00544162"/>
    <w:rsid w:val="0054629A"/>
    <w:rsid w:val="005603B8"/>
    <w:rsid w:val="00566A90"/>
    <w:rsid w:val="00571F2D"/>
    <w:rsid w:val="00574DEC"/>
    <w:rsid w:val="00574F68"/>
    <w:rsid w:val="0058041D"/>
    <w:rsid w:val="00582208"/>
    <w:rsid w:val="00585816"/>
    <w:rsid w:val="00594E7B"/>
    <w:rsid w:val="00595CD3"/>
    <w:rsid w:val="005A608A"/>
    <w:rsid w:val="005B4B91"/>
    <w:rsid w:val="005D4CC2"/>
    <w:rsid w:val="005F75E2"/>
    <w:rsid w:val="006128F7"/>
    <w:rsid w:val="00624B28"/>
    <w:rsid w:val="00631529"/>
    <w:rsid w:val="00635984"/>
    <w:rsid w:val="006541C8"/>
    <w:rsid w:val="00665DAE"/>
    <w:rsid w:val="0066610A"/>
    <w:rsid w:val="00683E09"/>
    <w:rsid w:val="00686033"/>
    <w:rsid w:val="006915DD"/>
    <w:rsid w:val="006A2CB7"/>
    <w:rsid w:val="006A2D31"/>
    <w:rsid w:val="006A749C"/>
    <w:rsid w:val="006B0C5B"/>
    <w:rsid w:val="006B2D09"/>
    <w:rsid w:val="006D564C"/>
    <w:rsid w:val="006E1270"/>
    <w:rsid w:val="006F1DD2"/>
    <w:rsid w:val="00704D50"/>
    <w:rsid w:val="00716773"/>
    <w:rsid w:val="00752183"/>
    <w:rsid w:val="007527E3"/>
    <w:rsid w:val="007574F9"/>
    <w:rsid w:val="007741D9"/>
    <w:rsid w:val="007756D3"/>
    <w:rsid w:val="007836E7"/>
    <w:rsid w:val="00796146"/>
    <w:rsid w:val="007A1123"/>
    <w:rsid w:val="007A5A8D"/>
    <w:rsid w:val="007B1086"/>
    <w:rsid w:val="008031FE"/>
    <w:rsid w:val="008165D3"/>
    <w:rsid w:val="008248BE"/>
    <w:rsid w:val="00832A70"/>
    <w:rsid w:val="008339D7"/>
    <w:rsid w:val="008375A0"/>
    <w:rsid w:val="008429F4"/>
    <w:rsid w:val="00857360"/>
    <w:rsid w:val="00862FE9"/>
    <w:rsid w:val="00867537"/>
    <w:rsid w:val="00873D04"/>
    <w:rsid w:val="00877210"/>
    <w:rsid w:val="008C3812"/>
    <w:rsid w:val="008F30C8"/>
    <w:rsid w:val="00902AC6"/>
    <w:rsid w:val="009107DE"/>
    <w:rsid w:val="00921B80"/>
    <w:rsid w:val="009274E9"/>
    <w:rsid w:val="00946317"/>
    <w:rsid w:val="00960BCB"/>
    <w:rsid w:val="009627B6"/>
    <w:rsid w:val="00974749"/>
    <w:rsid w:val="00977E4F"/>
    <w:rsid w:val="009801BD"/>
    <w:rsid w:val="009815ED"/>
    <w:rsid w:val="00983130"/>
    <w:rsid w:val="0098552C"/>
    <w:rsid w:val="009908F0"/>
    <w:rsid w:val="00994426"/>
    <w:rsid w:val="009945B0"/>
    <w:rsid w:val="009975C1"/>
    <w:rsid w:val="009A75A3"/>
    <w:rsid w:val="009B1804"/>
    <w:rsid w:val="009C072E"/>
    <w:rsid w:val="009C298C"/>
    <w:rsid w:val="009D0C90"/>
    <w:rsid w:val="009D0F07"/>
    <w:rsid w:val="009D1FCF"/>
    <w:rsid w:val="009D2E0B"/>
    <w:rsid w:val="009D6B1C"/>
    <w:rsid w:val="009D77FB"/>
    <w:rsid w:val="009E2E7E"/>
    <w:rsid w:val="009E5BB6"/>
    <w:rsid w:val="009E7571"/>
    <w:rsid w:val="009F7103"/>
    <w:rsid w:val="009F790A"/>
    <w:rsid w:val="00A114E1"/>
    <w:rsid w:val="00A133F1"/>
    <w:rsid w:val="00A1514C"/>
    <w:rsid w:val="00A347FA"/>
    <w:rsid w:val="00A3784A"/>
    <w:rsid w:val="00A6210C"/>
    <w:rsid w:val="00A73C32"/>
    <w:rsid w:val="00A76F54"/>
    <w:rsid w:val="00A76FBB"/>
    <w:rsid w:val="00A83D3D"/>
    <w:rsid w:val="00A84040"/>
    <w:rsid w:val="00A84ED4"/>
    <w:rsid w:val="00AA36A7"/>
    <w:rsid w:val="00AC7AD3"/>
    <w:rsid w:val="00AF2D16"/>
    <w:rsid w:val="00B1044D"/>
    <w:rsid w:val="00B2096A"/>
    <w:rsid w:val="00B311DF"/>
    <w:rsid w:val="00B365BE"/>
    <w:rsid w:val="00B45824"/>
    <w:rsid w:val="00B5013B"/>
    <w:rsid w:val="00B50F03"/>
    <w:rsid w:val="00B51C09"/>
    <w:rsid w:val="00B53470"/>
    <w:rsid w:val="00B62E25"/>
    <w:rsid w:val="00B840AD"/>
    <w:rsid w:val="00B93B17"/>
    <w:rsid w:val="00BA49A0"/>
    <w:rsid w:val="00BC2F5E"/>
    <w:rsid w:val="00BF335C"/>
    <w:rsid w:val="00C01D7E"/>
    <w:rsid w:val="00C1002F"/>
    <w:rsid w:val="00C21524"/>
    <w:rsid w:val="00C27726"/>
    <w:rsid w:val="00C32010"/>
    <w:rsid w:val="00C45420"/>
    <w:rsid w:val="00C5594C"/>
    <w:rsid w:val="00C74BCC"/>
    <w:rsid w:val="00C74D28"/>
    <w:rsid w:val="00C76B3C"/>
    <w:rsid w:val="00C8143F"/>
    <w:rsid w:val="00C870DE"/>
    <w:rsid w:val="00C91FCF"/>
    <w:rsid w:val="00C93C84"/>
    <w:rsid w:val="00C97BAF"/>
    <w:rsid w:val="00CA7E42"/>
    <w:rsid w:val="00CB3AEB"/>
    <w:rsid w:val="00CC5E42"/>
    <w:rsid w:val="00CC6C7C"/>
    <w:rsid w:val="00CD7AA9"/>
    <w:rsid w:val="00CE01E6"/>
    <w:rsid w:val="00CE3899"/>
    <w:rsid w:val="00CE67A4"/>
    <w:rsid w:val="00CF3EC7"/>
    <w:rsid w:val="00D028B8"/>
    <w:rsid w:val="00D039DE"/>
    <w:rsid w:val="00D13658"/>
    <w:rsid w:val="00D136F2"/>
    <w:rsid w:val="00D17603"/>
    <w:rsid w:val="00D17D3B"/>
    <w:rsid w:val="00D331D1"/>
    <w:rsid w:val="00D33FE3"/>
    <w:rsid w:val="00D41BCB"/>
    <w:rsid w:val="00D44DB9"/>
    <w:rsid w:val="00D46237"/>
    <w:rsid w:val="00D46E3A"/>
    <w:rsid w:val="00D51502"/>
    <w:rsid w:val="00D74ABA"/>
    <w:rsid w:val="00D8189D"/>
    <w:rsid w:val="00D82A6F"/>
    <w:rsid w:val="00DB5021"/>
    <w:rsid w:val="00DB7AAE"/>
    <w:rsid w:val="00DD0DE7"/>
    <w:rsid w:val="00DD3F51"/>
    <w:rsid w:val="00DD6B71"/>
    <w:rsid w:val="00DE34D1"/>
    <w:rsid w:val="00DE70D0"/>
    <w:rsid w:val="00DF6557"/>
    <w:rsid w:val="00DF76FB"/>
    <w:rsid w:val="00E03D77"/>
    <w:rsid w:val="00E113B9"/>
    <w:rsid w:val="00E20967"/>
    <w:rsid w:val="00E26965"/>
    <w:rsid w:val="00E3532B"/>
    <w:rsid w:val="00E356FE"/>
    <w:rsid w:val="00E35976"/>
    <w:rsid w:val="00E36987"/>
    <w:rsid w:val="00E46111"/>
    <w:rsid w:val="00E536C8"/>
    <w:rsid w:val="00E64934"/>
    <w:rsid w:val="00E65863"/>
    <w:rsid w:val="00E7613F"/>
    <w:rsid w:val="00E762A9"/>
    <w:rsid w:val="00E842D5"/>
    <w:rsid w:val="00E902AA"/>
    <w:rsid w:val="00EA01F1"/>
    <w:rsid w:val="00EA3A66"/>
    <w:rsid w:val="00EB3EE3"/>
    <w:rsid w:val="00EB59F2"/>
    <w:rsid w:val="00EB77BF"/>
    <w:rsid w:val="00EC2102"/>
    <w:rsid w:val="00EC2E0D"/>
    <w:rsid w:val="00EF353C"/>
    <w:rsid w:val="00F06FF4"/>
    <w:rsid w:val="00F16ADC"/>
    <w:rsid w:val="00F255FA"/>
    <w:rsid w:val="00F47F21"/>
    <w:rsid w:val="00F716BC"/>
    <w:rsid w:val="00F73D1E"/>
    <w:rsid w:val="00F769BC"/>
    <w:rsid w:val="00F83421"/>
    <w:rsid w:val="00F9542F"/>
    <w:rsid w:val="00FA1917"/>
    <w:rsid w:val="00FA2A0E"/>
    <w:rsid w:val="00FB09C5"/>
    <w:rsid w:val="00FB7CAD"/>
    <w:rsid w:val="00FC2823"/>
    <w:rsid w:val="00FC2AED"/>
    <w:rsid w:val="00FC6E14"/>
    <w:rsid w:val="00FE0151"/>
    <w:rsid w:val="00FE1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FB06"/>
  <w15:docId w15:val="{49E19C13-B531-4E0C-B51F-277299EB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84A"/>
    <w:pPr>
      <w:spacing w:after="120" w:line="288" w:lineRule="auto"/>
    </w:pPr>
    <w:rPr>
      <w:sz w:val="20"/>
      <w:lang w:eastAsia="en-US"/>
    </w:rPr>
  </w:style>
  <w:style w:type="paragraph" w:styleId="Heading1">
    <w:name w:val="heading 1"/>
    <w:basedOn w:val="Normal"/>
    <w:next w:val="Normal"/>
    <w:link w:val="Heading1Char"/>
    <w:qFormat/>
    <w:rsid w:val="00443987"/>
    <w:pPr>
      <w:keepNext/>
      <w:keepLines/>
      <w:pageBreakBefore/>
      <w:numPr>
        <w:numId w:val="1"/>
      </w:numPr>
      <w:spacing w:before="720" w:after="240"/>
      <w:outlineLvl w:val="0"/>
    </w:pPr>
    <w:rPr>
      <w:rFonts w:eastAsiaTheme="majorEastAsia" w:cs="Arial"/>
      <w:bCs/>
      <w:color w:val="007377"/>
      <w:sz w:val="36"/>
      <w:szCs w:val="36"/>
    </w:rPr>
  </w:style>
  <w:style w:type="paragraph" w:styleId="Heading2">
    <w:name w:val="heading 2"/>
    <w:basedOn w:val="Heading1"/>
    <w:next w:val="Normal"/>
    <w:link w:val="Heading2Char"/>
    <w:uiPriority w:val="9"/>
    <w:unhideWhenUsed/>
    <w:qFormat/>
    <w:rsid w:val="00DE70D0"/>
    <w:pPr>
      <w:pageBreakBefore w:val="0"/>
      <w:numPr>
        <w:ilvl w:val="1"/>
      </w:numPr>
      <w:tabs>
        <w:tab w:val="clear" w:pos="1134"/>
      </w:tabs>
      <w:spacing w:before="240" w:after="120"/>
      <w:ind w:left="567" w:hanging="567"/>
      <w:outlineLvl w:val="1"/>
    </w:pPr>
    <w:rPr>
      <w:b/>
      <w:bCs w:val="0"/>
      <w:sz w:val="20"/>
      <w:szCs w:val="22"/>
    </w:rPr>
  </w:style>
  <w:style w:type="paragraph" w:styleId="Heading3">
    <w:name w:val="heading 3"/>
    <w:aliases w:val="Mi,Minor,Headline"/>
    <w:basedOn w:val="Heading2"/>
    <w:next w:val="Normal"/>
    <w:link w:val="Heading3Char"/>
    <w:unhideWhenUsed/>
    <w:qFormat/>
    <w:rsid w:val="00443987"/>
    <w:pPr>
      <w:numPr>
        <w:ilvl w:val="2"/>
      </w:numPr>
      <w:outlineLvl w:val="2"/>
    </w:pPr>
    <w:rPr>
      <w:b w:val="0"/>
    </w:rPr>
  </w:style>
  <w:style w:type="paragraph" w:styleId="Heading4">
    <w:name w:val="heading 4"/>
    <w:basedOn w:val="Normal"/>
    <w:next w:val="Normal"/>
    <w:link w:val="Heading4Char"/>
    <w:qFormat/>
    <w:rsid w:val="00443987"/>
    <w:pPr>
      <w:keepNext/>
      <w:keepLines/>
      <w:numPr>
        <w:ilvl w:val="3"/>
        <w:numId w:val="1"/>
      </w:numPr>
      <w:spacing w:before="240" w:after="240"/>
      <w:outlineLvl w:val="3"/>
    </w:pPr>
    <w:rPr>
      <w:rFonts w:cstheme="majorBidi"/>
      <w:iCs/>
      <w:color w:val="00C996"/>
    </w:rPr>
  </w:style>
  <w:style w:type="paragraph" w:styleId="Heading5">
    <w:name w:val="heading 5"/>
    <w:basedOn w:val="Normal"/>
    <w:next w:val="Normal"/>
    <w:link w:val="Heading5Char"/>
    <w:semiHidden/>
    <w:unhideWhenUsed/>
    <w:qFormat/>
    <w:rsid w:val="00443987"/>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443987"/>
    <w:pPr>
      <w:keepNext/>
      <w:spacing w:after="0"/>
      <w:outlineLvl w:val="8"/>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987"/>
    <w:rPr>
      <w:rFonts w:eastAsiaTheme="majorEastAsia" w:cs="Arial"/>
      <w:bCs/>
      <w:color w:val="007377"/>
      <w:sz w:val="36"/>
      <w:szCs w:val="36"/>
      <w:lang w:eastAsia="en-US"/>
    </w:rPr>
  </w:style>
  <w:style w:type="character" w:customStyle="1" w:styleId="Heading2Char">
    <w:name w:val="Heading 2 Char"/>
    <w:basedOn w:val="DefaultParagraphFont"/>
    <w:link w:val="Heading2"/>
    <w:uiPriority w:val="9"/>
    <w:rsid w:val="00DE70D0"/>
    <w:rPr>
      <w:rFonts w:eastAsiaTheme="majorEastAsia" w:cs="Arial"/>
      <w:b/>
      <w:color w:val="007377"/>
      <w:sz w:val="20"/>
      <w:lang w:eastAsia="en-US"/>
    </w:rPr>
  </w:style>
  <w:style w:type="character" w:customStyle="1" w:styleId="Heading3Char">
    <w:name w:val="Heading 3 Char"/>
    <w:aliases w:val="Mi Char,Minor Char,Headline Char"/>
    <w:basedOn w:val="DefaultParagraphFont"/>
    <w:link w:val="Heading3"/>
    <w:rsid w:val="00443987"/>
    <w:rPr>
      <w:rFonts w:eastAsiaTheme="majorEastAsia" w:cs="Arial"/>
      <w:color w:val="007377"/>
      <w:sz w:val="20"/>
      <w:lang w:eastAsia="en-US"/>
    </w:rPr>
  </w:style>
  <w:style w:type="character" w:customStyle="1" w:styleId="Heading4Char">
    <w:name w:val="Heading 4 Char"/>
    <w:basedOn w:val="DefaultParagraphFont"/>
    <w:link w:val="Heading4"/>
    <w:rsid w:val="00443987"/>
    <w:rPr>
      <w:rFonts w:cstheme="majorBidi"/>
      <w:iCs/>
      <w:color w:val="00C996"/>
      <w:sz w:val="20"/>
      <w:lang w:eastAsia="en-US"/>
    </w:rPr>
  </w:style>
  <w:style w:type="character" w:customStyle="1" w:styleId="Heading5Char">
    <w:name w:val="Heading 5 Char"/>
    <w:basedOn w:val="DefaultParagraphFont"/>
    <w:link w:val="Heading5"/>
    <w:semiHidden/>
    <w:rsid w:val="00443987"/>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rsid w:val="00443987"/>
    <w:rPr>
      <w:rFonts w:cs="Arial"/>
      <w:b/>
      <w:sz w:val="20"/>
      <w:szCs w:val="20"/>
      <w:lang w:eastAsia="en-US"/>
    </w:rPr>
  </w:style>
  <w:style w:type="paragraph" w:styleId="TOC1">
    <w:name w:val="toc 1"/>
    <w:basedOn w:val="Normal"/>
    <w:next w:val="Normal"/>
    <w:uiPriority w:val="39"/>
    <w:qFormat/>
    <w:rsid w:val="00443987"/>
    <w:pPr>
      <w:suppressAutoHyphens/>
      <w:autoSpaceDN w:val="0"/>
      <w:spacing w:before="120" w:after="200" w:line="276" w:lineRule="auto"/>
      <w:ind w:left="567" w:hanging="567"/>
      <w:textAlignment w:val="baseline"/>
    </w:pPr>
    <w:rPr>
      <w:rFonts w:ascii="Calibri" w:hAnsi="Calibri"/>
      <w:b/>
      <w:caps/>
      <w:sz w:val="22"/>
    </w:rPr>
  </w:style>
  <w:style w:type="paragraph" w:styleId="TOC2">
    <w:name w:val="toc 2"/>
    <w:basedOn w:val="Normal"/>
    <w:next w:val="Normal"/>
    <w:autoRedefine/>
    <w:uiPriority w:val="39"/>
    <w:unhideWhenUsed/>
    <w:qFormat/>
    <w:rsid w:val="00443987"/>
    <w:pPr>
      <w:spacing w:after="100"/>
      <w:ind w:left="200"/>
    </w:pPr>
  </w:style>
  <w:style w:type="paragraph" w:styleId="TOC3">
    <w:name w:val="toc 3"/>
    <w:basedOn w:val="Normal"/>
    <w:next w:val="Normal"/>
    <w:autoRedefine/>
    <w:uiPriority w:val="39"/>
    <w:unhideWhenUsed/>
    <w:qFormat/>
    <w:rsid w:val="00443987"/>
    <w:pPr>
      <w:spacing w:after="100" w:line="276" w:lineRule="auto"/>
      <w:ind w:left="440"/>
    </w:pPr>
    <w:rPr>
      <w:rFonts w:asciiTheme="minorHAnsi" w:eastAsiaTheme="minorEastAsia" w:hAnsiTheme="minorHAnsi" w:cstheme="minorBidi"/>
      <w:sz w:val="22"/>
      <w:lang w:val="en-US"/>
    </w:rPr>
  </w:style>
  <w:style w:type="paragraph" w:styleId="Title">
    <w:name w:val="Title"/>
    <w:basedOn w:val="Normal"/>
    <w:next w:val="Normal"/>
    <w:link w:val="TitleChar"/>
    <w:qFormat/>
    <w:rsid w:val="00443987"/>
    <w:pPr>
      <w:contextualSpacing/>
    </w:pPr>
    <w:rPr>
      <w:rFonts w:eastAsiaTheme="majorEastAsia" w:cs="Arial"/>
      <w:color w:val="007377"/>
      <w:spacing w:val="-10"/>
      <w:kern w:val="28"/>
      <w:sz w:val="56"/>
      <w:szCs w:val="56"/>
    </w:rPr>
  </w:style>
  <w:style w:type="character" w:customStyle="1" w:styleId="TitleChar">
    <w:name w:val="Title Char"/>
    <w:basedOn w:val="DefaultParagraphFont"/>
    <w:link w:val="Title"/>
    <w:rsid w:val="00443987"/>
    <w:rPr>
      <w:rFonts w:eastAsiaTheme="majorEastAsia" w:cs="Arial"/>
      <w:color w:val="007377"/>
      <w:spacing w:val="-10"/>
      <w:kern w:val="28"/>
      <w:sz w:val="56"/>
      <w:szCs w:val="56"/>
    </w:rPr>
  </w:style>
  <w:style w:type="paragraph" w:styleId="Subtitle">
    <w:name w:val="Subtitle"/>
    <w:basedOn w:val="Normal"/>
    <w:next w:val="Normal"/>
    <w:link w:val="SubtitleChar"/>
    <w:qFormat/>
    <w:rsid w:val="00443987"/>
    <w:pPr>
      <w:numPr>
        <w:ilvl w:val="1"/>
      </w:numPr>
      <w:spacing w:after="160"/>
    </w:pPr>
    <w:rPr>
      <w:rFonts w:eastAsiaTheme="minorEastAsia" w:cs="Arial"/>
      <w:color w:val="007377"/>
    </w:rPr>
  </w:style>
  <w:style w:type="character" w:customStyle="1" w:styleId="SubtitleChar">
    <w:name w:val="Subtitle Char"/>
    <w:basedOn w:val="DefaultParagraphFont"/>
    <w:link w:val="Subtitle"/>
    <w:rsid w:val="00443987"/>
    <w:rPr>
      <w:rFonts w:eastAsiaTheme="minorEastAsia" w:cs="Arial"/>
      <w:color w:val="007377"/>
      <w:sz w:val="20"/>
    </w:rPr>
  </w:style>
  <w:style w:type="character" w:styleId="Strong">
    <w:name w:val="Strong"/>
    <w:basedOn w:val="DefaultParagraphFont"/>
    <w:uiPriority w:val="22"/>
    <w:qFormat/>
    <w:rsid w:val="00443987"/>
    <w:rPr>
      <w:rFonts w:ascii="Arial" w:hAnsi="Arial"/>
      <w:b/>
      <w:bCs/>
      <w:sz w:val="22"/>
    </w:rPr>
  </w:style>
  <w:style w:type="paragraph" w:styleId="NoSpacing">
    <w:name w:val="No Spacing"/>
    <w:link w:val="NoSpacingChar"/>
    <w:uiPriority w:val="1"/>
    <w:qFormat/>
    <w:rsid w:val="00443987"/>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443987"/>
    <w:rPr>
      <w:rFonts w:asciiTheme="minorHAnsi" w:eastAsiaTheme="minorEastAsia" w:hAnsiTheme="minorHAnsi" w:cstheme="minorBidi"/>
      <w:lang w:val="en-US" w:eastAsia="en-US"/>
    </w:rPr>
  </w:style>
  <w:style w:type="paragraph" w:styleId="ListParagraph">
    <w:name w:val="List Paragraph"/>
    <w:aliases w:val="bullets"/>
    <w:basedOn w:val="Normal"/>
    <w:uiPriority w:val="34"/>
    <w:qFormat/>
    <w:rsid w:val="00443987"/>
    <w:pPr>
      <w:numPr>
        <w:numId w:val="2"/>
      </w:numPr>
      <w:spacing w:after="200"/>
    </w:pPr>
    <w:rPr>
      <w:rFonts w:eastAsiaTheme="minorHAnsi" w:cs="Arial"/>
    </w:rPr>
  </w:style>
  <w:style w:type="paragraph" w:styleId="TOCHeading">
    <w:name w:val="TOC Heading"/>
    <w:basedOn w:val="Heading1"/>
    <w:next w:val="Normal"/>
    <w:uiPriority w:val="39"/>
    <w:semiHidden/>
    <w:unhideWhenUsed/>
    <w:qFormat/>
    <w:rsid w:val="00443987"/>
    <w:pPr>
      <w:pageBreakBefore w:val="0"/>
      <w:numPr>
        <w:numId w:val="0"/>
      </w:numPr>
      <w:spacing w:before="480" w:after="0" w:line="276" w:lineRule="auto"/>
      <w:outlineLvl w:val="9"/>
    </w:pPr>
    <w:rPr>
      <w:rFonts w:asciiTheme="majorHAnsi" w:hAnsiTheme="majorHAnsi" w:cstheme="majorBidi"/>
      <w:b/>
      <w:color w:val="365F91" w:themeColor="accent1" w:themeShade="BF"/>
      <w:sz w:val="28"/>
      <w:szCs w:val="28"/>
      <w:lang w:val="en-US"/>
    </w:rPr>
  </w:style>
  <w:style w:type="paragraph" w:customStyle="1" w:styleId="Advice">
    <w:name w:val="Advice"/>
    <w:basedOn w:val="Normal"/>
    <w:qFormat/>
    <w:rsid w:val="00443987"/>
    <w:rPr>
      <w:rFonts w:eastAsiaTheme="minorHAnsi" w:cs="Arial"/>
      <w:color w:val="007377"/>
    </w:rPr>
  </w:style>
  <w:style w:type="paragraph" w:customStyle="1" w:styleId="TableHeading">
    <w:name w:val="Table Heading"/>
    <w:basedOn w:val="Normal"/>
    <w:qFormat/>
    <w:rsid w:val="00443987"/>
    <w:pPr>
      <w:suppressAutoHyphens/>
      <w:autoSpaceDN w:val="0"/>
      <w:spacing w:before="40" w:after="40" w:line="276" w:lineRule="auto"/>
      <w:jc w:val="center"/>
      <w:textAlignment w:val="baseline"/>
    </w:pPr>
    <w:rPr>
      <w:b/>
    </w:rPr>
  </w:style>
  <w:style w:type="paragraph" w:customStyle="1" w:styleId="Tableheader">
    <w:name w:val="Table header"/>
    <w:basedOn w:val="TableHeading"/>
    <w:qFormat/>
    <w:rsid w:val="00443987"/>
    <w:pPr>
      <w:keepNext/>
      <w:tabs>
        <w:tab w:val="num" w:pos="644"/>
      </w:tabs>
      <w:ind w:left="1134" w:hanging="1134"/>
      <w:jc w:val="left"/>
    </w:pPr>
  </w:style>
  <w:style w:type="table" w:styleId="TableGrid">
    <w:name w:val="Table Grid"/>
    <w:basedOn w:val="TableNormal"/>
    <w:uiPriority w:val="59"/>
    <w:rsid w:val="00071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link w:val="TableTextChar"/>
    <w:autoRedefine/>
    <w:qFormat/>
    <w:rsid w:val="00A347FA"/>
    <w:pPr>
      <w:spacing w:before="20" w:after="20"/>
    </w:pPr>
    <w:rPr>
      <w:rFonts w:asciiTheme="minorHAnsi" w:hAnsiTheme="minorHAnsi"/>
      <w:color w:val="000000"/>
      <w:sz w:val="18"/>
      <w:szCs w:val="18"/>
    </w:rPr>
  </w:style>
  <w:style w:type="character" w:customStyle="1" w:styleId="TableTextChar">
    <w:name w:val="Table Text Char"/>
    <w:basedOn w:val="DefaultParagraphFont"/>
    <w:link w:val="TableText"/>
    <w:rsid w:val="00A347FA"/>
    <w:rPr>
      <w:rFonts w:asciiTheme="minorHAnsi" w:hAnsiTheme="minorHAnsi"/>
      <w:color w:val="000000"/>
      <w:sz w:val="18"/>
      <w:szCs w:val="18"/>
      <w:lang w:eastAsia="en-US"/>
    </w:rPr>
  </w:style>
  <w:style w:type="paragraph" w:styleId="BalloonText">
    <w:name w:val="Balloon Text"/>
    <w:basedOn w:val="Normal"/>
    <w:link w:val="BalloonTextChar"/>
    <w:uiPriority w:val="99"/>
    <w:semiHidden/>
    <w:unhideWhenUsed/>
    <w:rsid w:val="00FB7C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AD"/>
    <w:rPr>
      <w:rFonts w:ascii="Tahoma" w:hAnsi="Tahoma" w:cs="Tahoma"/>
      <w:sz w:val="16"/>
      <w:szCs w:val="16"/>
    </w:rPr>
  </w:style>
  <w:style w:type="character" w:styleId="CommentReference">
    <w:name w:val="annotation reference"/>
    <w:basedOn w:val="DefaultParagraphFont"/>
    <w:uiPriority w:val="99"/>
    <w:semiHidden/>
    <w:unhideWhenUsed/>
    <w:rsid w:val="00A73C32"/>
    <w:rPr>
      <w:sz w:val="16"/>
      <w:szCs w:val="16"/>
    </w:rPr>
  </w:style>
  <w:style w:type="paragraph" w:styleId="CommentText">
    <w:name w:val="annotation text"/>
    <w:basedOn w:val="Normal"/>
    <w:link w:val="CommentTextChar"/>
    <w:uiPriority w:val="99"/>
    <w:unhideWhenUsed/>
    <w:rsid w:val="00A73C32"/>
    <w:rPr>
      <w:szCs w:val="20"/>
    </w:rPr>
  </w:style>
  <w:style w:type="character" w:customStyle="1" w:styleId="CommentTextChar">
    <w:name w:val="Comment Text Char"/>
    <w:basedOn w:val="DefaultParagraphFont"/>
    <w:link w:val="CommentText"/>
    <w:uiPriority w:val="99"/>
    <w:rsid w:val="00A73C32"/>
    <w:rPr>
      <w:sz w:val="20"/>
      <w:szCs w:val="20"/>
    </w:rPr>
  </w:style>
  <w:style w:type="paragraph" w:styleId="CommentSubject">
    <w:name w:val="annotation subject"/>
    <w:basedOn w:val="CommentText"/>
    <w:next w:val="CommentText"/>
    <w:link w:val="CommentSubjectChar"/>
    <w:uiPriority w:val="99"/>
    <w:semiHidden/>
    <w:unhideWhenUsed/>
    <w:rsid w:val="00A73C32"/>
    <w:rPr>
      <w:b/>
      <w:bCs/>
    </w:rPr>
  </w:style>
  <w:style w:type="character" w:customStyle="1" w:styleId="CommentSubjectChar">
    <w:name w:val="Comment Subject Char"/>
    <w:basedOn w:val="CommentTextChar"/>
    <w:link w:val="CommentSubject"/>
    <w:uiPriority w:val="99"/>
    <w:semiHidden/>
    <w:rsid w:val="00A73C32"/>
    <w:rPr>
      <w:b/>
      <w:bCs/>
      <w:sz w:val="20"/>
      <w:szCs w:val="20"/>
    </w:rPr>
  </w:style>
  <w:style w:type="paragraph" w:styleId="FootnoteText">
    <w:name w:val="footnote text"/>
    <w:basedOn w:val="Normal"/>
    <w:link w:val="FootnoteTextChar"/>
    <w:uiPriority w:val="99"/>
    <w:unhideWhenUsed/>
    <w:rsid w:val="004A40DD"/>
    <w:pPr>
      <w:spacing w:after="0"/>
    </w:pPr>
    <w:rPr>
      <w:szCs w:val="20"/>
    </w:rPr>
  </w:style>
  <w:style w:type="character" w:customStyle="1" w:styleId="FootnoteTextChar">
    <w:name w:val="Footnote Text Char"/>
    <w:basedOn w:val="DefaultParagraphFont"/>
    <w:link w:val="FootnoteText"/>
    <w:uiPriority w:val="99"/>
    <w:rsid w:val="004A40DD"/>
    <w:rPr>
      <w:sz w:val="20"/>
      <w:szCs w:val="20"/>
    </w:rPr>
  </w:style>
  <w:style w:type="character" w:styleId="FootnoteReference">
    <w:name w:val="footnote reference"/>
    <w:basedOn w:val="DefaultParagraphFont"/>
    <w:uiPriority w:val="99"/>
    <w:semiHidden/>
    <w:unhideWhenUsed/>
    <w:rsid w:val="004A40DD"/>
    <w:rPr>
      <w:vertAlign w:val="superscript"/>
    </w:rPr>
  </w:style>
  <w:style w:type="character" w:styleId="Hyperlink">
    <w:name w:val="Hyperlink"/>
    <w:basedOn w:val="DefaultParagraphFont"/>
    <w:uiPriority w:val="99"/>
    <w:unhideWhenUsed/>
    <w:rsid w:val="004A40DD"/>
    <w:rPr>
      <w:color w:val="0000FF" w:themeColor="hyperlink"/>
      <w:u w:val="single"/>
    </w:rPr>
  </w:style>
  <w:style w:type="paragraph" w:customStyle="1" w:styleId="hendeca">
    <w:name w:val="hendeca"/>
    <w:basedOn w:val="Normal"/>
    <w:link w:val="hendecaChar"/>
    <w:qFormat/>
    <w:rsid w:val="006F1DD2"/>
    <w:pPr>
      <w:spacing w:line="264" w:lineRule="auto"/>
      <w:ind w:left="720" w:hanging="720"/>
    </w:pPr>
    <w:rPr>
      <w:rFonts w:ascii="Gadugi" w:eastAsiaTheme="minorHAnsi" w:hAnsi="Gadugi" w:cstheme="minorBidi"/>
      <w:szCs w:val="20"/>
    </w:rPr>
  </w:style>
  <w:style w:type="character" w:customStyle="1" w:styleId="hendecaChar">
    <w:name w:val="hendeca Char"/>
    <w:basedOn w:val="DefaultParagraphFont"/>
    <w:link w:val="hendeca"/>
    <w:rsid w:val="006F1DD2"/>
    <w:rPr>
      <w:rFonts w:ascii="Gadugi" w:eastAsiaTheme="minorHAnsi" w:hAnsi="Gadugi" w:cstheme="minorBidi"/>
      <w:sz w:val="20"/>
      <w:szCs w:val="20"/>
      <w:lang w:eastAsia="en-US"/>
    </w:rPr>
  </w:style>
  <w:style w:type="paragraph" w:customStyle="1" w:styleId="Default">
    <w:name w:val="Default"/>
    <w:rsid w:val="006B2D09"/>
    <w:pPr>
      <w:autoSpaceDE w:val="0"/>
      <w:autoSpaceDN w:val="0"/>
      <w:adjustRightInd w:val="0"/>
    </w:pPr>
    <w:rPr>
      <w:rFonts w:cs="Arial"/>
      <w:color w:val="000000"/>
      <w:sz w:val="24"/>
      <w:szCs w:val="24"/>
    </w:rPr>
  </w:style>
  <w:style w:type="paragraph" w:customStyle="1" w:styleId="TableFont">
    <w:name w:val="TableFont"/>
    <w:basedOn w:val="Normal"/>
    <w:rsid w:val="0002701C"/>
    <w:pPr>
      <w:spacing w:before="40" w:after="40" w:line="240" w:lineRule="auto"/>
    </w:pPr>
    <w:rPr>
      <w:color w:val="000000"/>
      <w:sz w:val="18"/>
      <w:szCs w:val="20"/>
    </w:rPr>
  </w:style>
  <w:style w:type="table" w:customStyle="1" w:styleId="TableGrid1">
    <w:name w:val="Table Grid1"/>
    <w:basedOn w:val="TableNormal"/>
    <w:uiPriority w:val="39"/>
    <w:rsid w:val="00C91F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445E"/>
    <w:pPr>
      <w:spacing w:after="200" w:line="240" w:lineRule="auto"/>
    </w:pPr>
    <w:rPr>
      <w:rFonts w:asciiTheme="minorHAnsi" w:eastAsiaTheme="minorHAnsi" w:hAnsiTheme="minorHAnsi" w:cstheme="minorBidi"/>
      <w:i/>
      <w:iCs/>
      <w:color w:val="1F497D" w:themeColor="text2"/>
      <w:sz w:val="18"/>
      <w:szCs w:val="18"/>
    </w:rPr>
  </w:style>
  <w:style w:type="paragraph" w:styleId="Header">
    <w:name w:val="header"/>
    <w:basedOn w:val="Normal"/>
    <w:link w:val="HeaderChar"/>
    <w:uiPriority w:val="99"/>
    <w:unhideWhenUsed/>
    <w:rsid w:val="00302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0E"/>
    <w:rPr>
      <w:sz w:val="20"/>
      <w:lang w:eastAsia="en-US"/>
    </w:rPr>
  </w:style>
  <w:style w:type="paragraph" w:styleId="Footer">
    <w:name w:val="footer"/>
    <w:basedOn w:val="Normal"/>
    <w:link w:val="FooterChar"/>
    <w:uiPriority w:val="99"/>
    <w:unhideWhenUsed/>
    <w:rsid w:val="00302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0E"/>
    <w:rPr>
      <w:sz w:val="20"/>
      <w:lang w:eastAsia="en-US"/>
    </w:rPr>
  </w:style>
  <w:style w:type="paragraph" w:styleId="Revision">
    <w:name w:val="Revision"/>
    <w:hidden/>
    <w:uiPriority w:val="99"/>
    <w:semiHidden/>
    <w:rsid w:val="00DD3F51"/>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19317">
      <w:bodyDiv w:val="1"/>
      <w:marLeft w:val="0"/>
      <w:marRight w:val="0"/>
      <w:marTop w:val="0"/>
      <w:marBottom w:val="0"/>
      <w:divBdr>
        <w:top w:val="none" w:sz="0" w:space="0" w:color="auto"/>
        <w:left w:val="none" w:sz="0" w:space="0" w:color="auto"/>
        <w:bottom w:val="none" w:sz="0" w:space="0" w:color="auto"/>
        <w:right w:val="none" w:sz="0" w:space="0" w:color="auto"/>
      </w:divBdr>
    </w:div>
    <w:div w:id="477112312">
      <w:bodyDiv w:val="1"/>
      <w:marLeft w:val="0"/>
      <w:marRight w:val="0"/>
      <w:marTop w:val="0"/>
      <w:marBottom w:val="0"/>
      <w:divBdr>
        <w:top w:val="none" w:sz="0" w:space="0" w:color="auto"/>
        <w:left w:val="none" w:sz="0" w:space="0" w:color="auto"/>
        <w:bottom w:val="none" w:sz="0" w:space="0" w:color="auto"/>
        <w:right w:val="none" w:sz="0" w:space="0" w:color="auto"/>
      </w:divBdr>
    </w:div>
    <w:div w:id="621881608">
      <w:bodyDiv w:val="1"/>
      <w:marLeft w:val="0"/>
      <w:marRight w:val="0"/>
      <w:marTop w:val="0"/>
      <w:marBottom w:val="0"/>
      <w:divBdr>
        <w:top w:val="none" w:sz="0" w:space="0" w:color="auto"/>
        <w:left w:val="none" w:sz="0" w:space="0" w:color="auto"/>
        <w:bottom w:val="none" w:sz="0" w:space="0" w:color="auto"/>
        <w:right w:val="none" w:sz="0" w:space="0" w:color="auto"/>
      </w:divBdr>
    </w:div>
    <w:div w:id="683048047">
      <w:bodyDiv w:val="1"/>
      <w:marLeft w:val="0"/>
      <w:marRight w:val="0"/>
      <w:marTop w:val="0"/>
      <w:marBottom w:val="0"/>
      <w:divBdr>
        <w:top w:val="none" w:sz="0" w:space="0" w:color="auto"/>
        <w:left w:val="none" w:sz="0" w:space="0" w:color="auto"/>
        <w:bottom w:val="none" w:sz="0" w:space="0" w:color="auto"/>
        <w:right w:val="none" w:sz="0" w:space="0" w:color="auto"/>
      </w:divBdr>
    </w:div>
    <w:div w:id="954991417">
      <w:bodyDiv w:val="1"/>
      <w:marLeft w:val="0"/>
      <w:marRight w:val="0"/>
      <w:marTop w:val="0"/>
      <w:marBottom w:val="0"/>
      <w:divBdr>
        <w:top w:val="none" w:sz="0" w:space="0" w:color="auto"/>
        <w:left w:val="none" w:sz="0" w:space="0" w:color="auto"/>
        <w:bottom w:val="none" w:sz="0" w:space="0" w:color="auto"/>
        <w:right w:val="none" w:sz="0" w:space="0" w:color="auto"/>
      </w:divBdr>
    </w:div>
    <w:div w:id="1030376588">
      <w:bodyDiv w:val="1"/>
      <w:marLeft w:val="0"/>
      <w:marRight w:val="0"/>
      <w:marTop w:val="0"/>
      <w:marBottom w:val="0"/>
      <w:divBdr>
        <w:top w:val="none" w:sz="0" w:space="0" w:color="auto"/>
        <w:left w:val="none" w:sz="0" w:space="0" w:color="auto"/>
        <w:bottom w:val="none" w:sz="0" w:space="0" w:color="auto"/>
        <w:right w:val="none" w:sz="0" w:space="0" w:color="auto"/>
      </w:divBdr>
    </w:div>
    <w:div w:id="1040595948">
      <w:bodyDiv w:val="1"/>
      <w:marLeft w:val="0"/>
      <w:marRight w:val="0"/>
      <w:marTop w:val="0"/>
      <w:marBottom w:val="0"/>
      <w:divBdr>
        <w:top w:val="none" w:sz="0" w:space="0" w:color="auto"/>
        <w:left w:val="none" w:sz="0" w:space="0" w:color="auto"/>
        <w:bottom w:val="none" w:sz="0" w:space="0" w:color="auto"/>
        <w:right w:val="none" w:sz="0" w:space="0" w:color="auto"/>
      </w:divBdr>
    </w:div>
    <w:div w:id="1067339790">
      <w:bodyDiv w:val="1"/>
      <w:marLeft w:val="0"/>
      <w:marRight w:val="0"/>
      <w:marTop w:val="0"/>
      <w:marBottom w:val="0"/>
      <w:divBdr>
        <w:top w:val="none" w:sz="0" w:space="0" w:color="auto"/>
        <w:left w:val="none" w:sz="0" w:space="0" w:color="auto"/>
        <w:bottom w:val="none" w:sz="0" w:space="0" w:color="auto"/>
        <w:right w:val="none" w:sz="0" w:space="0" w:color="auto"/>
      </w:divBdr>
    </w:div>
    <w:div w:id="1392076511">
      <w:bodyDiv w:val="1"/>
      <w:marLeft w:val="0"/>
      <w:marRight w:val="0"/>
      <w:marTop w:val="0"/>
      <w:marBottom w:val="0"/>
      <w:divBdr>
        <w:top w:val="none" w:sz="0" w:space="0" w:color="auto"/>
        <w:left w:val="none" w:sz="0" w:space="0" w:color="auto"/>
        <w:bottom w:val="none" w:sz="0" w:space="0" w:color="auto"/>
        <w:right w:val="none" w:sz="0" w:space="0" w:color="auto"/>
      </w:divBdr>
    </w:div>
    <w:div w:id="1918782874">
      <w:bodyDiv w:val="1"/>
      <w:marLeft w:val="0"/>
      <w:marRight w:val="0"/>
      <w:marTop w:val="0"/>
      <w:marBottom w:val="0"/>
      <w:divBdr>
        <w:top w:val="none" w:sz="0" w:space="0" w:color="auto"/>
        <w:left w:val="none" w:sz="0" w:space="0" w:color="auto"/>
        <w:bottom w:val="none" w:sz="0" w:space="0" w:color="auto"/>
        <w:right w:val="none" w:sz="0" w:space="0" w:color="auto"/>
      </w:divBdr>
    </w:div>
    <w:div w:id="21431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s://www.gov.uk/guidance/wast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al-data-sets/live-tables-on-household-pro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0B975-89C2-45B8-9CD1-AD52AC26E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16063</Words>
  <Characters>91564</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Naisbitt</dc:creator>
  <cp:lastModifiedBy>James Busby</cp:lastModifiedBy>
  <cp:revision>3</cp:revision>
  <cp:lastPrinted>2018-07-13T07:09:00Z</cp:lastPrinted>
  <dcterms:created xsi:type="dcterms:W3CDTF">2018-08-13T07:11:00Z</dcterms:created>
  <dcterms:modified xsi:type="dcterms:W3CDTF">2018-08-13T12:31:00Z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-1105042291</vt:i4>
  </property>
  <property fmtid="{D5CDD505-2E9C-101B-9397-08002B2CF9AE}" pid="3" name="_NewReviewCycle">
    <vt:lpwstr/>
  </property>
  <property fmtid="{D5CDD505-2E9C-101B-9397-08002B2CF9AE}" pid="4" name="_EmailSubject">
    <vt:lpwstr>Joint Waste Management Strategy </vt:lpwstr>
  </property>
  <property fmtid="{D5CDD505-2E9C-101B-9397-08002B2CF9AE}" pid="5" name="_AuthorEmail">
    <vt:lpwstr>Tony.Hanson@hartlepool.gov.uk</vt:lpwstr>
  </property>
  <property fmtid="{D5CDD505-2E9C-101B-9397-08002B2CF9AE}" pid="6" name="_AuthorEmailDisplayName">
    <vt:lpwstr>Tony Hanson</vt:lpwstr>
  </property>
</Properties>
</file>