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C65" w:rsidRDefault="00B15188" w:rsidP="006468D2">
      <w:pPr>
        <w:pBdr>
          <w:top w:val="single" w:sz="4" w:space="1" w:color="auto"/>
          <w:left w:val="single" w:sz="4" w:space="4" w:color="auto"/>
          <w:bottom w:val="single" w:sz="4" w:space="1" w:color="auto"/>
          <w:right w:val="single" w:sz="4" w:space="4" w:color="auto"/>
        </w:pBdr>
        <w:jc w:val="center"/>
        <w:rPr>
          <w:rFonts w:ascii="Arial" w:hAnsi="Arial" w:cs="Arial"/>
          <w:b/>
          <w:bCs/>
        </w:rPr>
      </w:pPr>
      <w:r w:rsidRPr="00107F84">
        <w:rPr>
          <w:rFonts w:ascii="Arial" w:hAnsi="Arial" w:cs="Arial"/>
          <w:b/>
          <w:bCs/>
        </w:rPr>
        <w:t>Report to Hartlepool Schools’ Forum</w:t>
      </w:r>
      <w:r>
        <w:rPr>
          <w:rFonts w:ascii="Arial" w:hAnsi="Arial" w:cs="Arial"/>
          <w:b/>
          <w:bCs/>
        </w:rPr>
        <w:t xml:space="preserve"> </w:t>
      </w:r>
      <w:r w:rsidR="00863BAC">
        <w:rPr>
          <w:rFonts w:ascii="Arial" w:hAnsi="Arial" w:cs="Arial"/>
          <w:b/>
          <w:bCs/>
        </w:rPr>
        <w:t>26 November 2019</w:t>
      </w:r>
    </w:p>
    <w:p w:rsidR="008853E8" w:rsidRDefault="008853E8" w:rsidP="008853E8">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From Penny Thompson – Head</w:t>
      </w:r>
      <w:r w:rsidR="00863BAC">
        <w:rPr>
          <w:rFonts w:ascii="Arial" w:hAnsi="Arial" w:cs="Arial"/>
          <w:b/>
          <w:bCs/>
        </w:rPr>
        <w:t xml:space="preserve"> of Service: The Children’s Hub and Partnerships</w:t>
      </w:r>
    </w:p>
    <w:p w:rsidR="00476556" w:rsidRPr="001B0FA1" w:rsidRDefault="00476556" w:rsidP="00F7785D">
      <w:pPr>
        <w:rPr>
          <w:rFonts w:ascii="Arial" w:hAnsi="Arial" w:cs="Arial"/>
        </w:rPr>
      </w:pPr>
    </w:p>
    <w:p w:rsidR="00B05C65" w:rsidRDefault="00340CC7" w:rsidP="00483799">
      <w:pPr>
        <w:pStyle w:val="Heading1"/>
      </w:pPr>
      <w:r w:rsidRPr="001B0FA1">
        <w:t>Item</w:t>
      </w:r>
      <w:r w:rsidR="00483799">
        <w:t xml:space="preserve"> </w:t>
      </w:r>
      <w:r w:rsidR="009D536A">
        <w:t xml:space="preserve">6 </w:t>
      </w:r>
      <w:bookmarkStart w:id="0" w:name="_GoBack"/>
      <w:bookmarkEnd w:id="0"/>
      <w:r w:rsidRPr="001B0FA1">
        <w:t>:</w:t>
      </w:r>
      <w:r w:rsidR="007C79E2" w:rsidRPr="001B0FA1">
        <w:t xml:space="preserve"> </w:t>
      </w:r>
      <w:r w:rsidR="00165672">
        <w:t xml:space="preserve">Dedicated Schools Grant – Early Years Block </w:t>
      </w:r>
      <w:r w:rsidR="00863BAC">
        <w:t>2020/21</w:t>
      </w:r>
    </w:p>
    <w:p w:rsidR="00693131" w:rsidRDefault="00693131" w:rsidP="00F7785D">
      <w:pPr>
        <w:rPr>
          <w:rFonts w:ascii="Arial" w:hAnsi="Arial" w:cs="Arial"/>
        </w:rPr>
      </w:pPr>
    </w:p>
    <w:p w:rsidR="00F967A2" w:rsidRPr="001B0FA1" w:rsidRDefault="00F967A2" w:rsidP="00F7785D">
      <w:pPr>
        <w:rPr>
          <w:rFonts w:ascii="Arial" w:hAnsi="Arial" w:cs="Arial"/>
        </w:rPr>
      </w:pPr>
    </w:p>
    <w:p w:rsidR="00A13C1F" w:rsidRPr="00B15188" w:rsidRDefault="00D6440E" w:rsidP="00F7785D">
      <w:pPr>
        <w:pStyle w:val="ListParagraph"/>
        <w:numPr>
          <w:ilvl w:val="0"/>
          <w:numId w:val="2"/>
        </w:numPr>
        <w:ind w:left="709"/>
        <w:rPr>
          <w:rFonts w:ascii="Arial" w:hAnsi="Arial" w:cs="Arial"/>
          <w:b/>
          <w:u w:val="single"/>
        </w:rPr>
      </w:pPr>
      <w:r w:rsidRPr="00B15188">
        <w:rPr>
          <w:rFonts w:ascii="Arial" w:hAnsi="Arial" w:cs="Arial"/>
          <w:b/>
          <w:u w:val="single"/>
        </w:rPr>
        <w:t xml:space="preserve">Introduction </w:t>
      </w:r>
    </w:p>
    <w:p w:rsidR="00D4028E" w:rsidRPr="00D4028E" w:rsidRDefault="00D4028E" w:rsidP="00F7785D">
      <w:pPr>
        <w:ind w:left="-11"/>
        <w:rPr>
          <w:rFonts w:ascii="Arial" w:hAnsi="Arial" w:cs="Arial"/>
          <w:b/>
        </w:rPr>
      </w:pPr>
    </w:p>
    <w:p w:rsidR="00476556" w:rsidRDefault="00A13C1F" w:rsidP="00F7785D">
      <w:pPr>
        <w:pStyle w:val="ListParagraph"/>
        <w:ind w:left="709" w:hanging="709"/>
        <w:rPr>
          <w:rFonts w:ascii="Arial" w:hAnsi="Arial" w:cs="Arial"/>
        </w:rPr>
      </w:pPr>
      <w:r>
        <w:rPr>
          <w:rFonts w:ascii="Arial" w:hAnsi="Arial" w:cs="Arial"/>
        </w:rPr>
        <w:t>1.1</w:t>
      </w:r>
      <w:r>
        <w:rPr>
          <w:rFonts w:ascii="Arial" w:hAnsi="Arial" w:cs="Arial"/>
        </w:rPr>
        <w:tab/>
      </w:r>
      <w:r w:rsidR="00140954" w:rsidRPr="00A13C1F">
        <w:rPr>
          <w:rFonts w:ascii="Arial" w:hAnsi="Arial" w:cs="Arial"/>
        </w:rPr>
        <w:t>The purpose of the report is t</w:t>
      </w:r>
      <w:r w:rsidR="00165672">
        <w:rPr>
          <w:rFonts w:ascii="Arial" w:hAnsi="Arial" w:cs="Arial"/>
        </w:rPr>
        <w:t xml:space="preserve">o </w:t>
      </w:r>
      <w:r w:rsidR="00D16AF3">
        <w:rPr>
          <w:rFonts w:ascii="Arial" w:hAnsi="Arial" w:cs="Arial"/>
        </w:rPr>
        <w:t xml:space="preserve">consult on the </w:t>
      </w:r>
      <w:r w:rsidR="00863BAC">
        <w:rPr>
          <w:rFonts w:ascii="Arial" w:hAnsi="Arial" w:cs="Arial"/>
        </w:rPr>
        <w:t>2020/21</w:t>
      </w:r>
      <w:r w:rsidR="005D71FC">
        <w:rPr>
          <w:rFonts w:ascii="Arial" w:hAnsi="Arial" w:cs="Arial"/>
        </w:rPr>
        <w:t xml:space="preserve"> </w:t>
      </w:r>
      <w:r w:rsidR="00165672">
        <w:rPr>
          <w:rFonts w:ascii="Arial" w:hAnsi="Arial" w:cs="Arial"/>
        </w:rPr>
        <w:t>Early Yea</w:t>
      </w:r>
      <w:r w:rsidR="005D71FC">
        <w:rPr>
          <w:rFonts w:ascii="Arial" w:hAnsi="Arial" w:cs="Arial"/>
        </w:rPr>
        <w:t xml:space="preserve">rs </w:t>
      </w:r>
      <w:r w:rsidR="006E6C15">
        <w:rPr>
          <w:rFonts w:ascii="Arial" w:hAnsi="Arial" w:cs="Arial"/>
        </w:rPr>
        <w:t>National Funding F</w:t>
      </w:r>
      <w:r w:rsidR="005D71FC">
        <w:rPr>
          <w:rFonts w:ascii="Arial" w:hAnsi="Arial" w:cs="Arial"/>
        </w:rPr>
        <w:t xml:space="preserve">ormula </w:t>
      </w:r>
      <w:r w:rsidR="006E6C15">
        <w:rPr>
          <w:rFonts w:ascii="Arial" w:hAnsi="Arial" w:cs="Arial"/>
        </w:rPr>
        <w:t>(EYNFF)</w:t>
      </w:r>
      <w:r w:rsidR="008853E8">
        <w:rPr>
          <w:rFonts w:ascii="Arial" w:hAnsi="Arial" w:cs="Arial"/>
        </w:rPr>
        <w:t>.</w:t>
      </w:r>
    </w:p>
    <w:p w:rsidR="008853E8" w:rsidRDefault="008853E8" w:rsidP="00F7785D">
      <w:pPr>
        <w:pStyle w:val="ListParagraph"/>
        <w:ind w:left="709" w:hanging="709"/>
        <w:rPr>
          <w:rFonts w:ascii="Arial" w:hAnsi="Arial" w:cs="Arial"/>
          <w:b/>
        </w:rPr>
      </w:pPr>
    </w:p>
    <w:p w:rsidR="008853E8" w:rsidRDefault="008853E8" w:rsidP="00F7785D">
      <w:pPr>
        <w:pStyle w:val="ListParagraph"/>
        <w:ind w:left="709" w:hanging="709"/>
        <w:rPr>
          <w:rFonts w:ascii="Arial" w:hAnsi="Arial" w:cs="Arial"/>
        </w:rPr>
      </w:pPr>
      <w:r>
        <w:rPr>
          <w:rFonts w:ascii="Arial" w:hAnsi="Arial" w:cs="Arial"/>
        </w:rPr>
        <w:t>1.2</w:t>
      </w:r>
      <w:r>
        <w:rPr>
          <w:rFonts w:ascii="Arial" w:hAnsi="Arial" w:cs="Arial"/>
        </w:rPr>
        <w:tab/>
        <w:t xml:space="preserve">Schools’ Forum has </w:t>
      </w:r>
      <w:r w:rsidR="00101760">
        <w:rPr>
          <w:rFonts w:ascii="Arial" w:hAnsi="Arial" w:cs="Arial"/>
        </w:rPr>
        <w:t xml:space="preserve">already </w:t>
      </w:r>
      <w:r>
        <w:rPr>
          <w:rFonts w:ascii="Arial" w:hAnsi="Arial" w:cs="Arial"/>
        </w:rPr>
        <w:t xml:space="preserve">approved the central element of spending at </w:t>
      </w:r>
      <w:r w:rsidR="00C32811">
        <w:rPr>
          <w:rFonts w:ascii="Arial" w:hAnsi="Arial" w:cs="Arial"/>
        </w:rPr>
        <w:t>an</w:t>
      </w:r>
      <w:r>
        <w:rPr>
          <w:rFonts w:ascii="Arial" w:hAnsi="Arial" w:cs="Arial"/>
        </w:rPr>
        <w:t xml:space="preserve"> earlier meeting on </w:t>
      </w:r>
      <w:r w:rsidR="00863BAC">
        <w:rPr>
          <w:rFonts w:ascii="Arial" w:hAnsi="Arial" w:cs="Arial"/>
        </w:rPr>
        <w:t>13 September 2019.</w:t>
      </w:r>
    </w:p>
    <w:p w:rsidR="008C0454" w:rsidRDefault="008C0454" w:rsidP="00F7785D">
      <w:pPr>
        <w:pStyle w:val="ListParagraph"/>
        <w:ind w:left="709" w:hanging="709"/>
        <w:rPr>
          <w:rFonts w:ascii="Arial" w:hAnsi="Arial" w:cs="Arial"/>
        </w:rPr>
      </w:pPr>
    </w:p>
    <w:p w:rsidR="008C0454" w:rsidRPr="008853E8" w:rsidRDefault="008C0454" w:rsidP="00F7785D">
      <w:pPr>
        <w:pStyle w:val="ListParagraph"/>
        <w:ind w:left="709" w:hanging="709"/>
        <w:rPr>
          <w:rFonts w:ascii="Arial" w:hAnsi="Arial" w:cs="Arial"/>
        </w:rPr>
      </w:pPr>
      <w:r>
        <w:rPr>
          <w:rFonts w:ascii="Arial" w:hAnsi="Arial" w:cs="Arial"/>
        </w:rPr>
        <w:t>1.3</w:t>
      </w:r>
      <w:r>
        <w:rPr>
          <w:rFonts w:ascii="Arial" w:hAnsi="Arial" w:cs="Arial"/>
        </w:rPr>
        <w:tab/>
        <w:t xml:space="preserve">This </w:t>
      </w:r>
      <w:r w:rsidRPr="00C32811">
        <w:rPr>
          <w:rFonts w:ascii="Arial" w:hAnsi="Arial" w:cs="Arial"/>
        </w:rPr>
        <w:t>report presents a summary of the consultation responses for consideration</w:t>
      </w:r>
      <w:r>
        <w:rPr>
          <w:rFonts w:ascii="Arial" w:hAnsi="Arial" w:cs="Arial"/>
        </w:rPr>
        <w:t xml:space="preserve"> by Schools’ Forum.</w:t>
      </w:r>
    </w:p>
    <w:p w:rsidR="00AC0DE1" w:rsidRDefault="00AC0DE1" w:rsidP="00F7785D">
      <w:pPr>
        <w:rPr>
          <w:rFonts w:ascii="Arial" w:hAnsi="Arial" w:cs="Arial"/>
        </w:rPr>
      </w:pPr>
    </w:p>
    <w:p w:rsidR="0002282D" w:rsidRDefault="0002282D" w:rsidP="00F7785D">
      <w:pPr>
        <w:rPr>
          <w:rFonts w:ascii="Arial" w:hAnsi="Arial" w:cs="Arial"/>
        </w:rPr>
      </w:pPr>
    </w:p>
    <w:p w:rsidR="0002282D" w:rsidRPr="00A13C1F" w:rsidRDefault="0002282D" w:rsidP="00F7785D">
      <w:pPr>
        <w:rPr>
          <w:rFonts w:ascii="Arial" w:hAnsi="Arial" w:cs="Arial"/>
          <w:b/>
        </w:rPr>
      </w:pPr>
      <w:r>
        <w:rPr>
          <w:rFonts w:ascii="Arial" w:hAnsi="Arial" w:cs="Arial"/>
          <w:b/>
        </w:rPr>
        <w:t>2.</w:t>
      </w:r>
      <w:r>
        <w:rPr>
          <w:rFonts w:ascii="Arial" w:hAnsi="Arial" w:cs="Arial"/>
          <w:b/>
        </w:rPr>
        <w:tab/>
      </w:r>
      <w:r w:rsidRPr="00B15188">
        <w:rPr>
          <w:rFonts w:ascii="Arial" w:hAnsi="Arial" w:cs="Arial"/>
          <w:b/>
          <w:u w:val="single"/>
        </w:rPr>
        <w:t xml:space="preserve">Background </w:t>
      </w:r>
    </w:p>
    <w:p w:rsidR="0002282D" w:rsidRDefault="0002282D" w:rsidP="00F7785D">
      <w:pPr>
        <w:rPr>
          <w:rFonts w:ascii="Arial" w:hAnsi="Arial" w:cs="Arial"/>
        </w:rPr>
      </w:pPr>
    </w:p>
    <w:p w:rsidR="002B4D3E" w:rsidRPr="00C32811" w:rsidRDefault="0002282D" w:rsidP="00F7785D">
      <w:pPr>
        <w:ind w:left="709" w:hanging="709"/>
        <w:rPr>
          <w:rFonts w:ascii="Arial" w:hAnsi="Arial" w:cs="Arial"/>
        </w:rPr>
      </w:pPr>
      <w:r>
        <w:rPr>
          <w:rFonts w:ascii="Arial" w:hAnsi="Arial" w:cs="Arial"/>
        </w:rPr>
        <w:t>2.1</w:t>
      </w:r>
      <w:r w:rsidR="00D4028E">
        <w:rPr>
          <w:rFonts w:ascii="Arial" w:hAnsi="Arial" w:cs="Arial"/>
        </w:rPr>
        <w:tab/>
      </w:r>
      <w:r w:rsidR="006E6C15" w:rsidRPr="00C32811">
        <w:rPr>
          <w:rFonts w:ascii="Arial" w:hAnsi="Arial" w:cs="Arial"/>
        </w:rPr>
        <w:t xml:space="preserve">Since its introduction in April 2017, the EYNFF has set the hourly funding rates that each local authority is paid to deliver the universal and additional entitlements for three </w:t>
      </w:r>
      <w:r w:rsidR="0063312F" w:rsidRPr="00C32811">
        <w:rPr>
          <w:rFonts w:ascii="Arial" w:hAnsi="Arial" w:cs="Arial"/>
        </w:rPr>
        <w:t xml:space="preserve">and </w:t>
      </w:r>
      <w:r w:rsidR="006E6C15" w:rsidRPr="00C32811">
        <w:rPr>
          <w:rFonts w:ascii="Arial" w:hAnsi="Arial" w:cs="Arial"/>
        </w:rPr>
        <w:t>four year olds</w:t>
      </w:r>
      <w:r w:rsidR="00863BAC" w:rsidRPr="00C32811">
        <w:rPr>
          <w:rFonts w:ascii="Arial" w:hAnsi="Arial" w:cs="Arial"/>
        </w:rPr>
        <w:t>, along with entitlements for 2 year olds</w:t>
      </w:r>
      <w:r w:rsidR="006E6C15" w:rsidRPr="00C32811">
        <w:rPr>
          <w:rFonts w:ascii="Arial" w:hAnsi="Arial" w:cs="Arial"/>
        </w:rPr>
        <w:t xml:space="preserve">. </w:t>
      </w:r>
      <w:r w:rsidR="005D71FC" w:rsidRPr="00C32811">
        <w:rPr>
          <w:rFonts w:ascii="Arial" w:hAnsi="Arial" w:cs="Arial"/>
        </w:rPr>
        <w:t xml:space="preserve"> </w:t>
      </w:r>
      <w:r w:rsidR="00B959A8" w:rsidRPr="00C32811">
        <w:rPr>
          <w:rFonts w:ascii="Arial" w:hAnsi="Arial" w:cs="Arial"/>
        </w:rPr>
        <w:t xml:space="preserve"> </w:t>
      </w:r>
      <w:r w:rsidR="005D71FC" w:rsidRPr="00C32811">
        <w:rPr>
          <w:rFonts w:ascii="Arial" w:hAnsi="Arial" w:cs="Arial"/>
        </w:rPr>
        <w:t xml:space="preserve"> </w:t>
      </w:r>
    </w:p>
    <w:p w:rsidR="002B4D3E" w:rsidRPr="00C32811" w:rsidRDefault="002B4D3E" w:rsidP="00F7785D">
      <w:pPr>
        <w:rPr>
          <w:rFonts w:ascii="Arial" w:hAnsi="Arial" w:cs="Arial"/>
        </w:rPr>
      </w:pPr>
    </w:p>
    <w:p w:rsidR="00D16AF3" w:rsidRDefault="0002282D" w:rsidP="00F7785D">
      <w:pPr>
        <w:ind w:left="720" w:hanging="720"/>
        <w:rPr>
          <w:rFonts w:ascii="Arial" w:hAnsi="Arial" w:cs="Arial"/>
        </w:rPr>
      </w:pPr>
      <w:r w:rsidRPr="00C32811">
        <w:rPr>
          <w:rFonts w:ascii="Arial" w:hAnsi="Arial" w:cs="Arial"/>
        </w:rPr>
        <w:t>2.2</w:t>
      </w:r>
      <w:r w:rsidR="00B959A8" w:rsidRPr="00C32811">
        <w:rPr>
          <w:rFonts w:ascii="Arial" w:hAnsi="Arial" w:cs="Arial"/>
        </w:rPr>
        <w:tab/>
      </w:r>
      <w:r w:rsidR="00863BAC" w:rsidRPr="00C32811">
        <w:rPr>
          <w:rFonts w:ascii="Arial" w:hAnsi="Arial" w:cs="Arial"/>
        </w:rPr>
        <w:t>For three and four year old provision, l</w:t>
      </w:r>
      <w:r w:rsidR="006750EC" w:rsidRPr="00C32811">
        <w:rPr>
          <w:rFonts w:ascii="Arial" w:hAnsi="Arial" w:cs="Arial"/>
        </w:rPr>
        <w:t xml:space="preserve">ocal authorities are required to consult providers on </w:t>
      </w:r>
      <w:r w:rsidR="00D16AF3" w:rsidRPr="00C32811">
        <w:rPr>
          <w:rFonts w:ascii="Arial" w:hAnsi="Arial" w:cs="Arial"/>
        </w:rPr>
        <w:t xml:space="preserve">proposed </w:t>
      </w:r>
      <w:r w:rsidR="006750EC" w:rsidRPr="00C32811">
        <w:rPr>
          <w:rFonts w:ascii="Arial" w:hAnsi="Arial" w:cs="Arial"/>
        </w:rPr>
        <w:t>annual changes to local early year</w:t>
      </w:r>
      <w:r w:rsidR="00284C8A" w:rsidRPr="00C32811">
        <w:rPr>
          <w:rFonts w:ascii="Arial" w:hAnsi="Arial" w:cs="Arial"/>
        </w:rPr>
        <w:t>’</w:t>
      </w:r>
      <w:r w:rsidR="006750EC" w:rsidRPr="00C32811">
        <w:rPr>
          <w:rFonts w:ascii="Arial" w:hAnsi="Arial" w:cs="Arial"/>
        </w:rPr>
        <w:t xml:space="preserve">s funding formulas, although the </w:t>
      </w:r>
      <w:r w:rsidR="006E6C15" w:rsidRPr="00C32811">
        <w:rPr>
          <w:rFonts w:ascii="Arial" w:hAnsi="Arial" w:cs="Arial"/>
        </w:rPr>
        <w:t>final</w:t>
      </w:r>
      <w:r w:rsidR="006750EC" w:rsidRPr="00C32811">
        <w:rPr>
          <w:rFonts w:ascii="Arial" w:hAnsi="Arial" w:cs="Arial"/>
        </w:rPr>
        <w:t xml:space="preserve"> decision rests with the local authority.</w:t>
      </w:r>
      <w:r w:rsidR="00D90F8F" w:rsidRPr="00C32811">
        <w:rPr>
          <w:rFonts w:ascii="Arial" w:hAnsi="Arial" w:cs="Arial"/>
        </w:rPr>
        <w:t xml:space="preserve"> </w:t>
      </w:r>
    </w:p>
    <w:p w:rsidR="00C32811" w:rsidRDefault="00C32811" w:rsidP="00F7785D">
      <w:pPr>
        <w:ind w:left="720" w:hanging="720"/>
        <w:rPr>
          <w:rFonts w:ascii="Arial" w:hAnsi="Arial" w:cs="Arial"/>
        </w:rPr>
      </w:pPr>
    </w:p>
    <w:p w:rsidR="0002282D" w:rsidRPr="00C32811" w:rsidRDefault="0002282D" w:rsidP="0069498D">
      <w:pPr>
        <w:ind w:left="709" w:hanging="709"/>
        <w:rPr>
          <w:rFonts w:ascii="Arial" w:hAnsi="Arial" w:cs="Arial"/>
          <w:b/>
          <w:u w:val="single"/>
        </w:rPr>
      </w:pPr>
      <w:r w:rsidRPr="00C32811">
        <w:rPr>
          <w:rFonts w:ascii="Arial" w:hAnsi="Arial" w:cs="Arial"/>
        </w:rPr>
        <w:tab/>
      </w:r>
    </w:p>
    <w:p w:rsidR="0002282D" w:rsidRPr="00C32811" w:rsidRDefault="00E024F3" w:rsidP="00F7785D">
      <w:pPr>
        <w:ind w:left="709" w:hanging="709"/>
        <w:rPr>
          <w:rFonts w:ascii="Arial" w:hAnsi="Arial" w:cs="Arial"/>
          <w:b/>
          <w:u w:val="single"/>
        </w:rPr>
      </w:pPr>
      <w:r w:rsidRPr="00C32811">
        <w:rPr>
          <w:rFonts w:ascii="Arial" w:hAnsi="Arial" w:cs="Arial"/>
          <w:b/>
        </w:rPr>
        <w:t>3.</w:t>
      </w:r>
      <w:r w:rsidR="0002282D" w:rsidRPr="00C32811">
        <w:rPr>
          <w:rFonts w:ascii="Arial" w:hAnsi="Arial" w:cs="Arial"/>
          <w:b/>
        </w:rPr>
        <w:tab/>
      </w:r>
      <w:r w:rsidR="008C0454">
        <w:rPr>
          <w:rFonts w:ascii="Arial" w:hAnsi="Arial" w:cs="Arial"/>
          <w:b/>
          <w:u w:val="single"/>
        </w:rPr>
        <w:t>2020/21</w:t>
      </w:r>
      <w:r w:rsidRPr="00C32811">
        <w:rPr>
          <w:rFonts w:ascii="Arial" w:hAnsi="Arial" w:cs="Arial"/>
          <w:b/>
          <w:u w:val="single"/>
        </w:rPr>
        <w:t xml:space="preserve"> </w:t>
      </w:r>
      <w:r w:rsidR="007A6F59" w:rsidRPr="00C32811">
        <w:rPr>
          <w:rFonts w:ascii="Arial" w:hAnsi="Arial" w:cs="Arial"/>
          <w:b/>
          <w:u w:val="single"/>
        </w:rPr>
        <w:t xml:space="preserve">Block Funding </w:t>
      </w:r>
      <w:r w:rsidRPr="00C32811">
        <w:rPr>
          <w:rFonts w:ascii="Arial" w:hAnsi="Arial" w:cs="Arial"/>
          <w:b/>
          <w:u w:val="single"/>
        </w:rPr>
        <w:t xml:space="preserve"> </w:t>
      </w:r>
    </w:p>
    <w:p w:rsidR="00E024F3" w:rsidRPr="00C32811" w:rsidRDefault="00E024F3" w:rsidP="00F7785D">
      <w:pPr>
        <w:ind w:left="709" w:hanging="709"/>
        <w:rPr>
          <w:rFonts w:ascii="Arial" w:hAnsi="Arial" w:cs="Arial"/>
          <w:b/>
          <w:u w:val="single"/>
        </w:rPr>
      </w:pPr>
    </w:p>
    <w:p w:rsidR="007211E4" w:rsidRPr="00C32811" w:rsidRDefault="0069498D" w:rsidP="00F7785D">
      <w:pPr>
        <w:ind w:left="709" w:hanging="709"/>
        <w:rPr>
          <w:rFonts w:ascii="Arial" w:hAnsi="Arial" w:cs="Arial"/>
        </w:rPr>
      </w:pPr>
      <w:r w:rsidRPr="00C32811">
        <w:rPr>
          <w:rFonts w:ascii="Arial" w:hAnsi="Arial" w:cs="Arial"/>
        </w:rPr>
        <w:t>3.1</w:t>
      </w:r>
      <w:r w:rsidRPr="00C32811">
        <w:rPr>
          <w:rFonts w:ascii="Arial" w:hAnsi="Arial" w:cs="Arial"/>
        </w:rPr>
        <w:tab/>
        <w:t xml:space="preserve">The </w:t>
      </w:r>
      <w:r w:rsidR="002504B2">
        <w:rPr>
          <w:rFonts w:ascii="Arial" w:hAnsi="Arial" w:cs="Arial"/>
        </w:rPr>
        <w:t>authority’s estimate of the 2020/21</w:t>
      </w:r>
      <w:r w:rsidR="007211E4" w:rsidRPr="00C32811">
        <w:rPr>
          <w:rFonts w:ascii="Arial" w:hAnsi="Arial" w:cs="Arial"/>
        </w:rPr>
        <w:t xml:space="preserve"> in</w:t>
      </w:r>
      <w:r w:rsidR="00BD5961" w:rsidRPr="00C32811">
        <w:rPr>
          <w:rFonts w:ascii="Arial" w:hAnsi="Arial" w:cs="Arial"/>
        </w:rPr>
        <w:t>i</w:t>
      </w:r>
      <w:r w:rsidR="007211E4" w:rsidRPr="00C32811">
        <w:rPr>
          <w:rFonts w:ascii="Arial" w:hAnsi="Arial" w:cs="Arial"/>
        </w:rPr>
        <w:t xml:space="preserve">tial funding allocation for the </w:t>
      </w:r>
      <w:r w:rsidR="006A6FA1">
        <w:rPr>
          <w:rFonts w:ascii="Arial" w:hAnsi="Arial" w:cs="Arial"/>
        </w:rPr>
        <w:t>e</w:t>
      </w:r>
      <w:r w:rsidR="007211E4" w:rsidRPr="00C32811">
        <w:rPr>
          <w:rFonts w:ascii="Arial" w:hAnsi="Arial" w:cs="Arial"/>
        </w:rPr>
        <w:t xml:space="preserve">arly </w:t>
      </w:r>
      <w:r w:rsidR="006A6FA1">
        <w:rPr>
          <w:rFonts w:ascii="Arial" w:hAnsi="Arial" w:cs="Arial"/>
        </w:rPr>
        <w:t>y</w:t>
      </w:r>
      <w:r w:rsidR="007211E4" w:rsidRPr="00C32811">
        <w:rPr>
          <w:rFonts w:ascii="Arial" w:hAnsi="Arial" w:cs="Arial"/>
        </w:rPr>
        <w:t xml:space="preserve">ears </w:t>
      </w:r>
      <w:r w:rsidR="006A6FA1">
        <w:rPr>
          <w:rFonts w:ascii="Arial" w:hAnsi="Arial" w:cs="Arial"/>
        </w:rPr>
        <w:t>b</w:t>
      </w:r>
      <w:r w:rsidR="007211E4" w:rsidRPr="00C32811">
        <w:rPr>
          <w:rFonts w:ascii="Arial" w:hAnsi="Arial" w:cs="Arial"/>
        </w:rPr>
        <w:t xml:space="preserve">lock </w:t>
      </w:r>
      <w:r w:rsidR="002504B2">
        <w:rPr>
          <w:rFonts w:ascii="Arial" w:hAnsi="Arial" w:cs="Arial"/>
        </w:rPr>
        <w:t xml:space="preserve">is provided in the following table. </w:t>
      </w:r>
      <w:r w:rsidR="002504B2" w:rsidRPr="002504B2">
        <w:rPr>
          <w:rFonts w:ascii="Arial" w:hAnsi="Arial" w:cs="Arial"/>
        </w:rPr>
        <w:t xml:space="preserve">The 2020/21 initial allocations for the </w:t>
      </w:r>
      <w:r w:rsidR="006A6FA1">
        <w:rPr>
          <w:rFonts w:ascii="Arial" w:hAnsi="Arial" w:cs="Arial"/>
        </w:rPr>
        <w:t>early years b</w:t>
      </w:r>
      <w:r w:rsidR="002504B2" w:rsidRPr="002504B2">
        <w:rPr>
          <w:rFonts w:ascii="Arial" w:hAnsi="Arial" w:cs="Arial"/>
        </w:rPr>
        <w:t>lock will be announced by government in the dedicated school grant allocations table in December 2019.</w:t>
      </w:r>
      <w:r w:rsidR="002504B2">
        <w:rPr>
          <w:rFonts w:ascii="Arial" w:hAnsi="Arial" w:cs="Arial"/>
        </w:rPr>
        <w:t xml:space="preserve"> Initial allocations will remain subject to census volume changes.</w:t>
      </w:r>
    </w:p>
    <w:p w:rsidR="00BD5961" w:rsidRPr="00C32811" w:rsidRDefault="00BD5961" w:rsidP="00F7785D">
      <w:pPr>
        <w:ind w:left="709" w:hanging="709"/>
        <w:rPr>
          <w:rFonts w:ascii="Arial" w:hAnsi="Arial" w:cs="Arial"/>
        </w:rPr>
      </w:pPr>
    </w:p>
    <w:tbl>
      <w:tblPr>
        <w:tblW w:w="8078" w:type="dxa"/>
        <w:tblInd w:w="720" w:type="dxa"/>
        <w:tblLook w:val="04A0" w:firstRow="1" w:lastRow="0" w:firstColumn="1" w:lastColumn="0" w:noHBand="0" w:noVBand="1"/>
      </w:tblPr>
      <w:tblGrid>
        <w:gridCol w:w="3920"/>
        <w:gridCol w:w="2032"/>
        <w:gridCol w:w="2126"/>
      </w:tblGrid>
      <w:tr w:rsidR="00BD5961" w:rsidRPr="00C32811" w:rsidTr="006F0F87">
        <w:trPr>
          <w:trHeight w:val="915"/>
        </w:trPr>
        <w:tc>
          <w:tcPr>
            <w:tcW w:w="3920" w:type="dxa"/>
            <w:tcBorders>
              <w:top w:val="single" w:sz="4" w:space="0" w:color="auto"/>
              <w:left w:val="single" w:sz="4" w:space="0" w:color="auto"/>
              <w:bottom w:val="single" w:sz="4" w:space="0" w:color="auto"/>
              <w:right w:val="nil"/>
            </w:tcBorders>
            <w:shd w:val="clear" w:color="000000" w:fill="000000"/>
            <w:noWrap/>
            <w:vAlign w:val="center"/>
            <w:hideMark/>
          </w:tcPr>
          <w:p w:rsidR="00B05C65" w:rsidRPr="00C32811" w:rsidRDefault="00BD5961" w:rsidP="00D90F8F">
            <w:pPr>
              <w:rPr>
                <w:rFonts w:ascii="Arial" w:hAnsi="Arial" w:cs="Arial"/>
                <w:b/>
                <w:bCs/>
                <w:color w:val="FFFFFF"/>
                <w:sz w:val="22"/>
                <w:szCs w:val="22"/>
                <w:lang w:eastAsia="en-GB"/>
              </w:rPr>
            </w:pPr>
            <w:r w:rsidRPr="00C32811">
              <w:rPr>
                <w:rFonts w:ascii="Arial" w:hAnsi="Arial" w:cs="Arial"/>
                <w:b/>
                <w:bCs/>
                <w:color w:val="FFFFFF"/>
                <w:sz w:val="22"/>
                <w:szCs w:val="22"/>
                <w:lang w:eastAsia="en-GB"/>
              </w:rPr>
              <w:t>Early Years Block</w:t>
            </w:r>
          </w:p>
        </w:tc>
        <w:tc>
          <w:tcPr>
            <w:tcW w:w="2032" w:type="dxa"/>
            <w:tcBorders>
              <w:top w:val="single" w:sz="4" w:space="0" w:color="auto"/>
              <w:left w:val="single" w:sz="4" w:space="0" w:color="auto"/>
              <w:bottom w:val="single" w:sz="4" w:space="0" w:color="auto"/>
              <w:right w:val="nil"/>
            </w:tcBorders>
            <w:shd w:val="clear" w:color="000000" w:fill="000000"/>
            <w:noWrap/>
            <w:vAlign w:val="center"/>
            <w:hideMark/>
          </w:tcPr>
          <w:p w:rsidR="00B05C65" w:rsidRPr="00C32811" w:rsidRDefault="00BD5961" w:rsidP="00D90F8F">
            <w:pPr>
              <w:rPr>
                <w:rFonts w:ascii="Arial" w:hAnsi="Arial" w:cs="Arial"/>
                <w:b/>
                <w:bCs/>
                <w:color w:val="FFFFFF"/>
                <w:sz w:val="22"/>
                <w:szCs w:val="22"/>
                <w:lang w:eastAsia="en-GB"/>
              </w:rPr>
            </w:pPr>
            <w:r w:rsidRPr="00C32811">
              <w:rPr>
                <w:rFonts w:ascii="Arial" w:hAnsi="Arial" w:cs="Arial"/>
                <w:b/>
                <w:bCs/>
                <w:color w:val="FFFFFF"/>
                <w:sz w:val="22"/>
                <w:szCs w:val="22"/>
                <w:lang w:eastAsia="en-GB"/>
              </w:rPr>
              <w:t>Rate</w:t>
            </w:r>
          </w:p>
        </w:tc>
        <w:tc>
          <w:tcPr>
            <w:tcW w:w="2126" w:type="dxa"/>
            <w:tcBorders>
              <w:top w:val="single" w:sz="4" w:space="0" w:color="auto"/>
              <w:left w:val="single" w:sz="4" w:space="0" w:color="auto"/>
              <w:bottom w:val="single" w:sz="4" w:space="0" w:color="auto"/>
              <w:right w:val="single" w:sz="4" w:space="0" w:color="auto"/>
            </w:tcBorders>
            <w:shd w:val="clear" w:color="000000" w:fill="000000"/>
            <w:vAlign w:val="bottom"/>
            <w:hideMark/>
          </w:tcPr>
          <w:p w:rsidR="00B05C65" w:rsidRPr="00C32811" w:rsidRDefault="002504B2" w:rsidP="002504B2">
            <w:pPr>
              <w:jc w:val="center"/>
              <w:rPr>
                <w:rFonts w:ascii="Arial" w:hAnsi="Arial" w:cs="Arial"/>
                <w:b/>
                <w:bCs/>
                <w:color w:val="FFFFFF"/>
                <w:sz w:val="22"/>
                <w:szCs w:val="22"/>
                <w:lang w:eastAsia="en-GB"/>
              </w:rPr>
            </w:pPr>
            <w:r>
              <w:rPr>
                <w:rFonts w:ascii="Arial" w:hAnsi="Arial" w:cs="Arial"/>
                <w:b/>
                <w:bCs/>
                <w:color w:val="FFFFFF"/>
                <w:sz w:val="22"/>
                <w:szCs w:val="22"/>
                <w:lang w:eastAsia="en-GB"/>
              </w:rPr>
              <w:t>2020/21</w:t>
            </w:r>
            <w:r w:rsidR="00BD5961" w:rsidRPr="00C32811">
              <w:rPr>
                <w:rFonts w:ascii="Arial" w:hAnsi="Arial" w:cs="Arial"/>
                <w:b/>
                <w:bCs/>
                <w:color w:val="FFFFFF"/>
                <w:sz w:val="22"/>
                <w:szCs w:val="22"/>
                <w:lang w:eastAsia="en-GB"/>
              </w:rPr>
              <w:t xml:space="preserve"> </w:t>
            </w:r>
            <w:r>
              <w:rPr>
                <w:rFonts w:ascii="Arial" w:hAnsi="Arial" w:cs="Arial"/>
                <w:b/>
                <w:bCs/>
                <w:color w:val="FFFFFF"/>
                <w:sz w:val="22"/>
                <w:szCs w:val="22"/>
                <w:lang w:eastAsia="en-GB"/>
              </w:rPr>
              <w:t>Indicative</w:t>
            </w:r>
            <w:r w:rsidR="00BD5961" w:rsidRPr="00C32811">
              <w:rPr>
                <w:rFonts w:ascii="Arial" w:hAnsi="Arial" w:cs="Arial"/>
                <w:b/>
                <w:bCs/>
                <w:color w:val="FFFFFF"/>
                <w:sz w:val="22"/>
                <w:szCs w:val="22"/>
                <w:lang w:eastAsia="en-GB"/>
              </w:rPr>
              <w:t xml:space="preserve"> Funding </w:t>
            </w:r>
            <w:r w:rsidR="00A12AEE" w:rsidRPr="00C32811">
              <w:rPr>
                <w:rFonts w:ascii="Arial" w:hAnsi="Arial" w:cs="Arial"/>
                <w:b/>
                <w:bCs/>
                <w:color w:val="FFFFFF"/>
                <w:sz w:val="22"/>
                <w:szCs w:val="22"/>
                <w:lang w:eastAsia="en-GB"/>
              </w:rPr>
              <w:t>(£)</w:t>
            </w:r>
          </w:p>
        </w:tc>
      </w:tr>
      <w:tr w:rsidR="00BD5961" w:rsidRPr="00C32811" w:rsidTr="006F0F87">
        <w:trPr>
          <w:trHeight w:val="285"/>
        </w:trPr>
        <w:tc>
          <w:tcPr>
            <w:tcW w:w="3920" w:type="dxa"/>
            <w:tcBorders>
              <w:top w:val="nil"/>
              <w:left w:val="single" w:sz="4" w:space="0" w:color="auto"/>
              <w:bottom w:val="nil"/>
              <w:right w:val="nil"/>
            </w:tcBorders>
            <w:shd w:val="clear" w:color="auto" w:fill="auto"/>
            <w:noWrap/>
            <w:vAlign w:val="bottom"/>
            <w:hideMark/>
          </w:tcPr>
          <w:p w:rsidR="00BD5961" w:rsidRPr="00C32811" w:rsidRDefault="00BD5961" w:rsidP="00F7785D">
            <w:pPr>
              <w:rPr>
                <w:rFonts w:ascii="Arial" w:hAnsi="Arial" w:cs="Arial"/>
                <w:color w:val="000000"/>
                <w:sz w:val="22"/>
                <w:szCs w:val="22"/>
                <w:lang w:eastAsia="en-GB"/>
              </w:rPr>
            </w:pPr>
            <w:r w:rsidRPr="00C32811">
              <w:rPr>
                <w:rFonts w:ascii="Arial" w:hAnsi="Arial" w:cs="Arial"/>
                <w:color w:val="000000"/>
                <w:sz w:val="22"/>
                <w:szCs w:val="22"/>
                <w:lang w:eastAsia="en-GB"/>
              </w:rPr>
              <w:t xml:space="preserve">3/4 Year Old Funding </w:t>
            </w:r>
          </w:p>
        </w:tc>
        <w:tc>
          <w:tcPr>
            <w:tcW w:w="2032" w:type="dxa"/>
            <w:tcBorders>
              <w:top w:val="nil"/>
              <w:left w:val="single" w:sz="4" w:space="0" w:color="auto"/>
              <w:bottom w:val="nil"/>
              <w:right w:val="nil"/>
            </w:tcBorders>
            <w:shd w:val="clear" w:color="auto" w:fill="auto"/>
            <w:noWrap/>
            <w:vAlign w:val="bottom"/>
            <w:hideMark/>
          </w:tcPr>
          <w:p w:rsidR="00BD5961" w:rsidRPr="00C32811" w:rsidRDefault="002504B2" w:rsidP="00F7785D">
            <w:pPr>
              <w:rPr>
                <w:rFonts w:ascii="Arial" w:hAnsi="Arial" w:cs="Arial"/>
                <w:color w:val="000000"/>
                <w:sz w:val="22"/>
                <w:szCs w:val="22"/>
                <w:lang w:eastAsia="en-GB"/>
              </w:rPr>
            </w:pPr>
            <w:r>
              <w:rPr>
                <w:rFonts w:ascii="Arial" w:hAnsi="Arial" w:cs="Arial"/>
                <w:color w:val="000000"/>
                <w:sz w:val="22"/>
                <w:szCs w:val="22"/>
                <w:lang w:eastAsia="en-GB"/>
              </w:rPr>
              <w:t>£4.57</w:t>
            </w:r>
            <w:r w:rsidR="00BD5961" w:rsidRPr="00C32811">
              <w:rPr>
                <w:rFonts w:ascii="Arial" w:hAnsi="Arial" w:cs="Arial"/>
                <w:color w:val="000000"/>
                <w:sz w:val="22"/>
                <w:szCs w:val="22"/>
                <w:lang w:eastAsia="en-GB"/>
              </w:rPr>
              <w:t xml:space="preserve"> per hour</w:t>
            </w:r>
          </w:p>
        </w:tc>
        <w:tc>
          <w:tcPr>
            <w:tcW w:w="2126" w:type="dxa"/>
            <w:tcBorders>
              <w:top w:val="nil"/>
              <w:left w:val="single" w:sz="4" w:space="0" w:color="auto"/>
              <w:bottom w:val="nil"/>
              <w:right w:val="single" w:sz="4" w:space="0" w:color="auto"/>
            </w:tcBorders>
            <w:shd w:val="clear" w:color="auto" w:fill="auto"/>
            <w:noWrap/>
            <w:vAlign w:val="bottom"/>
            <w:hideMark/>
          </w:tcPr>
          <w:p w:rsidR="00B05C65" w:rsidRPr="00C32811" w:rsidRDefault="002504B2" w:rsidP="00D90F8F">
            <w:pPr>
              <w:jc w:val="right"/>
              <w:rPr>
                <w:rFonts w:ascii="Arial" w:hAnsi="Arial" w:cs="Arial"/>
                <w:color w:val="000000"/>
                <w:sz w:val="22"/>
                <w:szCs w:val="22"/>
                <w:lang w:eastAsia="en-GB"/>
              </w:rPr>
            </w:pPr>
            <w:r>
              <w:rPr>
                <w:rFonts w:ascii="Arial" w:hAnsi="Arial" w:cs="Arial"/>
                <w:color w:val="000000"/>
                <w:sz w:val="22"/>
                <w:szCs w:val="22"/>
                <w:lang w:eastAsia="en-GB"/>
              </w:rPr>
              <w:t>4,729,196</w:t>
            </w:r>
          </w:p>
        </w:tc>
      </w:tr>
      <w:tr w:rsidR="00BD5961" w:rsidRPr="00C32811" w:rsidTr="006F0F87">
        <w:trPr>
          <w:trHeight w:val="285"/>
        </w:trPr>
        <w:tc>
          <w:tcPr>
            <w:tcW w:w="3920" w:type="dxa"/>
            <w:tcBorders>
              <w:top w:val="nil"/>
              <w:left w:val="single" w:sz="4" w:space="0" w:color="auto"/>
              <w:bottom w:val="nil"/>
              <w:right w:val="nil"/>
            </w:tcBorders>
            <w:shd w:val="clear" w:color="auto" w:fill="auto"/>
            <w:noWrap/>
            <w:vAlign w:val="bottom"/>
            <w:hideMark/>
          </w:tcPr>
          <w:p w:rsidR="00BD5961" w:rsidRPr="00C32811" w:rsidRDefault="00BD5961" w:rsidP="00F7785D">
            <w:pPr>
              <w:rPr>
                <w:rFonts w:ascii="Arial" w:hAnsi="Arial" w:cs="Arial"/>
                <w:color w:val="000000"/>
                <w:sz w:val="22"/>
                <w:szCs w:val="22"/>
                <w:lang w:eastAsia="en-GB"/>
              </w:rPr>
            </w:pPr>
            <w:r w:rsidRPr="00C32811">
              <w:rPr>
                <w:rFonts w:ascii="Arial" w:hAnsi="Arial" w:cs="Arial"/>
                <w:color w:val="000000"/>
                <w:sz w:val="22"/>
                <w:szCs w:val="22"/>
                <w:lang w:eastAsia="en-GB"/>
              </w:rPr>
              <w:t>Disability Access Fund</w:t>
            </w:r>
            <w:r w:rsidR="00A90B1A" w:rsidRPr="00C32811">
              <w:rPr>
                <w:rFonts w:ascii="Arial" w:hAnsi="Arial" w:cs="Arial"/>
                <w:color w:val="000000"/>
                <w:sz w:val="22"/>
                <w:szCs w:val="22"/>
                <w:lang w:eastAsia="en-GB"/>
              </w:rPr>
              <w:t xml:space="preserve"> (DAF)</w:t>
            </w:r>
          </w:p>
        </w:tc>
        <w:tc>
          <w:tcPr>
            <w:tcW w:w="2032" w:type="dxa"/>
            <w:tcBorders>
              <w:top w:val="nil"/>
              <w:left w:val="single" w:sz="4" w:space="0" w:color="auto"/>
              <w:bottom w:val="nil"/>
              <w:right w:val="nil"/>
            </w:tcBorders>
            <w:shd w:val="clear" w:color="auto" w:fill="auto"/>
            <w:noWrap/>
            <w:vAlign w:val="bottom"/>
            <w:hideMark/>
          </w:tcPr>
          <w:p w:rsidR="00BD5961" w:rsidRPr="00C32811" w:rsidRDefault="00BD5961" w:rsidP="00F7785D">
            <w:pPr>
              <w:rPr>
                <w:rFonts w:ascii="Arial" w:hAnsi="Arial" w:cs="Arial"/>
                <w:color w:val="000000"/>
                <w:sz w:val="22"/>
                <w:szCs w:val="22"/>
                <w:lang w:eastAsia="en-GB"/>
              </w:rPr>
            </w:pPr>
            <w:r w:rsidRPr="00C32811">
              <w:rPr>
                <w:rFonts w:ascii="Arial" w:hAnsi="Arial" w:cs="Arial"/>
                <w:color w:val="000000"/>
                <w:sz w:val="22"/>
                <w:szCs w:val="22"/>
                <w:lang w:eastAsia="en-GB"/>
              </w:rPr>
              <w:t>£615 per pupil</w:t>
            </w:r>
          </w:p>
        </w:tc>
        <w:tc>
          <w:tcPr>
            <w:tcW w:w="2126" w:type="dxa"/>
            <w:tcBorders>
              <w:top w:val="nil"/>
              <w:left w:val="single" w:sz="4" w:space="0" w:color="auto"/>
              <w:bottom w:val="nil"/>
              <w:right w:val="single" w:sz="4" w:space="0" w:color="auto"/>
            </w:tcBorders>
            <w:shd w:val="clear" w:color="auto" w:fill="auto"/>
            <w:noWrap/>
            <w:vAlign w:val="bottom"/>
            <w:hideMark/>
          </w:tcPr>
          <w:p w:rsidR="00B05C65" w:rsidRPr="00C32811" w:rsidRDefault="00E30BAC" w:rsidP="00D90F8F">
            <w:pPr>
              <w:jc w:val="right"/>
              <w:rPr>
                <w:rFonts w:ascii="Arial" w:hAnsi="Arial" w:cs="Arial"/>
                <w:color w:val="000000"/>
                <w:sz w:val="22"/>
                <w:szCs w:val="22"/>
                <w:lang w:eastAsia="en-GB"/>
              </w:rPr>
            </w:pPr>
            <w:r>
              <w:rPr>
                <w:rFonts w:ascii="Arial" w:hAnsi="Arial" w:cs="Arial"/>
                <w:color w:val="000000"/>
                <w:sz w:val="22"/>
                <w:szCs w:val="22"/>
                <w:lang w:eastAsia="en-GB"/>
              </w:rPr>
              <w:t>31,365</w:t>
            </w:r>
          </w:p>
        </w:tc>
      </w:tr>
      <w:tr w:rsidR="00BD5961" w:rsidRPr="00C32811" w:rsidTr="006F0F87">
        <w:trPr>
          <w:trHeight w:val="285"/>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BD5961" w:rsidRPr="00C32811" w:rsidRDefault="00BD5961" w:rsidP="00F7785D">
            <w:pPr>
              <w:rPr>
                <w:rFonts w:ascii="Arial" w:hAnsi="Arial" w:cs="Arial"/>
                <w:color w:val="000000"/>
                <w:sz w:val="22"/>
                <w:szCs w:val="22"/>
                <w:lang w:eastAsia="en-GB"/>
              </w:rPr>
            </w:pPr>
            <w:r w:rsidRPr="00C32811">
              <w:rPr>
                <w:rFonts w:ascii="Arial" w:hAnsi="Arial" w:cs="Arial"/>
                <w:color w:val="000000"/>
                <w:sz w:val="22"/>
                <w:szCs w:val="22"/>
                <w:lang w:eastAsia="en-GB"/>
              </w:rPr>
              <w:lastRenderedPageBreak/>
              <w:t>Pupil Premium</w:t>
            </w:r>
          </w:p>
        </w:tc>
        <w:tc>
          <w:tcPr>
            <w:tcW w:w="2032" w:type="dxa"/>
            <w:tcBorders>
              <w:top w:val="nil"/>
              <w:left w:val="nil"/>
              <w:bottom w:val="single" w:sz="4" w:space="0" w:color="auto"/>
              <w:right w:val="single" w:sz="4" w:space="0" w:color="auto"/>
            </w:tcBorders>
            <w:shd w:val="clear" w:color="auto" w:fill="auto"/>
            <w:noWrap/>
            <w:vAlign w:val="bottom"/>
            <w:hideMark/>
          </w:tcPr>
          <w:p w:rsidR="00BD5961" w:rsidRPr="00C32811" w:rsidRDefault="00BD5961" w:rsidP="00F7785D">
            <w:pPr>
              <w:ind w:right="-250"/>
              <w:rPr>
                <w:rFonts w:ascii="Arial" w:hAnsi="Arial" w:cs="Arial"/>
                <w:color w:val="000000"/>
                <w:sz w:val="22"/>
                <w:szCs w:val="22"/>
                <w:lang w:eastAsia="en-GB"/>
              </w:rPr>
            </w:pPr>
            <w:r w:rsidRPr="00C32811">
              <w:rPr>
                <w:rFonts w:ascii="Arial" w:hAnsi="Arial" w:cs="Arial"/>
                <w:color w:val="000000"/>
                <w:sz w:val="22"/>
                <w:szCs w:val="22"/>
                <w:lang w:eastAsia="en-GB"/>
              </w:rPr>
              <w:t>£</w:t>
            </w:r>
            <w:r w:rsidR="00340CC7" w:rsidRPr="00C32811">
              <w:rPr>
                <w:rFonts w:ascii="Arial" w:hAnsi="Arial" w:cs="Arial"/>
                <w:color w:val="000000"/>
                <w:sz w:val="22"/>
                <w:szCs w:val="22"/>
                <w:lang w:eastAsia="en-GB"/>
              </w:rPr>
              <w:t>0.53</w:t>
            </w:r>
            <w:r w:rsidRPr="00C32811">
              <w:rPr>
                <w:rFonts w:ascii="Arial" w:hAnsi="Arial" w:cs="Arial"/>
                <w:color w:val="000000"/>
                <w:sz w:val="22"/>
                <w:szCs w:val="22"/>
                <w:lang w:eastAsia="en-GB"/>
              </w:rPr>
              <w:t xml:space="preserve"> per</w:t>
            </w:r>
            <w:r w:rsidR="00340CC7" w:rsidRPr="00C32811">
              <w:rPr>
                <w:rFonts w:ascii="Arial" w:hAnsi="Arial" w:cs="Arial"/>
                <w:color w:val="000000"/>
                <w:sz w:val="22"/>
                <w:szCs w:val="22"/>
                <w:lang w:eastAsia="en-GB"/>
              </w:rPr>
              <w:t xml:space="preserve"> hour</w:t>
            </w:r>
          </w:p>
        </w:tc>
        <w:tc>
          <w:tcPr>
            <w:tcW w:w="2126" w:type="dxa"/>
            <w:tcBorders>
              <w:top w:val="nil"/>
              <w:left w:val="nil"/>
              <w:bottom w:val="single" w:sz="4" w:space="0" w:color="auto"/>
              <w:right w:val="single" w:sz="4" w:space="0" w:color="auto"/>
            </w:tcBorders>
            <w:shd w:val="clear" w:color="auto" w:fill="auto"/>
            <w:noWrap/>
            <w:vAlign w:val="bottom"/>
            <w:hideMark/>
          </w:tcPr>
          <w:p w:rsidR="00B05C65" w:rsidRPr="00C32811" w:rsidRDefault="00E30BAC" w:rsidP="00D90F8F">
            <w:pPr>
              <w:jc w:val="right"/>
              <w:rPr>
                <w:rFonts w:ascii="Arial" w:hAnsi="Arial" w:cs="Arial"/>
                <w:color w:val="000000"/>
                <w:sz w:val="22"/>
                <w:szCs w:val="22"/>
                <w:lang w:eastAsia="en-GB"/>
              </w:rPr>
            </w:pPr>
            <w:r>
              <w:rPr>
                <w:rFonts w:ascii="Arial" w:hAnsi="Arial" w:cs="Arial"/>
                <w:color w:val="000000"/>
                <w:sz w:val="22"/>
                <w:szCs w:val="22"/>
                <w:lang w:eastAsia="en-GB"/>
              </w:rPr>
              <w:t>141,685</w:t>
            </w:r>
          </w:p>
        </w:tc>
      </w:tr>
      <w:tr w:rsidR="00BD5961" w:rsidRPr="00C32811" w:rsidTr="006F0F87">
        <w:trPr>
          <w:trHeight w:val="285"/>
        </w:trPr>
        <w:tc>
          <w:tcPr>
            <w:tcW w:w="3920" w:type="dxa"/>
            <w:tcBorders>
              <w:top w:val="nil"/>
              <w:left w:val="single" w:sz="4" w:space="0" w:color="auto"/>
              <w:bottom w:val="nil"/>
              <w:right w:val="nil"/>
            </w:tcBorders>
            <w:shd w:val="clear" w:color="auto" w:fill="auto"/>
            <w:noWrap/>
            <w:vAlign w:val="bottom"/>
            <w:hideMark/>
          </w:tcPr>
          <w:p w:rsidR="00BD5961" w:rsidRPr="00C32811" w:rsidRDefault="002A2FED" w:rsidP="00F7785D">
            <w:pPr>
              <w:rPr>
                <w:rFonts w:ascii="Arial" w:hAnsi="Arial" w:cs="Arial"/>
                <w:color w:val="000000"/>
                <w:sz w:val="22"/>
                <w:szCs w:val="22"/>
                <w:lang w:eastAsia="en-GB"/>
              </w:rPr>
            </w:pPr>
            <w:r w:rsidRPr="00C32811">
              <w:rPr>
                <w:rFonts w:ascii="Arial" w:hAnsi="Arial" w:cs="Arial"/>
                <w:color w:val="000000"/>
                <w:sz w:val="22"/>
                <w:szCs w:val="22"/>
                <w:lang w:eastAsia="en-GB"/>
              </w:rPr>
              <w:t xml:space="preserve">Total </w:t>
            </w:r>
            <w:r w:rsidR="00BD5961" w:rsidRPr="00C32811">
              <w:rPr>
                <w:rFonts w:ascii="Arial" w:hAnsi="Arial" w:cs="Arial"/>
                <w:color w:val="000000"/>
                <w:sz w:val="22"/>
                <w:szCs w:val="22"/>
                <w:lang w:eastAsia="en-GB"/>
              </w:rPr>
              <w:t xml:space="preserve">3/4 Funding </w:t>
            </w:r>
          </w:p>
        </w:tc>
        <w:tc>
          <w:tcPr>
            <w:tcW w:w="2032" w:type="dxa"/>
            <w:tcBorders>
              <w:top w:val="nil"/>
              <w:left w:val="single" w:sz="4" w:space="0" w:color="auto"/>
              <w:bottom w:val="nil"/>
              <w:right w:val="single" w:sz="4" w:space="0" w:color="auto"/>
            </w:tcBorders>
            <w:shd w:val="clear" w:color="auto" w:fill="auto"/>
            <w:noWrap/>
            <w:vAlign w:val="bottom"/>
            <w:hideMark/>
          </w:tcPr>
          <w:p w:rsidR="00B05C65" w:rsidRPr="00C32811" w:rsidRDefault="00BD5961" w:rsidP="00D90F8F">
            <w:pPr>
              <w:jc w:val="right"/>
              <w:rPr>
                <w:rFonts w:ascii="Arial" w:hAnsi="Arial" w:cs="Arial"/>
                <w:color w:val="000000"/>
                <w:sz w:val="22"/>
                <w:szCs w:val="22"/>
                <w:lang w:eastAsia="en-GB"/>
              </w:rPr>
            </w:pPr>
            <w:r w:rsidRPr="00C32811">
              <w:rPr>
                <w:rFonts w:ascii="Arial" w:hAnsi="Arial" w:cs="Arial"/>
                <w:color w:val="000000"/>
                <w:sz w:val="22"/>
                <w:szCs w:val="22"/>
                <w:lang w:eastAsia="en-GB"/>
              </w:rPr>
              <w:t> </w:t>
            </w:r>
          </w:p>
        </w:tc>
        <w:tc>
          <w:tcPr>
            <w:tcW w:w="2126" w:type="dxa"/>
            <w:tcBorders>
              <w:top w:val="nil"/>
              <w:left w:val="nil"/>
              <w:bottom w:val="nil"/>
              <w:right w:val="single" w:sz="4" w:space="0" w:color="auto"/>
            </w:tcBorders>
            <w:shd w:val="clear" w:color="auto" w:fill="auto"/>
            <w:noWrap/>
            <w:vAlign w:val="bottom"/>
            <w:hideMark/>
          </w:tcPr>
          <w:p w:rsidR="00B05C65" w:rsidRPr="00C32811" w:rsidRDefault="002504B2" w:rsidP="00E30BAC">
            <w:pPr>
              <w:jc w:val="right"/>
              <w:rPr>
                <w:rFonts w:ascii="Arial" w:hAnsi="Arial" w:cs="Arial"/>
                <w:color w:val="000000"/>
                <w:sz w:val="22"/>
                <w:szCs w:val="22"/>
                <w:lang w:eastAsia="en-GB"/>
              </w:rPr>
            </w:pPr>
            <w:r>
              <w:rPr>
                <w:rFonts w:ascii="Arial" w:hAnsi="Arial" w:cs="Arial"/>
                <w:color w:val="000000"/>
                <w:sz w:val="22"/>
                <w:szCs w:val="22"/>
                <w:lang w:eastAsia="en-GB"/>
              </w:rPr>
              <w:t>4,</w:t>
            </w:r>
            <w:r w:rsidR="00E30BAC">
              <w:rPr>
                <w:rFonts w:ascii="Arial" w:hAnsi="Arial" w:cs="Arial"/>
                <w:color w:val="000000"/>
                <w:sz w:val="22"/>
                <w:szCs w:val="22"/>
                <w:lang w:eastAsia="en-GB"/>
              </w:rPr>
              <w:t>902,246</w:t>
            </w:r>
          </w:p>
        </w:tc>
      </w:tr>
      <w:tr w:rsidR="00BD5961" w:rsidRPr="00C32811" w:rsidTr="006F0F87">
        <w:trPr>
          <w:trHeight w:val="285"/>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BD5961" w:rsidRPr="00C32811" w:rsidRDefault="00BD5961" w:rsidP="00F7785D">
            <w:pPr>
              <w:rPr>
                <w:rFonts w:ascii="Arial" w:hAnsi="Arial" w:cs="Arial"/>
                <w:color w:val="000000"/>
                <w:sz w:val="22"/>
                <w:szCs w:val="22"/>
                <w:lang w:eastAsia="en-GB"/>
              </w:rPr>
            </w:pPr>
            <w:r w:rsidRPr="00C32811">
              <w:rPr>
                <w:rFonts w:ascii="Arial" w:hAnsi="Arial" w:cs="Arial"/>
                <w:color w:val="000000"/>
                <w:sz w:val="22"/>
                <w:szCs w:val="22"/>
                <w:lang w:eastAsia="en-GB"/>
              </w:rPr>
              <w:t>2 Year Old Funding</w:t>
            </w:r>
          </w:p>
        </w:tc>
        <w:tc>
          <w:tcPr>
            <w:tcW w:w="2032" w:type="dxa"/>
            <w:tcBorders>
              <w:top w:val="nil"/>
              <w:left w:val="nil"/>
              <w:bottom w:val="nil"/>
              <w:right w:val="nil"/>
            </w:tcBorders>
            <w:shd w:val="clear" w:color="auto" w:fill="auto"/>
            <w:noWrap/>
            <w:vAlign w:val="bottom"/>
            <w:hideMark/>
          </w:tcPr>
          <w:p w:rsidR="00BD5961" w:rsidRPr="00C32811" w:rsidRDefault="002504B2" w:rsidP="00F7785D">
            <w:pPr>
              <w:rPr>
                <w:rFonts w:ascii="Arial" w:hAnsi="Arial" w:cs="Arial"/>
                <w:color w:val="000000"/>
                <w:sz w:val="22"/>
                <w:szCs w:val="22"/>
                <w:lang w:eastAsia="en-GB"/>
              </w:rPr>
            </w:pPr>
            <w:r>
              <w:rPr>
                <w:rFonts w:ascii="Arial" w:hAnsi="Arial" w:cs="Arial"/>
                <w:color w:val="000000"/>
                <w:sz w:val="22"/>
                <w:szCs w:val="22"/>
                <w:lang w:eastAsia="en-GB"/>
              </w:rPr>
              <w:t>£5.28</w:t>
            </w:r>
            <w:r w:rsidR="00BD5961" w:rsidRPr="00C32811">
              <w:rPr>
                <w:rFonts w:ascii="Arial" w:hAnsi="Arial" w:cs="Arial"/>
                <w:color w:val="000000"/>
                <w:sz w:val="22"/>
                <w:szCs w:val="22"/>
                <w:lang w:eastAsia="en-GB"/>
              </w:rPr>
              <w:t xml:space="preserve"> per pupil</w:t>
            </w:r>
          </w:p>
        </w:tc>
        <w:tc>
          <w:tcPr>
            <w:tcW w:w="2126" w:type="dxa"/>
            <w:tcBorders>
              <w:top w:val="nil"/>
              <w:left w:val="single" w:sz="4" w:space="0" w:color="auto"/>
              <w:bottom w:val="nil"/>
              <w:right w:val="single" w:sz="4" w:space="0" w:color="auto"/>
            </w:tcBorders>
            <w:shd w:val="clear" w:color="auto" w:fill="auto"/>
            <w:noWrap/>
            <w:vAlign w:val="bottom"/>
            <w:hideMark/>
          </w:tcPr>
          <w:p w:rsidR="00B05C65" w:rsidRPr="00C32811" w:rsidRDefault="002504B2" w:rsidP="008F7F6C">
            <w:pPr>
              <w:jc w:val="right"/>
              <w:rPr>
                <w:rFonts w:ascii="Arial" w:hAnsi="Arial" w:cs="Arial"/>
                <w:color w:val="000000"/>
                <w:sz w:val="22"/>
                <w:szCs w:val="22"/>
                <w:lang w:eastAsia="en-GB"/>
              </w:rPr>
            </w:pPr>
            <w:r>
              <w:rPr>
                <w:rFonts w:ascii="Arial" w:hAnsi="Arial" w:cs="Arial"/>
                <w:color w:val="000000"/>
                <w:sz w:val="22"/>
                <w:szCs w:val="22"/>
                <w:lang w:eastAsia="en-GB"/>
              </w:rPr>
              <w:t>1,339,272</w:t>
            </w:r>
          </w:p>
        </w:tc>
      </w:tr>
      <w:tr w:rsidR="00BD5961" w:rsidRPr="00C32811" w:rsidTr="006F0F87">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BD5961" w:rsidRPr="00C32811" w:rsidRDefault="00BD5961" w:rsidP="002504B2">
            <w:pPr>
              <w:rPr>
                <w:rFonts w:ascii="Arial" w:hAnsi="Arial" w:cs="Arial"/>
                <w:b/>
                <w:bCs/>
                <w:color w:val="000000"/>
                <w:sz w:val="22"/>
                <w:szCs w:val="22"/>
                <w:lang w:eastAsia="en-GB"/>
              </w:rPr>
            </w:pPr>
            <w:r w:rsidRPr="00C32811">
              <w:rPr>
                <w:rFonts w:ascii="Arial" w:hAnsi="Arial" w:cs="Arial"/>
                <w:b/>
                <w:bCs/>
                <w:color w:val="000000"/>
                <w:sz w:val="22"/>
                <w:szCs w:val="22"/>
                <w:lang w:eastAsia="en-GB"/>
              </w:rPr>
              <w:t xml:space="preserve">Total </w:t>
            </w:r>
            <w:r w:rsidR="002504B2">
              <w:rPr>
                <w:rFonts w:ascii="Arial" w:hAnsi="Arial" w:cs="Arial"/>
                <w:b/>
                <w:bCs/>
                <w:color w:val="000000"/>
                <w:sz w:val="22"/>
                <w:szCs w:val="22"/>
                <w:lang w:eastAsia="en-GB"/>
              </w:rPr>
              <w:t>Indicative</w:t>
            </w:r>
            <w:r w:rsidRPr="00C32811">
              <w:rPr>
                <w:rFonts w:ascii="Arial" w:hAnsi="Arial" w:cs="Arial"/>
                <w:b/>
                <w:bCs/>
                <w:color w:val="000000"/>
                <w:sz w:val="22"/>
                <w:szCs w:val="22"/>
                <w:lang w:eastAsia="en-GB"/>
              </w:rPr>
              <w:t xml:space="preserve"> Early Years Block</w:t>
            </w:r>
          </w:p>
        </w:tc>
        <w:tc>
          <w:tcPr>
            <w:tcW w:w="2032" w:type="dxa"/>
            <w:tcBorders>
              <w:top w:val="single" w:sz="4" w:space="0" w:color="auto"/>
              <w:left w:val="nil"/>
              <w:bottom w:val="single" w:sz="4" w:space="0" w:color="auto"/>
              <w:right w:val="nil"/>
            </w:tcBorders>
            <w:shd w:val="clear" w:color="auto" w:fill="auto"/>
            <w:noWrap/>
            <w:vAlign w:val="bottom"/>
            <w:hideMark/>
          </w:tcPr>
          <w:p w:rsidR="00BD5961" w:rsidRPr="00C32811" w:rsidRDefault="00BD5961" w:rsidP="00F7785D">
            <w:pPr>
              <w:rPr>
                <w:rFonts w:ascii="Arial" w:hAnsi="Arial" w:cs="Arial"/>
                <w:color w:val="000000"/>
                <w:sz w:val="22"/>
                <w:szCs w:val="22"/>
                <w:lang w:eastAsia="en-GB"/>
              </w:rPr>
            </w:pPr>
            <w:r w:rsidRPr="00C32811">
              <w:rPr>
                <w:rFonts w:ascii="Arial" w:hAnsi="Arial" w:cs="Arial"/>
                <w:color w:val="000000"/>
                <w:sz w:val="22"/>
                <w:szCs w:val="22"/>
                <w:lang w:eastAsia="en-GB"/>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5C65" w:rsidRPr="00C32811" w:rsidRDefault="00E30BAC" w:rsidP="008F7F6C">
            <w:pPr>
              <w:jc w:val="right"/>
              <w:rPr>
                <w:rFonts w:ascii="Arial" w:hAnsi="Arial" w:cs="Arial"/>
                <w:b/>
                <w:bCs/>
                <w:color w:val="000000"/>
                <w:sz w:val="22"/>
                <w:szCs w:val="22"/>
                <w:lang w:eastAsia="en-GB"/>
              </w:rPr>
            </w:pPr>
            <w:r>
              <w:rPr>
                <w:rFonts w:ascii="Arial" w:hAnsi="Arial" w:cs="Arial"/>
                <w:b/>
                <w:bCs/>
                <w:color w:val="000000"/>
                <w:sz w:val="22"/>
                <w:szCs w:val="22"/>
                <w:lang w:eastAsia="en-GB"/>
              </w:rPr>
              <w:t>6,241,518</w:t>
            </w:r>
          </w:p>
        </w:tc>
      </w:tr>
    </w:tbl>
    <w:p w:rsidR="00BD5961" w:rsidRPr="00C32811" w:rsidRDefault="00BD5961" w:rsidP="00F7785D">
      <w:pPr>
        <w:ind w:left="709" w:hanging="709"/>
        <w:rPr>
          <w:rFonts w:ascii="Arial" w:hAnsi="Arial" w:cs="Arial"/>
        </w:rPr>
      </w:pPr>
    </w:p>
    <w:p w:rsidR="00BD5961" w:rsidRPr="00C32811" w:rsidRDefault="00BD5961" w:rsidP="00F7785D">
      <w:pPr>
        <w:ind w:left="709" w:hanging="709"/>
        <w:rPr>
          <w:rFonts w:ascii="Arial" w:hAnsi="Arial" w:cs="Arial"/>
        </w:rPr>
      </w:pPr>
    </w:p>
    <w:p w:rsidR="006F0F87" w:rsidRDefault="007211E4" w:rsidP="00F7785D">
      <w:pPr>
        <w:ind w:left="709" w:hanging="709"/>
        <w:rPr>
          <w:rFonts w:ascii="Arial" w:hAnsi="Arial" w:cs="Arial"/>
        </w:rPr>
      </w:pPr>
      <w:r w:rsidRPr="00C32811">
        <w:rPr>
          <w:rFonts w:ascii="Arial" w:hAnsi="Arial" w:cs="Arial"/>
        </w:rPr>
        <w:t>3.2</w:t>
      </w:r>
      <w:r w:rsidR="00BD5961" w:rsidRPr="00C32811">
        <w:rPr>
          <w:rFonts w:ascii="Arial" w:hAnsi="Arial" w:cs="Arial"/>
        </w:rPr>
        <w:tab/>
      </w:r>
      <w:r w:rsidR="002504B2">
        <w:rPr>
          <w:rFonts w:ascii="Arial" w:hAnsi="Arial" w:cs="Arial"/>
        </w:rPr>
        <w:t xml:space="preserve">Hourly rate funding increases </w:t>
      </w:r>
      <w:r w:rsidR="00744FFF">
        <w:rPr>
          <w:rFonts w:ascii="Arial" w:hAnsi="Arial" w:cs="Arial"/>
        </w:rPr>
        <w:t>for 2020/21 have been announced and are included in the table above. The increases are from £4.49 to £4.57 for three to four year old provision and from £5.20 to £5.28 for two year old provision.</w:t>
      </w:r>
      <w:r w:rsidR="006F0F87" w:rsidRPr="00C32811">
        <w:rPr>
          <w:rFonts w:ascii="Arial" w:hAnsi="Arial" w:cs="Arial"/>
        </w:rPr>
        <w:t xml:space="preserve"> </w:t>
      </w:r>
    </w:p>
    <w:p w:rsidR="00744FFF" w:rsidRDefault="00744FFF" w:rsidP="00F7785D">
      <w:pPr>
        <w:ind w:left="709" w:hanging="709"/>
        <w:rPr>
          <w:rFonts w:ascii="Arial" w:hAnsi="Arial" w:cs="Arial"/>
        </w:rPr>
      </w:pPr>
    </w:p>
    <w:p w:rsidR="00744FFF" w:rsidRDefault="00744FFF" w:rsidP="00F7785D">
      <w:pPr>
        <w:ind w:left="709" w:hanging="709"/>
        <w:rPr>
          <w:rFonts w:ascii="Arial" w:hAnsi="Arial" w:cs="Arial"/>
        </w:rPr>
      </w:pPr>
      <w:r>
        <w:rPr>
          <w:rFonts w:ascii="Arial" w:hAnsi="Arial" w:cs="Arial"/>
        </w:rPr>
        <w:t>3.3</w:t>
      </w:r>
      <w:r>
        <w:rPr>
          <w:rFonts w:ascii="Arial" w:hAnsi="Arial" w:cs="Arial"/>
        </w:rPr>
        <w:tab/>
        <w:t>The funding increase for three to four year olds is subject to the 95% pass-through rate regulation so should be reflected in a revised hourly rate calculation for provider payments.</w:t>
      </w:r>
    </w:p>
    <w:p w:rsidR="00744FFF" w:rsidRDefault="00744FFF" w:rsidP="00F7785D">
      <w:pPr>
        <w:ind w:left="709" w:hanging="709"/>
        <w:rPr>
          <w:rFonts w:ascii="Arial" w:hAnsi="Arial" w:cs="Arial"/>
        </w:rPr>
      </w:pPr>
    </w:p>
    <w:p w:rsidR="00744FFF" w:rsidRPr="00C32811" w:rsidRDefault="00744FFF" w:rsidP="00F7785D">
      <w:pPr>
        <w:ind w:left="709" w:hanging="709"/>
        <w:rPr>
          <w:rFonts w:ascii="Arial" w:hAnsi="Arial" w:cs="Arial"/>
        </w:rPr>
      </w:pPr>
      <w:r>
        <w:rPr>
          <w:rFonts w:ascii="Arial" w:hAnsi="Arial" w:cs="Arial"/>
        </w:rPr>
        <w:t>3.4</w:t>
      </w:r>
      <w:r>
        <w:rPr>
          <w:rFonts w:ascii="Arial" w:hAnsi="Arial" w:cs="Arial"/>
        </w:rPr>
        <w:tab/>
        <w:t>Provider payments relating to two year old provision are not subject to a pass-through rate requirement. This means that the 8p per hour increase does not necessarily have to be passed in full to providers.</w:t>
      </w:r>
    </w:p>
    <w:p w:rsidR="006F0F87" w:rsidRPr="00C32811" w:rsidRDefault="006F0F87" w:rsidP="00F7785D">
      <w:pPr>
        <w:ind w:left="709" w:hanging="709"/>
        <w:rPr>
          <w:rFonts w:ascii="Arial" w:hAnsi="Arial" w:cs="Arial"/>
        </w:rPr>
      </w:pPr>
    </w:p>
    <w:p w:rsidR="006F0F87" w:rsidRPr="00C32811" w:rsidRDefault="006F0F87" w:rsidP="00F7785D">
      <w:pPr>
        <w:ind w:left="709" w:hanging="709"/>
        <w:rPr>
          <w:color w:val="C55A11"/>
        </w:rPr>
      </w:pPr>
      <w:r w:rsidRPr="00C32811">
        <w:rPr>
          <w:color w:val="C55A11"/>
        </w:rPr>
        <w:t xml:space="preserve"> </w:t>
      </w:r>
    </w:p>
    <w:p w:rsidR="006F0F87" w:rsidRPr="00C32811" w:rsidRDefault="00744FFF" w:rsidP="00F7785D">
      <w:pPr>
        <w:ind w:left="709" w:hanging="709"/>
        <w:rPr>
          <w:rFonts w:ascii="Arial" w:hAnsi="Arial" w:cs="Arial"/>
          <w:b/>
        </w:rPr>
      </w:pPr>
      <w:r>
        <w:rPr>
          <w:rFonts w:ascii="Arial" w:hAnsi="Arial" w:cs="Arial"/>
          <w:b/>
        </w:rPr>
        <w:t>4</w:t>
      </w:r>
      <w:r w:rsidR="00F41305" w:rsidRPr="00C32811">
        <w:rPr>
          <w:rFonts w:ascii="Arial" w:hAnsi="Arial" w:cs="Arial"/>
          <w:b/>
        </w:rPr>
        <w:t xml:space="preserve">. </w:t>
      </w:r>
      <w:r w:rsidR="00F41305" w:rsidRPr="00C32811">
        <w:rPr>
          <w:rFonts w:ascii="Arial" w:hAnsi="Arial" w:cs="Arial"/>
          <w:b/>
        </w:rPr>
        <w:tab/>
      </w:r>
      <w:r>
        <w:rPr>
          <w:rFonts w:ascii="Arial" w:hAnsi="Arial" w:cs="Arial"/>
          <w:b/>
          <w:u w:val="single"/>
        </w:rPr>
        <w:t>Proposed Hourly Rate S</w:t>
      </w:r>
      <w:r w:rsidR="00F41305" w:rsidRPr="00C32811">
        <w:rPr>
          <w:rFonts w:ascii="Arial" w:hAnsi="Arial" w:cs="Arial"/>
          <w:b/>
          <w:u w:val="single"/>
        </w:rPr>
        <w:t xml:space="preserve">tructure </w:t>
      </w:r>
      <w:r w:rsidR="008C0454">
        <w:rPr>
          <w:rFonts w:ascii="Arial" w:hAnsi="Arial" w:cs="Arial"/>
          <w:b/>
          <w:u w:val="single"/>
        </w:rPr>
        <w:t>2020/21</w:t>
      </w:r>
      <w:r>
        <w:rPr>
          <w:rFonts w:ascii="Arial" w:hAnsi="Arial" w:cs="Arial"/>
          <w:b/>
          <w:u w:val="single"/>
        </w:rPr>
        <w:t xml:space="preserve"> – Three to Four Year Old Provision</w:t>
      </w:r>
    </w:p>
    <w:p w:rsidR="006F0F87" w:rsidRPr="00C32811" w:rsidRDefault="006F0F87" w:rsidP="00F7785D">
      <w:pPr>
        <w:ind w:left="709" w:hanging="709"/>
        <w:rPr>
          <w:color w:val="C55A11"/>
        </w:rPr>
      </w:pPr>
    </w:p>
    <w:p w:rsidR="008C0454" w:rsidRDefault="001C0F93" w:rsidP="008C0454">
      <w:pPr>
        <w:ind w:left="720" w:hanging="720"/>
        <w:rPr>
          <w:rFonts w:ascii="Arial" w:hAnsi="Arial" w:cs="Arial"/>
        </w:rPr>
      </w:pPr>
      <w:r>
        <w:rPr>
          <w:rFonts w:ascii="Arial" w:hAnsi="Arial" w:cs="Arial"/>
        </w:rPr>
        <w:t>4</w:t>
      </w:r>
      <w:r w:rsidR="00F41305" w:rsidRPr="00C32811">
        <w:rPr>
          <w:rFonts w:ascii="Arial" w:hAnsi="Arial" w:cs="Arial"/>
        </w:rPr>
        <w:t>.1</w:t>
      </w:r>
      <w:r w:rsidR="00F41305" w:rsidRPr="00C32811">
        <w:rPr>
          <w:rFonts w:ascii="Arial" w:hAnsi="Arial" w:cs="Arial"/>
        </w:rPr>
        <w:tab/>
      </w:r>
      <w:r w:rsidR="008C0454">
        <w:rPr>
          <w:rFonts w:ascii="Arial" w:hAnsi="Arial" w:cs="Arial"/>
        </w:rPr>
        <w:t>Forum will recall that a key aspect of the consultation for 2019/20 related to a restructure of the supplement element of the hourly rate. Review of 2019/20 spending to date is showing that the restructure appears successful in reaching the required pass-through rate to providers of 95%.</w:t>
      </w:r>
    </w:p>
    <w:p w:rsidR="008C0454" w:rsidRDefault="008C0454" w:rsidP="008C0454">
      <w:pPr>
        <w:ind w:left="720" w:hanging="720"/>
        <w:rPr>
          <w:rFonts w:ascii="Arial" w:hAnsi="Arial" w:cs="Arial"/>
        </w:rPr>
      </w:pPr>
    </w:p>
    <w:p w:rsidR="008C0454" w:rsidRPr="00C32811" w:rsidRDefault="001C0F93" w:rsidP="008C0454">
      <w:pPr>
        <w:ind w:left="720" w:hanging="720"/>
        <w:rPr>
          <w:rFonts w:ascii="Arial" w:hAnsi="Arial" w:cs="Arial"/>
        </w:rPr>
      </w:pPr>
      <w:r>
        <w:rPr>
          <w:rFonts w:ascii="Arial" w:hAnsi="Arial" w:cs="Arial"/>
        </w:rPr>
        <w:t>4</w:t>
      </w:r>
      <w:r w:rsidR="00744FFF">
        <w:rPr>
          <w:rFonts w:ascii="Arial" w:hAnsi="Arial" w:cs="Arial"/>
        </w:rPr>
        <w:t>.2</w:t>
      </w:r>
      <w:r w:rsidR="008C0454">
        <w:rPr>
          <w:rFonts w:ascii="Arial" w:hAnsi="Arial" w:cs="Arial"/>
        </w:rPr>
        <w:tab/>
        <w:t xml:space="preserve">Forum will also recall that the basis on which providers attract a supplement for deprivation was improved in 2019/20. Rather than making payments on the basis of provider postcode, the deprivation supplement is now based on the proportion of three to four year olds that attract pupil premium. </w:t>
      </w:r>
    </w:p>
    <w:p w:rsidR="008C0454" w:rsidRPr="00C32811" w:rsidRDefault="008C0454" w:rsidP="008C0454">
      <w:pPr>
        <w:ind w:left="720" w:hanging="720"/>
        <w:rPr>
          <w:rFonts w:ascii="Arial" w:hAnsi="Arial" w:cs="Arial"/>
        </w:rPr>
      </w:pPr>
    </w:p>
    <w:p w:rsidR="008C0454" w:rsidRPr="00C32811" w:rsidRDefault="001C0F93" w:rsidP="008C0454">
      <w:pPr>
        <w:ind w:left="720" w:hanging="720"/>
        <w:rPr>
          <w:rFonts w:ascii="Arial" w:hAnsi="Arial" w:cs="Arial"/>
        </w:rPr>
      </w:pPr>
      <w:r>
        <w:rPr>
          <w:rFonts w:ascii="Arial" w:hAnsi="Arial" w:cs="Arial"/>
        </w:rPr>
        <w:t>4</w:t>
      </w:r>
      <w:r w:rsidR="00744FFF">
        <w:rPr>
          <w:rFonts w:ascii="Arial" w:hAnsi="Arial" w:cs="Arial"/>
        </w:rPr>
        <w:t>.3</w:t>
      </w:r>
      <w:r w:rsidR="008C0454" w:rsidRPr="00C32811">
        <w:rPr>
          <w:rFonts w:ascii="Arial" w:hAnsi="Arial" w:cs="Arial"/>
        </w:rPr>
        <w:tab/>
      </w:r>
      <w:r w:rsidR="008C0454">
        <w:rPr>
          <w:rFonts w:ascii="Arial" w:hAnsi="Arial" w:cs="Arial"/>
        </w:rPr>
        <w:t>For these reasons, the local authority is proposing to retain the current hourly rate funding structure for 2020/21.</w:t>
      </w:r>
    </w:p>
    <w:p w:rsidR="00101760" w:rsidRPr="00C32811" w:rsidRDefault="00101760" w:rsidP="008C0454">
      <w:pPr>
        <w:ind w:left="709" w:hanging="709"/>
        <w:rPr>
          <w:rFonts w:ascii="Arial" w:hAnsi="Arial" w:cs="Arial"/>
        </w:rPr>
      </w:pPr>
      <w:r w:rsidRPr="00C32811">
        <w:rPr>
          <w:rFonts w:ascii="Arial" w:hAnsi="Arial" w:cs="Arial"/>
        </w:rPr>
        <w:t>.</w:t>
      </w:r>
    </w:p>
    <w:p w:rsidR="00C26ACB" w:rsidRPr="00C32811" w:rsidRDefault="001C0F93" w:rsidP="00F41305">
      <w:pPr>
        <w:ind w:left="709" w:hanging="709"/>
        <w:rPr>
          <w:rFonts w:ascii="Arial" w:hAnsi="Arial" w:cs="Arial"/>
        </w:rPr>
      </w:pPr>
      <w:r>
        <w:rPr>
          <w:rFonts w:ascii="Arial" w:hAnsi="Arial" w:cs="Arial"/>
        </w:rPr>
        <w:t>4.4</w:t>
      </w:r>
      <w:r w:rsidR="00C26ACB" w:rsidRPr="00C32811">
        <w:rPr>
          <w:rFonts w:ascii="Arial" w:hAnsi="Arial" w:cs="Arial"/>
        </w:rPr>
        <w:tab/>
        <w:t xml:space="preserve">The table below shows the proposed hourly rate structure </w:t>
      </w:r>
      <w:r w:rsidR="002506A6" w:rsidRPr="00C32811">
        <w:rPr>
          <w:rFonts w:ascii="Arial" w:hAnsi="Arial" w:cs="Arial"/>
        </w:rPr>
        <w:t xml:space="preserve">for </w:t>
      </w:r>
      <w:r w:rsidR="00744FFF">
        <w:rPr>
          <w:rFonts w:ascii="Arial" w:hAnsi="Arial" w:cs="Arial"/>
        </w:rPr>
        <w:t>2020/21, taking into account the increase of 8p per hour outlined at paragraph 3.2 of this report.</w:t>
      </w:r>
    </w:p>
    <w:p w:rsidR="00101760" w:rsidRPr="00C32811" w:rsidRDefault="00101760" w:rsidP="00F41305">
      <w:pPr>
        <w:ind w:left="709" w:hanging="709"/>
        <w:rPr>
          <w:rFonts w:ascii="Arial" w:hAnsi="Arial" w:cs="Arial"/>
        </w:rPr>
      </w:pPr>
    </w:p>
    <w:tbl>
      <w:tblPr>
        <w:tblW w:w="9327" w:type="dxa"/>
        <w:tblInd w:w="562" w:type="dxa"/>
        <w:tblLook w:val="04A0" w:firstRow="1" w:lastRow="0" w:firstColumn="1" w:lastColumn="0" w:noHBand="0" w:noVBand="1"/>
      </w:tblPr>
      <w:tblGrid>
        <w:gridCol w:w="4152"/>
        <w:gridCol w:w="1340"/>
        <w:gridCol w:w="1738"/>
        <w:gridCol w:w="2097"/>
      </w:tblGrid>
      <w:tr w:rsidR="002C1611" w:rsidRPr="00C32811" w:rsidTr="001C0F93">
        <w:trPr>
          <w:trHeight w:val="750"/>
        </w:trPr>
        <w:tc>
          <w:tcPr>
            <w:tcW w:w="4152" w:type="dxa"/>
            <w:tcBorders>
              <w:top w:val="single" w:sz="4" w:space="0" w:color="auto"/>
              <w:left w:val="single" w:sz="4" w:space="0" w:color="auto"/>
              <w:bottom w:val="nil"/>
              <w:right w:val="nil"/>
            </w:tcBorders>
            <w:shd w:val="clear" w:color="000000" w:fill="000000"/>
            <w:noWrap/>
            <w:vAlign w:val="center"/>
            <w:hideMark/>
          </w:tcPr>
          <w:p w:rsidR="002C1611" w:rsidRPr="00C32811" w:rsidRDefault="002C1611" w:rsidP="00583B69">
            <w:pPr>
              <w:jc w:val="center"/>
              <w:rPr>
                <w:rFonts w:ascii="Arial" w:hAnsi="Arial" w:cs="Arial"/>
                <w:b/>
                <w:bCs/>
                <w:color w:val="FFFFFF"/>
                <w:sz w:val="22"/>
                <w:szCs w:val="22"/>
                <w:lang w:eastAsia="en-GB"/>
              </w:rPr>
            </w:pPr>
            <w:r w:rsidRPr="00C32811">
              <w:rPr>
                <w:rFonts w:ascii="Arial" w:hAnsi="Arial" w:cs="Arial"/>
                <w:b/>
                <w:bCs/>
                <w:color w:val="FFFFFF"/>
                <w:sz w:val="22"/>
                <w:szCs w:val="22"/>
                <w:lang w:eastAsia="en-GB"/>
              </w:rPr>
              <w:t>Proposed three &amp; four year old formula</w:t>
            </w:r>
          </w:p>
        </w:tc>
        <w:tc>
          <w:tcPr>
            <w:tcW w:w="1340" w:type="dxa"/>
            <w:tcBorders>
              <w:top w:val="single" w:sz="4" w:space="0" w:color="auto"/>
              <w:left w:val="single" w:sz="4" w:space="0" w:color="auto"/>
              <w:bottom w:val="nil"/>
              <w:right w:val="single" w:sz="4" w:space="0" w:color="auto"/>
            </w:tcBorders>
            <w:shd w:val="clear" w:color="000000" w:fill="000000"/>
            <w:vAlign w:val="center"/>
            <w:hideMark/>
          </w:tcPr>
          <w:p w:rsidR="00B05C65" w:rsidRPr="00C32811" w:rsidRDefault="002C1611" w:rsidP="00583B69">
            <w:pPr>
              <w:jc w:val="center"/>
              <w:rPr>
                <w:rFonts w:ascii="Arial" w:hAnsi="Arial" w:cs="Arial"/>
                <w:b/>
                <w:bCs/>
                <w:color w:val="FFFFFF"/>
                <w:sz w:val="22"/>
                <w:szCs w:val="22"/>
                <w:lang w:eastAsia="en-GB"/>
              </w:rPr>
            </w:pPr>
            <w:r w:rsidRPr="00C32811">
              <w:rPr>
                <w:rFonts w:ascii="Arial" w:hAnsi="Arial" w:cs="Arial"/>
                <w:b/>
                <w:bCs/>
                <w:color w:val="FFFFFF"/>
                <w:sz w:val="22"/>
                <w:szCs w:val="22"/>
                <w:lang w:eastAsia="en-GB"/>
              </w:rPr>
              <w:t xml:space="preserve">Hourly Rate </w:t>
            </w:r>
            <w:r w:rsidR="001601E0" w:rsidRPr="00C32811">
              <w:rPr>
                <w:rFonts w:ascii="Arial" w:hAnsi="Arial" w:cs="Arial"/>
                <w:b/>
                <w:bCs/>
                <w:color w:val="FFFFFF"/>
                <w:sz w:val="22"/>
                <w:szCs w:val="22"/>
                <w:lang w:eastAsia="en-GB"/>
              </w:rPr>
              <w:t xml:space="preserve"> (</w:t>
            </w:r>
            <w:r w:rsidRPr="00C32811">
              <w:rPr>
                <w:rFonts w:ascii="Arial" w:hAnsi="Arial" w:cs="Arial"/>
                <w:b/>
                <w:bCs/>
                <w:color w:val="FFFFFF"/>
                <w:sz w:val="22"/>
                <w:szCs w:val="22"/>
                <w:lang w:eastAsia="en-GB"/>
              </w:rPr>
              <w:t>£</w:t>
            </w:r>
            <w:r w:rsidR="001601E0" w:rsidRPr="00C32811">
              <w:rPr>
                <w:rFonts w:ascii="Arial" w:hAnsi="Arial" w:cs="Arial"/>
                <w:b/>
                <w:bCs/>
                <w:color w:val="FFFFFF"/>
                <w:sz w:val="22"/>
                <w:szCs w:val="22"/>
                <w:lang w:eastAsia="en-GB"/>
              </w:rPr>
              <w:t>)</w:t>
            </w:r>
          </w:p>
        </w:tc>
        <w:tc>
          <w:tcPr>
            <w:tcW w:w="1738" w:type="dxa"/>
            <w:tcBorders>
              <w:top w:val="single" w:sz="4" w:space="0" w:color="auto"/>
              <w:left w:val="nil"/>
              <w:bottom w:val="nil"/>
              <w:right w:val="nil"/>
            </w:tcBorders>
            <w:shd w:val="clear" w:color="000000" w:fill="000000"/>
            <w:noWrap/>
            <w:vAlign w:val="center"/>
            <w:hideMark/>
          </w:tcPr>
          <w:p w:rsidR="00B05C65" w:rsidRPr="00C32811" w:rsidRDefault="002C1611" w:rsidP="00583B69">
            <w:pPr>
              <w:jc w:val="center"/>
              <w:rPr>
                <w:rFonts w:ascii="Arial" w:hAnsi="Arial" w:cs="Arial"/>
                <w:b/>
                <w:bCs/>
                <w:color w:val="FFFFFF"/>
                <w:sz w:val="22"/>
                <w:szCs w:val="22"/>
                <w:lang w:eastAsia="en-GB"/>
              </w:rPr>
            </w:pPr>
            <w:r w:rsidRPr="00C32811">
              <w:rPr>
                <w:rFonts w:ascii="Arial" w:hAnsi="Arial" w:cs="Arial"/>
                <w:b/>
                <w:bCs/>
                <w:color w:val="FFFFFF"/>
                <w:sz w:val="22"/>
                <w:szCs w:val="22"/>
                <w:lang w:eastAsia="en-GB"/>
              </w:rPr>
              <w:t>% Allocated</w:t>
            </w:r>
          </w:p>
        </w:tc>
        <w:tc>
          <w:tcPr>
            <w:tcW w:w="2097"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B05C65" w:rsidRPr="00C32811" w:rsidRDefault="002C1611" w:rsidP="00583B69">
            <w:pPr>
              <w:jc w:val="center"/>
              <w:rPr>
                <w:rFonts w:ascii="Arial" w:hAnsi="Arial" w:cs="Arial"/>
                <w:b/>
                <w:bCs/>
                <w:color w:val="FFFFFF"/>
                <w:sz w:val="22"/>
                <w:szCs w:val="22"/>
                <w:lang w:eastAsia="en-GB"/>
              </w:rPr>
            </w:pPr>
            <w:r w:rsidRPr="00C32811">
              <w:rPr>
                <w:rFonts w:ascii="Arial" w:hAnsi="Arial" w:cs="Arial"/>
                <w:b/>
                <w:bCs/>
                <w:color w:val="FFFFFF"/>
                <w:sz w:val="22"/>
                <w:szCs w:val="22"/>
                <w:lang w:eastAsia="en-GB"/>
              </w:rPr>
              <w:t>Total Funding</w:t>
            </w:r>
            <w:r w:rsidR="00F7785D" w:rsidRPr="00C32811">
              <w:rPr>
                <w:rFonts w:ascii="Arial" w:hAnsi="Arial" w:cs="Arial"/>
                <w:b/>
                <w:bCs/>
                <w:color w:val="FFFFFF"/>
                <w:sz w:val="22"/>
                <w:szCs w:val="22"/>
                <w:lang w:eastAsia="en-GB"/>
              </w:rPr>
              <w:t xml:space="preserve"> (£)</w:t>
            </w:r>
          </w:p>
        </w:tc>
      </w:tr>
      <w:tr w:rsidR="002C1611" w:rsidRPr="00C32811" w:rsidTr="001C0F93">
        <w:trPr>
          <w:trHeight w:val="300"/>
        </w:trPr>
        <w:tc>
          <w:tcPr>
            <w:tcW w:w="4152" w:type="dxa"/>
            <w:tcBorders>
              <w:top w:val="single" w:sz="4" w:space="0" w:color="auto"/>
              <w:left w:val="single" w:sz="4" w:space="0" w:color="auto"/>
              <w:bottom w:val="nil"/>
              <w:right w:val="nil"/>
            </w:tcBorders>
            <w:shd w:val="clear" w:color="auto" w:fill="auto"/>
            <w:noWrap/>
            <w:vAlign w:val="bottom"/>
            <w:hideMark/>
          </w:tcPr>
          <w:p w:rsidR="002C1611" w:rsidRPr="00C32811" w:rsidRDefault="002C1611" w:rsidP="00F7785D">
            <w:pPr>
              <w:rPr>
                <w:rFonts w:ascii="Arial" w:hAnsi="Arial" w:cs="Arial"/>
                <w:b/>
                <w:bCs/>
                <w:color w:val="000000"/>
                <w:sz w:val="22"/>
                <w:szCs w:val="22"/>
                <w:lang w:eastAsia="en-GB"/>
              </w:rPr>
            </w:pPr>
            <w:r w:rsidRPr="00C32811">
              <w:rPr>
                <w:rFonts w:ascii="Arial" w:hAnsi="Arial" w:cs="Arial"/>
                <w:b/>
                <w:bCs/>
                <w:color w:val="000000"/>
                <w:sz w:val="22"/>
                <w:szCs w:val="22"/>
                <w:lang w:eastAsia="en-GB"/>
              </w:rPr>
              <w:t>DFE allocation</w:t>
            </w:r>
          </w:p>
        </w:tc>
        <w:tc>
          <w:tcPr>
            <w:tcW w:w="1340" w:type="dxa"/>
            <w:tcBorders>
              <w:top w:val="single" w:sz="4" w:space="0" w:color="auto"/>
              <w:left w:val="single" w:sz="4" w:space="0" w:color="auto"/>
              <w:bottom w:val="nil"/>
              <w:right w:val="single" w:sz="4" w:space="0" w:color="auto"/>
            </w:tcBorders>
            <w:shd w:val="clear" w:color="auto" w:fill="auto"/>
            <w:noWrap/>
            <w:vAlign w:val="bottom"/>
            <w:hideMark/>
          </w:tcPr>
          <w:p w:rsidR="00B05C65" w:rsidRPr="00C32811" w:rsidRDefault="00744FFF" w:rsidP="00D90F8F">
            <w:pPr>
              <w:jc w:val="right"/>
              <w:rPr>
                <w:rFonts w:ascii="Arial" w:hAnsi="Arial" w:cs="Arial"/>
                <w:b/>
                <w:bCs/>
                <w:color w:val="000000"/>
                <w:sz w:val="22"/>
                <w:szCs w:val="22"/>
                <w:lang w:eastAsia="en-GB"/>
              </w:rPr>
            </w:pPr>
            <w:r>
              <w:rPr>
                <w:rFonts w:ascii="Arial" w:hAnsi="Arial" w:cs="Arial"/>
                <w:b/>
                <w:bCs/>
                <w:color w:val="000000"/>
                <w:sz w:val="22"/>
                <w:szCs w:val="22"/>
                <w:lang w:eastAsia="en-GB"/>
              </w:rPr>
              <w:t>4.57</w:t>
            </w:r>
          </w:p>
        </w:tc>
        <w:tc>
          <w:tcPr>
            <w:tcW w:w="1738" w:type="dxa"/>
            <w:tcBorders>
              <w:top w:val="single" w:sz="4" w:space="0" w:color="auto"/>
              <w:left w:val="nil"/>
              <w:bottom w:val="nil"/>
              <w:right w:val="nil"/>
            </w:tcBorders>
            <w:shd w:val="clear" w:color="auto" w:fill="auto"/>
            <w:noWrap/>
            <w:vAlign w:val="bottom"/>
            <w:hideMark/>
          </w:tcPr>
          <w:p w:rsidR="00B05C65" w:rsidRPr="00C32811" w:rsidRDefault="002C1611" w:rsidP="00D90F8F">
            <w:pPr>
              <w:jc w:val="right"/>
              <w:rPr>
                <w:rFonts w:ascii="Arial" w:hAnsi="Arial" w:cs="Arial"/>
                <w:b/>
                <w:bCs/>
                <w:color w:val="000000"/>
                <w:sz w:val="22"/>
                <w:szCs w:val="22"/>
                <w:lang w:eastAsia="en-GB"/>
              </w:rPr>
            </w:pPr>
            <w:r w:rsidRPr="00C32811">
              <w:rPr>
                <w:rFonts w:ascii="Arial" w:hAnsi="Arial" w:cs="Arial"/>
                <w:b/>
                <w:bCs/>
                <w:color w:val="000000"/>
                <w:sz w:val="22"/>
                <w:szCs w:val="22"/>
                <w:lang w:eastAsia="en-GB"/>
              </w:rPr>
              <w:t>100</w:t>
            </w:r>
            <w:r w:rsidR="00583B69" w:rsidRPr="00C32811">
              <w:rPr>
                <w:rFonts w:ascii="Arial" w:hAnsi="Arial" w:cs="Arial"/>
                <w:b/>
                <w:bCs/>
                <w:color w:val="000000"/>
                <w:sz w:val="22"/>
                <w:szCs w:val="22"/>
                <w:lang w:eastAsia="en-GB"/>
              </w:rPr>
              <w:t>.0</w:t>
            </w:r>
            <w:r w:rsidRPr="00C32811">
              <w:rPr>
                <w:rFonts w:ascii="Arial" w:hAnsi="Arial" w:cs="Arial"/>
                <w:b/>
                <w:bCs/>
                <w:color w:val="000000"/>
                <w:sz w:val="22"/>
                <w:szCs w:val="22"/>
                <w:lang w:eastAsia="en-GB"/>
              </w:rPr>
              <w:t>%</w:t>
            </w:r>
          </w:p>
        </w:tc>
        <w:tc>
          <w:tcPr>
            <w:tcW w:w="2097" w:type="dxa"/>
            <w:tcBorders>
              <w:top w:val="nil"/>
              <w:left w:val="single" w:sz="4" w:space="0" w:color="auto"/>
              <w:bottom w:val="nil"/>
              <w:right w:val="single" w:sz="4" w:space="0" w:color="auto"/>
            </w:tcBorders>
            <w:shd w:val="clear" w:color="auto" w:fill="auto"/>
            <w:noWrap/>
            <w:vAlign w:val="bottom"/>
            <w:hideMark/>
          </w:tcPr>
          <w:p w:rsidR="00B05C65" w:rsidRPr="00C32811" w:rsidRDefault="00E30BAC" w:rsidP="00744FFF">
            <w:pPr>
              <w:jc w:val="right"/>
              <w:rPr>
                <w:rFonts w:ascii="Arial" w:hAnsi="Arial" w:cs="Arial"/>
                <w:b/>
                <w:bCs/>
                <w:color w:val="000000"/>
                <w:sz w:val="22"/>
                <w:szCs w:val="22"/>
                <w:lang w:eastAsia="en-GB"/>
              </w:rPr>
            </w:pPr>
            <w:r>
              <w:rPr>
                <w:rFonts w:ascii="Arial" w:hAnsi="Arial" w:cs="Arial"/>
                <w:b/>
                <w:bCs/>
                <w:color w:val="000000"/>
                <w:sz w:val="22"/>
                <w:szCs w:val="22"/>
                <w:lang w:eastAsia="en-GB"/>
              </w:rPr>
              <w:t>4,729,196</w:t>
            </w:r>
          </w:p>
        </w:tc>
      </w:tr>
      <w:tr w:rsidR="002C1611" w:rsidRPr="00C32811" w:rsidTr="001C0F93">
        <w:trPr>
          <w:trHeight w:val="300"/>
        </w:trPr>
        <w:tc>
          <w:tcPr>
            <w:tcW w:w="4152" w:type="dxa"/>
            <w:tcBorders>
              <w:top w:val="nil"/>
              <w:left w:val="single" w:sz="4" w:space="0" w:color="auto"/>
              <w:bottom w:val="nil"/>
              <w:right w:val="nil"/>
            </w:tcBorders>
            <w:shd w:val="clear" w:color="auto" w:fill="auto"/>
            <w:noWrap/>
            <w:vAlign w:val="bottom"/>
            <w:hideMark/>
          </w:tcPr>
          <w:p w:rsidR="002C1611" w:rsidRPr="00C32811" w:rsidRDefault="00CB7F56" w:rsidP="00F7785D">
            <w:pPr>
              <w:rPr>
                <w:rFonts w:ascii="Arial" w:hAnsi="Arial" w:cs="Arial"/>
                <w:b/>
                <w:bCs/>
                <w:color w:val="000000"/>
                <w:sz w:val="22"/>
                <w:szCs w:val="22"/>
                <w:lang w:eastAsia="en-GB"/>
              </w:rPr>
            </w:pPr>
            <w:r>
              <w:rPr>
                <w:rFonts w:ascii="Arial" w:hAnsi="Arial" w:cs="Arial"/>
                <w:b/>
                <w:bCs/>
                <w:color w:val="000000"/>
                <w:sz w:val="22"/>
                <w:szCs w:val="22"/>
                <w:lang w:eastAsia="en-GB"/>
              </w:rPr>
              <w:lastRenderedPageBreak/>
              <w:t>Proposed Hartlepool</w:t>
            </w:r>
            <w:r w:rsidR="002C1611" w:rsidRPr="00C32811">
              <w:rPr>
                <w:rFonts w:ascii="Arial" w:hAnsi="Arial" w:cs="Arial"/>
                <w:b/>
                <w:bCs/>
                <w:color w:val="000000"/>
                <w:sz w:val="22"/>
                <w:szCs w:val="22"/>
                <w:lang w:eastAsia="en-GB"/>
              </w:rPr>
              <w:t xml:space="preserve"> Formula:</w:t>
            </w:r>
          </w:p>
        </w:tc>
        <w:tc>
          <w:tcPr>
            <w:tcW w:w="1340" w:type="dxa"/>
            <w:tcBorders>
              <w:top w:val="nil"/>
              <w:left w:val="single" w:sz="4" w:space="0" w:color="auto"/>
              <w:bottom w:val="nil"/>
              <w:right w:val="single" w:sz="4" w:space="0" w:color="auto"/>
            </w:tcBorders>
            <w:shd w:val="clear" w:color="auto" w:fill="auto"/>
            <w:noWrap/>
            <w:vAlign w:val="bottom"/>
            <w:hideMark/>
          </w:tcPr>
          <w:p w:rsidR="002C1611" w:rsidRPr="00C32811" w:rsidRDefault="002C1611" w:rsidP="00F7785D">
            <w:pPr>
              <w:rPr>
                <w:rFonts w:ascii="Arial" w:hAnsi="Arial" w:cs="Arial"/>
                <w:b/>
                <w:bCs/>
                <w:color w:val="000000"/>
                <w:sz w:val="22"/>
                <w:szCs w:val="22"/>
                <w:lang w:eastAsia="en-GB"/>
              </w:rPr>
            </w:pPr>
            <w:r w:rsidRPr="00C32811">
              <w:rPr>
                <w:rFonts w:ascii="Arial" w:hAnsi="Arial" w:cs="Arial"/>
                <w:b/>
                <w:bCs/>
                <w:color w:val="000000"/>
                <w:sz w:val="22"/>
                <w:szCs w:val="22"/>
                <w:lang w:eastAsia="en-GB"/>
              </w:rPr>
              <w:t> </w:t>
            </w:r>
          </w:p>
        </w:tc>
        <w:tc>
          <w:tcPr>
            <w:tcW w:w="1738" w:type="dxa"/>
            <w:tcBorders>
              <w:top w:val="nil"/>
              <w:left w:val="nil"/>
              <w:bottom w:val="nil"/>
              <w:right w:val="nil"/>
            </w:tcBorders>
            <w:shd w:val="clear" w:color="auto" w:fill="auto"/>
            <w:noWrap/>
            <w:vAlign w:val="bottom"/>
            <w:hideMark/>
          </w:tcPr>
          <w:p w:rsidR="002C1611" w:rsidRPr="00C32811" w:rsidRDefault="002C1611" w:rsidP="00D90F8F">
            <w:pPr>
              <w:jc w:val="right"/>
              <w:rPr>
                <w:rFonts w:ascii="Arial" w:hAnsi="Arial" w:cs="Arial"/>
                <w:b/>
                <w:bCs/>
                <w:color w:val="000000"/>
                <w:sz w:val="22"/>
                <w:szCs w:val="22"/>
                <w:lang w:eastAsia="en-GB"/>
              </w:rPr>
            </w:pPr>
          </w:p>
        </w:tc>
        <w:tc>
          <w:tcPr>
            <w:tcW w:w="2097" w:type="dxa"/>
            <w:tcBorders>
              <w:top w:val="nil"/>
              <w:left w:val="single" w:sz="4" w:space="0" w:color="auto"/>
              <w:bottom w:val="nil"/>
              <w:right w:val="single" w:sz="4" w:space="0" w:color="auto"/>
            </w:tcBorders>
            <w:shd w:val="clear" w:color="auto" w:fill="auto"/>
            <w:noWrap/>
            <w:vAlign w:val="bottom"/>
            <w:hideMark/>
          </w:tcPr>
          <w:p w:rsidR="002C1611" w:rsidRPr="00C32811" w:rsidRDefault="002C1611" w:rsidP="00F7785D">
            <w:pPr>
              <w:rPr>
                <w:rFonts w:ascii="Arial" w:hAnsi="Arial" w:cs="Arial"/>
                <w:b/>
                <w:bCs/>
                <w:color w:val="000000"/>
                <w:sz w:val="22"/>
                <w:szCs w:val="22"/>
                <w:lang w:eastAsia="en-GB"/>
              </w:rPr>
            </w:pPr>
            <w:r w:rsidRPr="00C32811">
              <w:rPr>
                <w:rFonts w:ascii="Arial" w:hAnsi="Arial" w:cs="Arial"/>
                <w:b/>
                <w:bCs/>
                <w:color w:val="000000"/>
                <w:sz w:val="22"/>
                <w:szCs w:val="22"/>
                <w:lang w:eastAsia="en-GB"/>
              </w:rPr>
              <w:t> </w:t>
            </w:r>
          </w:p>
        </w:tc>
      </w:tr>
      <w:tr w:rsidR="002C1611" w:rsidRPr="00C32811" w:rsidTr="001C0F93">
        <w:trPr>
          <w:trHeight w:val="285"/>
        </w:trPr>
        <w:tc>
          <w:tcPr>
            <w:tcW w:w="4152" w:type="dxa"/>
            <w:tcBorders>
              <w:top w:val="nil"/>
              <w:left w:val="single" w:sz="4" w:space="0" w:color="auto"/>
              <w:bottom w:val="nil"/>
              <w:right w:val="nil"/>
            </w:tcBorders>
            <w:shd w:val="clear" w:color="auto" w:fill="auto"/>
            <w:noWrap/>
            <w:vAlign w:val="bottom"/>
            <w:hideMark/>
          </w:tcPr>
          <w:p w:rsidR="002C1611" w:rsidRPr="00C32811" w:rsidRDefault="002C1611" w:rsidP="00744FFF">
            <w:pPr>
              <w:rPr>
                <w:rFonts w:ascii="Arial" w:hAnsi="Arial" w:cs="Arial"/>
                <w:color w:val="000000"/>
                <w:sz w:val="22"/>
                <w:szCs w:val="22"/>
                <w:lang w:eastAsia="en-GB"/>
              </w:rPr>
            </w:pPr>
            <w:r w:rsidRPr="00C32811">
              <w:rPr>
                <w:rFonts w:ascii="Arial" w:hAnsi="Arial" w:cs="Arial"/>
                <w:color w:val="000000"/>
                <w:sz w:val="22"/>
                <w:szCs w:val="22"/>
                <w:lang w:eastAsia="en-GB"/>
              </w:rPr>
              <w:t>Base Rate</w:t>
            </w:r>
          </w:p>
        </w:tc>
        <w:tc>
          <w:tcPr>
            <w:tcW w:w="1340" w:type="dxa"/>
            <w:tcBorders>
              <w:top w:val="nil"/>
              <w:left w:val="single" w:sz="4" w:space="0" w:color="auto"/>
              <w:bottom w:val="nil"/>
              <w:right w:val="single" w:sz="4" w:space="0" w:color="auto"/>
            </w:tcBorders>
            <w:shd w:val="clear" w:color="auto" w:fill="auto"/>
            <w:noWrap/>
            <w:vAlign w:val="bottom"/>
            <w:hideMark/>
          </w:tcPr>
          <w:p w:rsidR="00B05C65" w:rsidRPr="00C32811" w:rsidRDefault="002C1611" w:rsidP="00583B69">
            <w:pPr>
              <w:jc w:val="right"/>
              <w:rPr>
                <w:rFonts w:ascii="Arial" w:hAnsi="Arial" w:cs="Arial"/>
                <w:color w:val="000000"/>
                <w:sz w:val="22"/>
                <w:szCs w:val="22"/>
                <w:lang w:eastAsia="en-GB"/>
              </w:rPr>
            </w:pPr>
            <w:r w:rsidRPr="00C32811">
              <w:rPr>
                <w:rFonts w:ascii="Arial" w:hAnsi="Arial" w:cs="Arial"/>
                <w:color w:val="000000"/>
                <w:sz w:val="22"/>
                <w:szCs w:val="22"/>
                <w:lang w:eastAsia="en-GB"/>
              </w:rPr>
              <w:t>4.</w:t>
            </w:r>
            <w:r w:rsidR="00583B69" w:rsidRPr="00C32811">
              <w:rPr>
                <w:rFonts w:ascii="Arial" w:hAnsi="Arial" w:cs="Arial"/>
                <w:color w:val="000000"/>
                <w:sz w:val="22"/>
                <w:szCs w:val="22"/>
                <w:lang w:eastAsia="en-GB"/>
              </w:rPr>
              <w:t>2</w:t>
            </w:r>
            <w:r w:rsidR="00B5282E">
              <w:rPr>
                <w:rFonts w:ascii="Arial" w:hAnsi="Arial" w:cs="Arial"/>
                <w:color w:val="000000"/>
                <w:sz w:val="22"/>
                <w:szCs w:val="22"/>
                <w:lang w:eastAsia="en-GB"/>
              </w:rPr>
              <w:t>8</w:t>
            </w:r>
          </w:p>
        </w:tc>
        <w:tc>
          <w:tcPr>
            <w:tcW w:w="1738" w:type="dxa"/>
            <w:tcBorders>
              <w:top w:val="nil"/>
              <w:left w:val="nil"/>
              <w:bottom w:val="nil"/>
              <w:right w:val="nil"/>
            </w:tcBorders>
            <w:shd w:val="clear" w:color="auto" w:fill="auto"/>
            <w:noWrap/>
            <w:vAlign w:val="bottom"/>
            <w:hideMark/>
          </w:tcPr>
          <w:p w:rsidR="00B05C65" w:rsidRPr="00C32811" w:rsidRDefault="00DB6EB0" w:rsidP="00D90F8F">
            <w:pPr>
              <w:jc w:val="right"/>
              <w:rPr>
                <w:rFonts w:ascii="Arial" w:hAnsi="Arial" w:cs="Arial"/>
                <w:color w:val="000000"/>
                <w:sz w:val="22"/>
                <w:szCs w:val="22"/>
                <w:lang w:eastAsia="en-GB"/>
              </w:rPr>
            </w:pPr>
            <w:r w:rsidRPr="00C32811">
              <w:rPr>
                <w:rFonts w:ascii="Arial" w:hAnsi="Arial" w:cs="Arial"/>
                <w:color w:val="000000"/>
                <w:sz w:val="22"/>
                <w:szCs w:val="22"/>
                <w:lang w:eastAsia="en-GB"/>
              </w:rPr>
              <w:t>93.8</w:t>
            </w:r>
            <w:r w:rsidR="002C1611" w:rsidRPr="00C32811">
              <w:rPr>
                <w:rFonts w:ascii="Arial" w:hAnsi="Arial" w:cs="Arial"/>
                <w:color w:val="000000"/>
                <w:sz w:val="22"/>
                <w:szCs w:val="22"/>
                <w:lang w:eastAsia="en-GB"/>
              </w:rPr>
              <w:t>%</w:t>
            </w:r>
          </w:p>
        </w:tc>
        <w:tc>
          <w:tcPr>
            <w:tcW w:w="2097" w:type="dxa"/>
            <w:tcBorders>
              <w:top w:val="nil"/>
              <w:left w:val="single" w:sz="4" w:space="0" w:color="auto"/>
              <w:bottom w:val="nil"/>
              <w:right w:val="single" w:sz="4" w:space="0" w:color="auto"/>
            </w:tcBorders>
            <w:shd w:val="clear" w:color="auto" w:fill="auto"/>
            <w:noWrap/>
            <w:vAlign w:val="bottom"/>
            <w:hideMark/>
          </w:tcPr>
          <w:p w:rsidR="00B05C65" w:rsidRPr="00C32811" w:rsidRDefault="00E30BAC" w:rsidP="00E30BAC">
            <w:pPr>
              <w:jc w:val="right"/>
              <w:rPr>
                <w:rFonts w:ascii="Arial" w:hAnsi="Arial" w:cs="Arial"/>
                <w:color w:val="000000"/>
                <w:sz w:val="22"/>
                <w:szCs w:val="22"/>
                <w:lang w:eastAsia="en-GB"/>
              </w:rPr>
            </w:pPr>
            <w:r>
              <w:rPr>
                <w:rFonts w:ascii="Arial" w:hAnsi="Arial" w:cs="Arial"/>
                <w:color w:val="000000"/>
                <w:sz w:val="22"/>
                <w:szCs w:val="22"/>
                <w:lang w:eastAsia="en-GB"/>
              </w:rPr>
              <w:t>4,435,986</w:t>
            </w:r>
          </w:p>
        </w:tc>
      </w:tr>
      <w:tr w:rsidR="002C1611" w:rsidRPr="00C32811" w:rsidTr="001C0F93">
        <w:trPr>
          <w:trHeight w:val="285"/>
        </w:trPr>
        <w:tc>
          <w:tcPr>
            <w:tcW w:w="4152" w:type="dxa"/>
            <w:tcBorders>
              <w:top w:val="nil"/>
              <w:left w:val="single" w:sz="4" w:space="0" w:color="auto"/>
              <w:bottom w:val="nil"/>
              <w:right w:val="nil"/>
            </w:tcBorders>
            <w:shd w:val="clear" w:color="auto" w:fill="auto"/>
            <w:noWrap/>
            <w:vAlign w:val="bottom"/>
            <w:hideMark/>
          </w:tcPr>
          <w:p w:rsidR="002C1611" w:rsidRPr="00C32811" w:rsidRDefault="00E60961" w:rsidP="00E60961">
            <w:pPr>
              <w:rPr>
                <w:rFonts w:ascii="Arial" w:hAnsi="Arial" w:cs="Arial"/>
                <w:color w:val="000000"/>
                <w:sz w:val="22"/>
                <w:szCs w:val="22"/>
                <w:lang w:eastAsia="en-GB"/>
              </w:rPr>
            </w:pPr>
            <w:r w:rsidRPr="00C32811">
              <w:rPr>
                <w:rFonts w:ascii="Arial" w:hAnsi="Arial" w:cs="Arial"/>
                <w:color w:val="000000"/>
                <w:sz w:val="22"/>
                <w:szCs w:val="22"/>
                <w:lang w:eastAsia="en-GB"/>
              </w:rPr>
              <w:t xml:space="preserve">Mandatory </w:t>
            </w:r>
            <w:r w:rsidR="00583B69" w:rsidRPr="00C32811">
              <w:rPr>
                <w:rFonts w:ascii="Arial" w:hAnsi="Arial" w:cs="Arial"/>
                <w:color w:val="000000"/>
                <w:sz w:val="22"/>
                <w:szCs w:val="22"/>
                <w:lang w:eastAsia="en-GB"/>
              </w:rPr>
              <w:t xml:space="preserve">Deprivation </w:t>
            </w:r>
            <w:r w:rsidRPr="00C32811">
              <w:rPr>
                <w:rFonts w:ascii="Arial" w:hAnsi="Arial" w:cs="Arial"/>
                <w:color w:val="000000"/>
                <w:sz w:val="22"/>
                <w:szCs w:val="22"/>
                <w:lang w:eastAsia="en-GB"/>
              </w:rPr>
              <w:t>Supplement</w:t>
            </w:r>
          </w:p>
        </w:tc>
        <w:tc>
          <w:tcPr>
            <w:tcW w:w="1340" w:type="dxa"/>
            <w:tcBorders>
              <w:top w:val="nil"/>
              <w:left w:val="single" w:sz="4" w:space="0" w:color="auto"/>
              <w:bottom w:val="nil"/>
              <w:right w:val="single" w:sz="4" w:space="0" w:color="auto"/>
            </w:tcBorders>
            <w:shd w:val="clear" w:color="auto" w:fill="auto"/>
            <w:noWrap/>
            <w:vAlign w:val="bottom"/>
            <w:hideMark/>
          </w:tcPr>
          <w:p w:rsidR="00B05C65" w:rsidRPr="00C32811" w:rsidRDefault="002C1611" w:rsidP="00583B69">
            <w:pPr>
              <w:jc w:val="right"/>
              <w:rPr>
                <w:rFonts w:ascii="Arial" w:hAnsi="Arial" w:cs="Arial"/>
                <w:color w:val="000000"/>
                <w:sz w:val="22"/>
                <w:szCs w:val="22"/>
                <w:lang w:eastAsia="en-GB"/>
              </w:rPr>
            </w:pPr>
            <w:r w:rsidRPr="00C32811">
              <w:rPr>
                <w:rFonts w:ascii="Arial" w:hAnsi="Arial" w:cs="Arial"/>
                <w:color w:val="000000"/>
                <w:sz w:val="22"/>
                <w:szCs w:val="22"/>
                <w:lang w:eastAsia="en-GB"/>
              </w:rPr>
              <w:t>0.</w:t>
            </w:r>
            <w:r w:rsidR="00583B69" w:rsidRPr="00C32811">
              <w:rPr>
                <w:rFonts w:ascii="Arial" w:hAnsi="Arial" w:cs="Arial"/>
                <w:color w:val="000000"/>
                <w:sz w:val="22"/>
                <w:szCs w:val="22"/>
                <w:lang w:eastAsia="en-GB"/>
              </w:rPr>
              <w:t>01</w:t>
            </w:r>
          </w:p>
        </w:tc>
        <w:tc>
          <w:tcPr>
            <w:tcW w:w="1738" w:type="dxa"/>
            <w:tcBorders>
              <w:top w:val="nil"/>
              <w:left w:val="nil"/>
              <w:bottom w:val="nil"/>
              <w:right w:val="nil"/>
            </w:tcBorders>
            <w:shd w:val="clear" w:color="auto" w:fill="auto"/>
            <w:noWrap/>
            <w:vAlign w:val="bottom"/>
            <w:hideMark/>
          </w:tcPr>
          <w:p w:rsidR="00B05C65" w:rsidRPr="00C32811" w:rsidRDefault="00583B69" w:rsidP="00D90F8F">
            <w:pPr>
              <w:jc w:val="right"/>
              <w:rPr>
                <w:rFonts w:ascii="Arial" w:hAnsi="Arial" w:cs="Arial"/>
                <w:color w:val="000000"/>
                <w:sz w:val="22"/>
                <w:szCs w:val="22"/>
                <w:lang w:eastAsia="en-GB"/>
              </w:rPr>
            </w:pPr>
            <w:r w:rsidRPr="00C32811">
              <w:rPr>
                <w:rFonts w:ascii="Arial" w:hAnsi="Arial" w:cs="Arial"/>
                <w:color w:val="000000"/>
                <w:sz w:val="22"/>
                <w:szCs w:val="22"/>
                <w:lang w:eastAsia="en-GB"/>
              </w:rPr>
              <w:t>0.2</w:t>
            </w:r>
            <w:r w:rsidR="002C1611" w:rsidRPr="00C32811">
              <w:rPr>
                <w:rFonts w:ascii="Arial" w:hAnsi="Arial" w:cs="Arial"/>
                <w:color w:val="000000"/>
                <w:sz w:val="22"/>
                <w:szCs w:val="22"/>
                <w:lang w:eastAsia="en-GB"/>
              </w:rPr>
              <w:t>%</w:t>
            </w:r>
          </w:p>
        </w:tc>
        <w:tc>
          <w:tcPr>
            <w:tcW w:w="2097" w:type="dxa"/>
            <w:tcBorders>
              <w:top w:val="nil"/>
              <w:left w:val="single" w:sz="4" w:space="0" w:color="auto"/>
              <w:bottom w:val="nil"/>
              <w:right w:val="single" w:sz="4" w:space="0" w:color="auto"/>
            </w:tcBorders>
            <w:shd w:val="clear" w:color="auto" w:fill="auto"/>
            <w:noWrap/>
            <w:vAlign w:val="bottom"/>
            <w:hideMark/>
          </w:tcPr>
          <w:p w:rsidR="00B05C65" w:rsidRPr="00C32811" w:rsidRDefault="00E30BAC" w:rsidP="00D90F8F">
            <w:pPr>
              <w:jc w:val="right"/>
              <w:rPr>
                <w:rFonts w:ascii="Arial" w:hAnsi="Arial" w:cs="Arial"/>
                <w:color w:val="000000"/>
                <w:sz w:val="22"/>
                <w:szCs w:val="22"/>
                <w:lang w:eastAsia="en-GB"/>
              </w:rPr>
            </w:pPr>
            <w:r>
              <w:rPr>
                <w:rFonts w:ascii="Arial" w:hAnsi="Arial" w:cs="Arial"/>
                <w:color w:val="000000"/>
                <w:sz w:val="22"/>
                <w:szCs w:val="22"/>
                <w:lang w:eastAsia="en-GB"/>
              </w:rPr>
              <w:t>9,458</w:t>
            </w:r>
          </w:p>
        </w:tc>
      </w:tr>
      <w:tr w:rsidR="002C1611" w:rsidRPr="00C32811" w:rsidTr="001C0F93">
        <w:trPr>
          <w:trHeight w:val="285"/>
        </w:trPr>
        <w:tc>
          <w:tcPr>
            <w:tcW w:w="4152" w:type="dxa"/>
            <w:tcBorders>
              <w:top w:val="nil"/>
              <w:left w:val="single" w:sz="4" w:space="0" w:color="auto"/>
              <w:bottom w:val="nil"/>
              <w:right w:val="nil"/>
            </w:tcBorders>
            <w:shd w:val="clear" w:color="auto" w:fill="auto"/>
            <w:noWrap/>
            <w:vAlign w:val="bottom"/>
            <w:hideMark/>
          </w:tcPr>
          <w:p w:rsidR="002C1611" w:rsidRPr="00C32811" w:rsidRDefault="002C1611" w:rsidP="000623EF">
            <w:pPr>
              <w:rPr>
                <w:rFonts w:ascii="Arial" w:hAnsi="Arial" w:cs="Arial"/>
                <w:color w:val="000000"/>
                <w:sz w:val="22"/>
                <w:szCs w:val="22"/>
                <w:lang w:eastAsia="en-GB"/>
              </w:rPr>
            </w:pPr>
            <w:r w:rsidRPr="00C32811">
              <w:rPr>
                <w:rFonts w:ascii="Arial" w:hAnsi="Arial" w:cs="Arial"/>
                <w:color w:val="000000"/>
                <w:sz w:val="22"/>
                <w:szCs w:val="22"/>
                <w:lang w:eastAsia="en-GB"/>
              </w:rPr>
              <w:t>Contingency</w:t>
            </w:r>
          </w:p>
        </w:tc>
        <w:tc>
          <w:tcPr>
            <w:tcW w:w="1340" w:type="dxa"/>
            <w:tcBorders>
              <w:top w:val="nil"/>
              <w:left w:val="single" w:sz="4" w:space="0" w:color="auto"/>
              <w:bottom w:val="nil"/>
              <w:right w:val="single" w:sz="4" w:space="0" w:color="auto"/>
            </w:tcBorders>
            <w:shd w:val="clear" w:color="auto" w:fill="auto"/>
            <w:noWrap/>
            <w:vAlign w:val="bottom"/>
            <w:hideMark/>
          </w:tcPr>
          <w:p w:rsidR="00B05C65" w:rsidRPr="00C32811" w:rsidRDefault="002C1611" w:rsidP="00D90F8F">
            <w:pPr>
              <w:jc w:val="right"/>
              <w:rPr>
                <w:rFonts w:ascii="Arial" w:hAnsi="Arial" w:cs="Arial"/>
                <w:color w:val="000000"/>
                <w:sz w:val="22"/>
                <w:szCs w:val="22"/>
                <w:lang w:eastAsia="en-GB"/>
              </w:rPr>
            </w:pPr>
            <w:r w:rsidRPr="00C32811">
              <w:rPr>
                <w:rFonts w:ascii="Arial" w:hAnsi="Arial" w:cs="Arial"/>
                <w:color w:val="000000"/>
                <w:sz w:val="22"/>
                <w:szCs w:val="22"/>
                <w:lang w:eastAsia="en-GB"/>
              </w:rPr>
              <w:t>0.02</w:t>
            </w:r>
          </w:p>
        </w:tc>
        <w:tc>
          <w:tcPr>
            <w:tcW w:w="1738" w:type="dxa"/>
            <w:tcBorders>
              <w:top w:val="nil"/>
              <w:left w:val="nil"/>
              <w:bottom w:val="nil"/>
              <w:right w:val="nil"/>
            </w:tcBorders>
            <w:shd w:val="clear" w:color="auto" w:fill="auto"/>
            <w:noWrap/>
            <w:vAlign w:val="bottom"/>
            <w:hideMark/>
          </w:tcPr>
          <w:p w:rsidR="00B05C65" w:rsidRPr="00C32811" w:rsidRDefault="000623EF" w:rsidP="00D90F8F">
            <w:pPr>
              <w:jc w:val="right"/>
              <w:rPr>
                <w:rFonts w:ascii="Arial" w:hAnsi="Arial" w:cs="Arial"/>
                <w:color w:val="000000"/>
                <w:sz w:val="22"/>
                <w:szCs w:val="22"/>
                <w:lang w:eastAsia="en-GB"/>
              </w:rPr>
            </w:pPr>
            <w:r w:rsidRPr="00C32811">
              <w:rPr>
                <w:rFonts w:ascii="Arial" w:hAnsi="Arial" w:cs="Arial"/>
                <w:color w:val="000000"/>
                <w:sz w:val="22"/>
                <w:szCs w:val="22"/>
                <w:lang w:eastAsia="en-GB"/>
              </w:rPr>
              <w:t>0.4</w:t>
            </w:r>
            <w:r w:rsidR="002C1611" w:rsidRPr="00C32811">
              <w:rPr>
                <w:rFonts w:ascii="Arial" w:hAnsi="Arial" w:cs="Arial"/>
                <w:color w:val="000000"/>
                <w:sz w:val="22"/>
                <w:szCs w:val="22"/>
                <w:lang w:eastAsia="en-GB"/>
              </w:rPr>
              <w:t>%</w:t>
            </w:r>
          </w:p>
        </w:tc>
        <w:tc>
          <w:tcPr>
            <w:tcW w:w="2097" w:type="dxa"/>
            <w:tcBorders>
              <w:top w:val="nil"/>
              <w:left w:val="single" w:sz="4" w:space="0" w:color="auto"/>
              <w:bottom w:val="nil"/>
              <w:right w:val="single" w:sz="4" w:space="0" w:color="auto"/>
            </w:tcBorders>
            <w:shd w:val="clear" w:color="auto" w:fill="auto"/>
            <w:noWrap/>
            <w:vAlign w:val="bottom"/>
            <w:hideMark/>
          </w:tcPr>
          <w:p w:rsidR="00B05C65" w:rsidRPr="00C32811" w:rsidRDefault="00E30BAC" w:rsidP="00D90F8F">
            <w:pPr>
              <w:jc w:val="right"/>
              <w:rPr>
                <w:rFonts w:ascii="Arial" w:hAnsi="Arial" w:cs="Arial"/>
                <w:color w:val="000000"/>
                <w:sz w:val="22"/>
                <w:szCs w:val="22"/>
                <w:lang w:eastAsia="en-GB"/>
              </w:rPr>
            </w:pPr>
            <w:r>
              <w:rPr>
                <w:rFonts w:ascii="Arial" w:hAnsi="Arial" w:cs="Arial"/>
                <w:color w:val="000000"/>
                <w:sz w:val="22"/>
                <w:szCs w:val="22"/>
                <w:lang w:eastAsia="en-GB"/>
              </w:rPr>
              <w:t>18,917</w:t>
            </w:r>
          </w:p>
        </w:tc>
      </w:tr>
      <w:tr w:rsidR="002C1611" w:rsidRPr="00C32811" w:rsidTr="001C0F93">
        <w:trPr>
          <w:trHeight w:val="285"/>
        </w:trPr>
        <w:tc>
          <w:tcPr>
            <w:tcW w:w="4152" w:type="dxa"/>
            <w:tcBorders>
              <w:top w:val="nil"/>
              <w:left w:val="single" w:sz="4" w:space="0" w:color="auto"/>
              <w:bottom w:val="nil"/>
              <w:right w:val="nil"/>
            </w:tcBorders>
            <w:shd w:val="clear" w:color="auto" w:fill="auto"/>
            <w:noWrap/>
            <w:vAlign w:val="bottom"/>
            <w:hideMark/>
          </w:tcPr>
          <w:p w:rsidR="002C1611" w:rsidRPr="00C32811" w:rsidRDefault="002C1611" w:rsidP="00F7785D">
            <w:pPr>
              <w:rPr>
                <w:rFonts w:ascii="Arial" w:hAnsi="Arial" w:cs="Arial"/>
                <w:color w:val="000000"/>
                <w:sz w:val="22"/>
                <w:szCs w:val="22"/>
                <w:lang w:eastAsia="en-GB"/>
              </w:rPr>
            </w:pPr>
            <w:r w:rsidRPr="00C32811">
              <w:rPr>
                <w:rFonts w:ascii="Arial" w:hAnsi="Arial" w:cs="Arial"/>
                <w:color w:val="000000"/>
                <w:sz w:val="22"/>
                <w:szCs w:val="22"/>
                <w:lang w:eastAsia="en-GB"/>
              </w:rPr>
              <w:t>SEN Inclusion Fund</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B05C65" w:rsidRPr="00C32811" w:rsidRDefault="002C1611" w:rsidP="00D90F8F">
            <w:pPr>
              <w:jc w:val="right"/>
              <w:rPr>
                <w:rFonts w:ascii="Arial" w:hAnsi="Arial" w:cs="Arial"/>
                <w:color w:val="000000"/>
                <w:sz w:val="22"/>
                <w:szCs w:val="22"/>
                <w:lang w:eastAsia="en-GB"/>
              </w:rPr>
            </w:pPr>
            <w:r w:rsidRPr="00C32811">
              <w:rPr>
                <w:rFonts w:ascii="Arial" w:hAnsi="Arial" w:cs="Arial"/>
                <w:color w:val="000000"/>
                <w:sz w:val="22"/>
                <w:szCs w:val="22"/>
                <w:lang w:eastAsia="en-GB"/>
              </w:rPr>
              <w:t>0.03</w:t>
            </w:r>
          </w:p>
        </w:tc>
        <w:tc>
          <w:tcPr>
            <w:tcW w:w="1738" w:type="dxa"/>
            <w:tcBorders>
              <w:top w:val="nil"/>
              <w:left w:val="nil"/>
              <w:bottom w:val="single" w:sz="4" w:space="0" w:color="auto"/>
              <w:right w:val="nil"/>
            </w:tcBorders>
            <w:shd w:val="clear" w:color="auto" w:fill="auto"/>
            <w:noWrap/>
            <w:vAlign w:val="bottom"/>
            <w:hideMark/>
          </w:tcPr>
          <w:p w:rsidR="00B05C65" w:rsidRPr="00C32811" w:rsidRDefault="000623EF" w:rsidP="00D90F8F">
            <w:pPr>
              <w:jc w:val="right"/>
              <w:rPr>
                <w:rFonts w:ascii="Arial" w:hAnsi="Arial" w:cs="Arial"/>
                <w:color w:val="000000"/>
                <w:sz w:val="22"/>
                <w:szCs w:val="22"/>
                <w:lang w:eastAsia="en-GB"/>
              </w:rPr>
            </w:pPr>
            <w:r w:rsidRPr="00C32811">
              <w:rPr>
                <w:rFonts w:ascii="Arial" w:hAnsi="Arial" w:cs="Arial"/>
                <w:color w:val="000000"/>
                <w:sz w:val="22"/>
                <w:szCs w:val="22"/>
                <w:lang w:eastAsia="en-GB"/>
              </w:rPr>
              <w:t>0.6</w:t>
            </w:r>
            <w:r w:rsidR="002C1611" w:rsidRPr="00C32811">
              <w:rPr>
                <w:rFonts w:ascii="Arial" w:hAnsi="Arial" w:cs="Arial"/>
                <w:color w:val="000000"/>
                <w:sz w:val="22"/>
                <w:szCs w:val="22"/>
                <w:lang w:eastAsia="en-GB"/>
              </w:rPr>
              <w:t>%</w:t>
            </w:r>
          </w:p>
        </w:tc>
        <w:tc>
          <w:tcPr>
            <w:tcW w:w="2097" w:type="dxa"/>
            <w:tcBorders>
              <w:top w:val="nil"/>
              <w:left w:val="single" w:sz="4" w:space="0" w:color="auto"/>
              <w:bottom w:val="single" w:sz="4" w:space="0" w:color="auto"/>
              <w:right w:val="single" w:sz="4" w:space="0" w:color="auto"/>
            </w:tcBorders>
            <w:shd w:val="clear" w:color="auto" w:fill="auto"/>
            <w:noWrap/>
            <w:vAlign w:val="bottom"/>
            <w:hideMark/>
          </w:tcPr>
          <w:p w:rsidR="00B05C65" w:rsidRPr="00C32811" w:rsidRDefault="00E30BAC" w:rsidP="00D90F8F">
            <w:pPr>
              <w:jc w:val="right"/>
              <w:rPr>
                <w:rFonts w:ascii="Arial" w:hAnsi="Arial" w:cs="Arial"/>
                <w:color w:val="000000"/>
                <w:sz w:val="22"/>
                <w:szCs w:val="22"/>
                <w:lang w:eastAsia="en-GB"/>
              </w:rPr>
            </w:pPr>
            <w:r>
              <w:rPr>
                <w:rFonts w:ascii="Arial" w:hAnsi="Arial" w:cs="Arial"/>
                <w:color w:val="000000"/>
                <w:sz w:val="22"/>
                <w:szCs w:val="22"/>
                <w:lang w:eastAsia="en-GB"/>
              </w:rPr>
              <w:t>28,375</w:t>
            </w:r>
          </w:p>
        </w:tc>
      </w:tr>
      <w:tr w:rsidR="002C1611" w:rsidRPr="00C32811" w:rsidTr="001C0F93">
        <w:trPr>
          <w:trHeight w:val="300"/>
        </w:trPr>
        <w:tc>
          <w:tcPr>
            <w:tcW w:w="4152" w:type="dxa"/>
            <w:tcBorders>
              <w:top w:val="nil"/>
              <w:left w:val="single" w:sz="4" w:space="0" w:color="auto"/>
              <w:bottom w:val="nil"/>
              <w:right w:val="nil"/>
            </w:tcBorders>
            <w:shd w:val="clear" w:color="auto" w:fill="auto"/>
            <w:noWrap/>
            <w:vAlign w:val="bottom"/>
            <w:hideMark/>
          </w:tcPr>
          <w:p w:rsidR="002C1611" w:rsidRPr="00C32811" w:rsidRDefault="002C1611" w:rsidP="00F7785D">
            <w:pPr>
              <w:rPr>
                <w:rFonts w:ascii="Arial" w:hAnsi="Arial" w:cs="Arial"/>
                <w:b/>
                <w:bCs/>
                <w:color w:val="000000"/>
                <w:sz w:val="22"/>
                <w:szCs w:val="22"/>
                <w:lang w:eastAsia="en-GB"/>
              </w:rPr>
            </w:pPr>
            <w:r w:rsidRPr="00C32811">
              <w:rPr>
                <w:rFonts w:ascii="Arial" w:hAnsi="Arial" w:cs="Arial"/>
                <w:b/>
                <w:bCs/>
                <w:color w:val="000000"/>
                <w:sz w:val="22"/>
                <w:szCs w:val="22"/>
                <w:lang w:eastAsia="en-GB"/>
              </w:rPr>
              <w:t>Pass- through rate to providers</w:t>
            </w:r>
          </w:p>
        </w:tc>
        <w:tc>
          <w:tcPr>
            <w:tcW w:w="1340" w:type="dxa"/>
            <w:tcBorders>
              <w:top w:val="nil"/>
              <w:left w:val="single" w:sz="4" w:space="0" w:color="auto"/>
              <w:bottom w:val="nil"/>
              <w:right w:val="single" w:sz="4" w:space="0" w:color="auto"/>
            </w:tcBorders>
            <w:shd w:val="clear" w:color="auto" w:fill="auto"/>
            <w:noWrap/>
            <w:vAlign w:val="bottom"/>
            <w:hideMark/>
          </w:tcPr>
          <w:p w:rsidR="00B05C65" w:rsidRPr="00C32811" w:rsidRDefault="00CB7F56" w:rsidP="00D90F8F">
            <w:pPr>
              <w:jc w:val="right"/>
              <w:rPr>
                <w:rFonts w:ascii="Arial" w:hAnsi="Arial" w:cs="Arial"/>
                <w:b/>
                <w:bCs/>
                <w:color w:val="000000"/>
                <w:sz w:val="22"/>
                <w:szCs w:val="22"/>
                <w:lang w:eastAsia="en-GB"/>
              </w:rPr>
            </w:pPr>
            <w:r>
              <w:rPr>
                <w:rFonts w:ascii="Arial" w:hAnsi="Arial" w:cs="Arial"/>
                <w:b/>
                <w:bCs/>
                <w:color w:val="000000"/>
                <w:sz w:val="22"/>
                <w:szCs w:val="22"/>
                <w:lang w:eastAsia="en-GB"/>
              </w:rPr>
              <w:t>4.34</w:t>
            </w:r>
          </w:p>
        </w:tc>
        <w:tc>
          <w:tcPr>
            <w:tcW w:w="1738" w:type="dxa"/>
            <w:tcBorders>
              <w:top w:val="nil"/>
              <w:left w:val="nil"/>
              <w:bottom w:val="nil"/>
              <w:right w:val="nil"/>
            </w:tcBorders>
            <w:shd w:val="clear" w:color="auto" w:fill="auto"/>
            <w:noWrap/>
            <w:vAlign w:val="bottom"/>
            <w:hideMark/>
          </w:tcPr>
          <w:p w:rsidR="00B05C65" w:rsidRPr="00C32811" w:rsidRDefault="002C1611" w:rsidP="00D90F8F">
            <w:pPr>
              <w:jc w:val="right"/>
              <w:rPr>
                <w:rFonts w:ascii="Arial" w:hAnsi="Arial" w:cs="Arial"/>
                <w:b/>
                <w:bCs/>
                <w:color w:val="000000"/>
                <w:sz w:val="22"/>
                <w:szCs w:val="22"/>
                <w:lang w:eastAsia="en-GB"/>
              </w:rPr>
            </w:pPr>
            <w:r w:rsidRPr="00C32811">
              <w:rPr>
                <w:rFonts w:ascii="Arial" w:hAnsi="Arial" w:cs="Arial"/>
                <w:b/>
                <w:bCs/>
                <w:color w:val="000000"/>
                <w:sz w:val="22"/>
                <w:szCs w:val="22"/>
                <w:lang w:eastAsia="en-GB"/>
              </w:rPr>
              <w:t>95</w:t>
            </w:r>
            <w:r w:rsidR="00583B69" w:rsidRPr="00C32811">
              <w:rPr>
                <w:rFonts w:ascii="Arial" w:hAnsi="Arial" w:cs="Arial"/>
                <w:b/>
                <w:bCs/>
                <w:color w:val="000000"/>
                <w:sz w:val="22"/>
                <w:szCs w:val="22"/>
                <w:lang w:eastAsia="en-GB"/>
              </w:rPr>
              <w:t>.0</w:t>
            </w:r>
            <w:r w:rsidRPr="00C32811">
              <w:rPr>
                <w:rFonts w:ascii="Arial" w:hAnsi="Arial" w:cs="Arial"/>
                <w:b/>
                <w:bCs/>
                <w:color w:val="000000"/>
                <w:sz w:val="22"/>
                <w:szCs w:val="22"/>
                <w:lang w:eastAsia="en-GB"/>
              </w:rPr>
              <w:t>%</w:t>
            </w:r>
          </w:p>
        </w:tc>
        <w:tc>
          <w:tcPr>
            <w:tcW w:w="2097" w:type="dxa"/>
            <w:tcBorders>
              <w:top w:val="nil"/>
              <w:left w:val="single" w:sz="4" w:space="0" w:color="auto"/>
              <w:bottom w:val="nil"/>
              <w:right w:val="single" w:sz="4" w:space="0" w:color="auto"/>
            </w:tcBorders>
            <w:shd w:val="clear" w:color="auto" w:fill="auto"/>
            <w:noWrap/>
            <w:vAlign w:val="bottom"/>
            <w:hideMark/>
          </w:tcPr>
          <w:p w:rsidR="00B05C65" w:rsidRPr="00C32811" w:rsidRDefault="00E30BAC" w:rsidP="008F7F6C">
            <w:pPr>
              <w:jc w:val="right"/>
              <w:rPr>
                <w:rFonts w:ascii="Arial" w:hAnsi="Arial" w:cs="Arial"/>
                <w:b/>
                <w:bCs/>
                <w:color w:val="000000"/>
                <w:sz w:val="22"/>
                <w:szCs w:val="22"/>
                <w:lang w:eastAsia="en-GB"/>
              </w:rPr>
            </w:pPr>
            <w:r>
              <w:rPr>
                <w:rFonts w:ascii="Arial" w:hAnsi="Arial" w:cs="Arial"/>
                <w:b/>
                <w:bCs/>
                <w:color w:val="000000"/>
                <w:sz w:val="22"/>
                <w:szCs w:val="22"/>
                <w:lang w:eastAsia="en-GB"/>
              </w:rPr>
              <w:t>4,492,736</w:t>
            </w:r>
          </w:p>
        </w:tc>
      </w:tr>
      <w:tr w:rsidR="002C1611" w:rsidRPr="00C32811" w:rsidTr="001C0F93">
        <w:trPr>
          <w:trHeight w:val="300"/>
        </w:trPr>
        <w:tc>
          <w:tcPr>
            <w:tcW w:w="4152" w:type="dxa"/>
            <w:tcBorders>
              <w:top w:val="nil"/>
              <w:left w:val="single" w:sz="4" w:space="0" w:color="auto"/>
              <w:bottom w:val="nil"/>
              <w:right w:val="nil"/>
            </w:tcBorders>
            <w:shd w:val="clear" w:color="auto" w:fill="auto"/>
            <w:noWrap/>
            <w:vAlign w:val="bottom"/>
            <w:hideMark/>
          </w:tcPr>
          <w:p w:rsidR="002C1611" w:rsidRPr="00C32811" w:rsidRDefault="002C1611" w:rsidP="00F7785D">
            <w:pPr>
              <w:rPr>
                <w:rFonts w:ascii="Arial" w:hAnsi="Arial" w:cs="Arial"/>
                <w:b/>
                <w:bCs/>
                <w:color w:val="000000"/>
                <w:sz w:val="22"/>
                <w:szCs w:val="22"/>
                <w:lang w:eastAsia="en-GB"/>
              </w:rPr>
            </w:pPr>
            <w:r w:rsidRPr="00C32811">
              <w:rPr>
                <w:rFonts w:ascii="Arial" w:hAnsi="Arial" w:cs="Arial"/>
                <w:b/>
                <w:bCs/>
                <w:color w:val="000000"/>
                <w:sz w:val="22"/>
                <w:szCs w:val="22"/>
                <w:lang w:eastAsia="en-GB"/>
              </w:rPr>
              <w:t>Centrally retained funding</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B05C65" w:rsidRPr="00C32811" w:rsidRDefault="002C1611" w:rsidP="00D90F8F">
            <w:pPr>
              <w:jc w:val="right"/>
              <w:rPr>
                <w:rFonts w:ascii="Arial" w:hAnsi="Arial" w:cs="Arial"/>
                <w:b/>
                <w:bCs/>
                <w:color w:val="000000"/>
                <w:sz w:val="22"/>
                <w:szCs w:val="22"/>
                <w:lang w:eastAsia="en-GB"/>
              </w:rPr>
            </w:pPr>
            <w:r w:rsidRPr="00C32811">
              <w:rPr>
                <w:rFonts w:ascii="Arial" w:hAnsi="Arial" w:cs="Arial"/>
                <w:b/>
                <w:bCs/>
                <w:color w:val="000000"/>
                <w:sz w:val="22"/>
                <w:szCs w:val="22"/>
                <w:lang w:eastAsia="en-GB"/>
              </w:rPr>
              <w:t>0.2</w:t>
            </w:r>
            <w:r w:rsidR="00CB7F56">
              <w:rPr>
                <w:rFonts w:ascii="Arial" w:hAnsi="Arial" w:cs="Arial"/>
                <w:b/>
                <w:bCs/>
                <w:color w:val="000000"/>
                <w:sz w:val="22"/>
                <w:szCs w:val="22"/>
                <w:lang w:eastAsia="en-GB"/>
              </w:rPr>
              <w:t>3</w:t>
            </w:r>
          </w:p>
        </w:tc>
        <w:tc>
          <w:tcPr>
            <w:tcW w:w="1738" w:type="dxa"/>
            <w:tcBorders>
              <w:top w:val="nil"/>
              <w:left w:val="nil"/>
              <w:bottom w:val="single" w:sz="4" w:space="0" w:color="auto"/>
              <w:right w:val="nil"/>
            </w:tcBorders>
            <w:shd w:val="clear" w:color="auto" w:fill="auto"/>
            <w:noWrap/>
            <w:vAlign w:val="bottom"/>
            <w:hideMark/>
          </w:tcPr>
          <w:p w:rsidR="00B05C65" w:rsidRPr="00C32811" w:rsidRDefault="002C1611" w:rsidP="00D90F8F">
            <w:pPr>
              <w:jc w:val="right"/>
              <w:rPr>
                <w:rFonts w:ascii="Arial" w:hAnsi="Arial" w:cs="Arial"/>
                <w:b/>
                <w:bCs/>
                <w:color w:val="000000"/>
                <w:sz w:val="22"/>
                <w:szCs w:val="22"/>
                <w:lang w:eastAsia="en-GB"/>
              </w:rPr>
            </w:pPr>
            <w:r w:rsidRPr="00C32811">
              <w:rPr>
                <w:rFonts w:ascii="Arial" w:hAnsi="Arial" w:cs="Arial"/>
                <w:b/>
                <w:bCs/>
                <w:color w:val="000000"/>
                <w:sz w:val="22"/>
                <w:szCs w:val="22"/>
                <w:lang w:eastAsia="en-GB"/>
              </w:rPr>
              <w:t>5</w:t>
            </w:r>
            <w:r w:rsidR="00583B69" w:rsidRPr="00C32811">
              <w:rPr>
                <w:rFonts w:ascii="Arial" w:hAnsi="Arial" w:cs="Arial"/>
                <w:b/>
                <w:bCs/>
                <w:color w:val="000000"/>
                <w:sz w:val="22"/>
                <w:szCs w:val="22"/>
                <w:lang w:eastAsia="en-GB"/>
              </w:rPr>
              <w:t>.0</w:t>
            </w:r>
            <w:r w:rsidRPr="00C32811">
              <w:rPr>
                <w:rFonts w:ascii="Arial" w:hAnsi="Arial" w:cs="Arial"/>
                <w:b/>
                <w:bCs/>
                <w:color w:val="000000"/>
                <w:sz w:val="22"/>
                <w:szCs w:val="22"/>
                <w:lang w:eastAsia="en-GB"/>
              </w:rPr>
              <w:t>%</w:t>
            </w:r>
          </w:p>
        </w:tc>
        <w:tc>
          <w:tcPr>
            <w:tcW w:w="2097" w:type="dxa"/>
            <w:tcBorders>
              <w:top w:val="nil"/>
              <w:left w:val="single" w:sz="4" w:space="0" w:color="auto"/>
              <w:bottom w:val="single" w:sz="4" w:space="0" w:color="auto"/>
              <w:right w:val="single" w:sz="4" w:space="0" w:color="auto"/>
            </w:tcBorders>
            <w:shd w:val="clear" w:color="auto" w:fill="auto"/>
            <w:noWrap/>
            <w:vAlign w:val="bottom"/>
            <w:hideMark/>
          </w:tcPr>
          <w:p w:rsidR="00B05C65" w:rsidRPr="00C32811" w:rsidRDefault="00E30BAC" w:rsidP="00D90F8F">
            <w:pPr>
              <w:jc w:val="right"/>
              <w:rPr>
                <w:rFonts w:ascii="Arial" w:hAnsi="Arial" w:cs="Arial"/>
                <w:b/>
                <w:bCs/>
                <w:color w:val="000000"/>
                <w:sz w:val="22"/>
                <w:szCs w:val="22"/>
                <w:lang w:eastAsia="en-GB"/>
              </w:rPr>
            </w:pPr>
            <w:r>
              <w:rPr>
                <w:rFonts w:ascii="Arial" w:hAnsi="Arial" w:cs="Arial"/>
                <w:b/>
                <w:bCs/>
                <w:color w:val="000000"/>
                <w:sz w:val="22"/>
                <w:szCs w:val="22"/>
                <w:lang w:eastAsia="en-GB"/>
              </w:rPr>
              <w:t>236,460</w:t>
            </w:r>
          </w:p>
        </w:tc>
      </w:tr>
      <w:tr w:rsidR="002C1611" w:rsidRPr="00C32811" w:rsidTr="001C0F93">
        <w:trPr>
          <w:trHeight w:val="300"/>
        </w:trPr>
        <w:tc>
          <w:tcPr>
            <w:tcW w:w="4152" w:type="dxa"/>
            <w:tcBorders>
              <w:top w:val="nil"/>
              <w:left w:val="single" w:sz="4" w:space="0" w:color="auto"/>
              <w:bottom w:val="single" w:sz="4" w:space="0" w:color="auto"/>
              <w:right w:val="nil"/>
            </w:tcBorders>
            <w:shd w:val="clear" w:color="auto" w:fill="auto"/>
            <w:noWrap/>
            <w:vAlign w:val="bottom"/>
            <w:hideMark/>
          </w:tcPr>
          <w:p w:rsidR="002C1611" w:rsidRPr="00C32811" w:rsidRDefault="002C1611" w:rsidP="00F7785D">
            <w:pPr>
              <w:rPr>
                <w:rFonts w:ascii="Arial" w:hAnsi="Arial" w:cs="Arial"/>
                <w:b/>
                <w:bCs/>
                <w:color w:val="000000"/>
                <w:sz w:val="22"/>
                <w:szCs w:val="22"/>
                <w:lang w:eastAsia="en-GB"/>
              </w:rPr>
            </w:pPr>
            <w:r w:rsidRPr="00C32811">
              <w:rPr>
                <w:rFonts w:ascii="Arial" w:hAnsi="Arial" w:cs="Arial"/>
                <w:b/>
                <w:bCs/>
                <w:color w:val="000000"/>
                <w:sz w:val="22"/>
                <w:szCs w:val="22"/>
                <w:lang w:eastAsia="en-GB"/>
              </w:rPr>
              <w:t xml:space="preserve">Total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5C65" w:rsidRPr="00C32811" w:rsidRDefault="00744FFF" w:rsidP="00D90F8F">
            <w:pPr>
              <w:jc w:val="right"/>
              <w:rPr>
                <w:rFonts w:ascii="Arial" w:hAnsi="Arial" w:cs="Arial"/>
                <w:b/>
                <w:bCs/>
                <w:color w:val="000000"/>
                <w:sz w:val="22"/>
                <w:szCs w:val="22"/>
                <w:lang w:eastAsia="en-GB"/>
              </w:rPr>
            </w:pPr>
            <w:r>
              <w:rPr>
                <w:rFonts w:ascii="Arial" w:hAnsi="Arial" w:cs="Arial"/>
                <w:b/>
                <w:bCs/>
                <w:color w:val="000000"/>
                <w:sz w:val="22"/>
                <w:szCs w:val="22"/>
                <w:lang w:eastAsia="en-GB"/>
              </w:rPr>
              <w:t>4.57</w:t>
            </w:r>
          </w:p>
        </w:tc>
        <w:tc>
          <w:tcPr>
            <w:tcW w:w="1738" w:type="dxa"/>
            <w:tcBorders>
              <w:top w:val="single" w:sz="4" w:space="0" w:color="auto"/>
              <w:left w:val="nil"/>
              <w:bottom w:val="single" w:sz="4" w:space="0" w:color="auto"/>
              <w:right w:val="nil"/>
            </w:tcBorders>
            <w:shd w:val="clear" w:color="auto" w:fill="auto"/>
            <w:noWrap/>
            <w:vAlign w:val="bottom"/>
            <w:hideMark/>
          </w:tcPr>
          <w:p w:rsidR="00B05C65" w:rsidRPr="00C32811" w:rsidRDefault="002C1611" w:rsidP="00D90F8F">
            <w:pPr>
              <w:jc w:val="right"/>
              <w:rPr>
                <w:rFonts w:ascii="Arial" w:hAnsi="Arial" w:cs="Arial"/>
                <w:b/>
                <w:bCs/>
                <w:color w:val="000000"/>
                <w:sz w:val="22"/>
                <w:szCs w:val="22"/>
                <w:lang w:eastAsia="en-GB"/>
              </w:rPr>
            </w:pPr>
            <w:r w:rsidRPr="00C32811">
              <w:rPr>
                <w:rFonts w:ascii="Arial" w:hAnsi="Arial" w:cs="Arial"/>
                <w:b/>
                <w:bCs/>
                <w:color w:val="000000"/>
                <w:sz w:val="22"/>
                <w:szCs w:val="22"/>
                <w:lang w:eastAsia="en-GB"/>
              </w:rPr>
              <w:t>100</w:t>
            </w:r>
            <w:r w:rsidR="00583B69" w:rsidRPr="00C32811">
              <w:rPr>
                <w:rFonts w:ascii="Arial" w:hAnsi="Arial" w:cs="Arial"/>
                <w:b/>
                <w:bCs/>
                <w:color w:val="000000"/>
                <w:sz w:val="22"/>
                <w:szCs w:val="22"/>
                <w:lang w:eastAsia="en-GB"/>
              </w:rPr>
              <w:t>.0</w:t>
            </w:r>
            <w:r w:rsidRPr="00C32811">
              <w:rPr>
                <w:rFonts w:ascii="Arial" w:hAnsi="Arial" w:cs="Arial"/>
                <w:b/>
                <w:bCs/>
                <w:color w:val="000000"/>
                <w:sz w:val="22"/>
                <w:szCs w:val="22"/>
                <w:lang w:eastAsia="en-GB"/>
              </w:rPr>
              <w:t>%</w:t>
            </w: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5C65" w:rsidRPr="00C32811" w:rsidRDefault="00744FFF" w:rsidP="00E30BAC">
            <w:pPr>
              <w:jc w:val="right"/>
              <w:rPr>
                <w:rFonts w:ascii="Arial" w:hAnsi="Arial" w:cs="Arial"/>
                <w:b/>
                <w:bCs/>
                <w:color w:val="000000"/>
                <w:sz w:val="22"/>
                <w:szCs w:val="22"/>
                <w:lang w:eastAsia="en-GB"/>
              </w:rPr>
            </w:pPr>
            <w:r>
              <w:rPr>
                <w:rFonts w:ascii="Arial" w:hAnsi="Arial" w:cs="Arial"/>
                <w:b/>
                <w:color w:val="000000"/>
                <w:sz w:val="22"/>
                <w:szCs w:val="22"/>
                <w:lang w:eastAsia="en-GB"/>
              </w:rPr>
              <w:t>4,</w:t>
            </w:r>
            <w:r w:rsidR="00E30BAC">
              <w:rPr>
                <w:rFonts w:ascii="Arial" w:hAnsi="Arial" w:cs="Arial"/>
                <w:b/>
                <w:color w:val="000000"/>
                <w:sz w:val="22"/>
                <w:szCs w:val="22"/>
                <w:lang w:eastAsia="en-GB"/>
              </w:rPr>
              <w:t>729,196</w:t>
            </w:r>
          </w:p>
        </w:tc>
      </w:tr>
    </w:tbl>
    <w:p w:rsidR="00196432" w:rsidRPr="00C32811" w:rsidRDefault="00196432" w:rsidP="00F7785D">
      <w:pPr>
        <w:ind w:left="709" w:hanging="709"/>
        <w:rPr>
          <w:rFonts w:ascii="Arial" w:hAnsi="Arial" w:cs="Arial"/>
        </w:rPr>
      </w:pPr>
    </w:p>
    <w:p w:rsidR="00491403" w:rsidRPr="00C32811" w:rsidRDefault="001C0F93" w:rsidP="00F7785D">
      <w:pPr>
        <w:ind w:left="709" w:hanging="709"/>
        <w:rPr>
          <w:rFonts w:ascii="Arial" w:hAnsi="Arial" w:cs="Arial"/>
        </w:rPr>
      </w:pPr>
      <w:r>
        <w:rPr>
          <w:rFonts w:ascii="Arial" w:hAnsi="Arial" w:cs="Arial"/>
        </w:rPr>
        <w:t>4.5</w:t>
      </w:r>
      <w:r w:rsidR="00491403" w:rsidRPr="00C32811">
        <w:rPr>
          <w:rFonts w:ascii="Arial" w:hAnsi="Arial" w:cs="Arial"/>
        </w:rPr>
        <w:tab/>
      </w:r>
      <w:r w:rsidR="00491403" w:rsidRPr="00C32811">
        <w:rPr>
          <w:rFonts w:ascii="Arial" w:hAnsi="Arial" w:cs="Arial"/>
          <w:u w:val="single"/>
        </w:rPr>
        <w:t>Pass-through rate</w:t>
      </w:r>
      <w:r w:rsidR="00E64036" w:rsidRPr="00C32811">
        <w:rPr>
          <w:rFonts w:ascii="Arial" w:hAnsi="Arial" w:cs="Arial"/>
          <w:u w:val="single"/>
        </w:rPr>
        <w:t xml:space="preserve"> – 95%</w:t>
      </w:r>
      <w:r w:rsidR="00196432" w:rsidRPr="00C32811">
        <w:rPr>
          <w:rFonts w:ascii="Arial" w:hAnsi="Arial" w:cs="Arial"/>
        </w:rPr>
        <w:tab/>
      </w:r>
    </w:p>
    <w:p w:rsidR="00B05C65" w:rsidRPr="00C32811" w:rsidRDefault="00340CC7">
      <w:pPr>
        <w:ind w:left="709" w:hanging="709"/>
        <w:rPr>
          <w:rFonts w:ascii="Arial" w:hAnsi="Arial" w:cs="Arial"/>
        </w:rPr>
      </w:pPr>
      <w:r w:rsidRPr="00C32811">
        <w:rPr>
          <w:rFonts w:ascii="Arial" w:hAnsi="Arial" w:cs="Arial"/>
        </w:rPr>
        <w:tab/>
      </w:r>
      <w:r w:rsidR="00217829" w:rsidRPr="00C32811">
        <w:rPr>
          <w:rFonts w:ascii="Arial" w:hAnsi="Arial" w:cs="Arial"/>
        </w:rPr>
        <w:t xml:space="preserve">The pass-through rate includes </w:t>
      </w:r>
      <w:r w:rsidR="00B5282E">
        <w:rPr>
          <w:rFonts w:ascii="Arial" w:hAnsi="Arial" w:cs="Arial"/>
        </w:rPr>
        <w:t xml:space="preserve">the </w:t>
      </w:r>
      <w:r w:rsidR="00DB6EB0" w:rsidRPr="00C32811">
        <w:rPr>
          <w:rFonts w:ascii="Arial" w:hAnsi="Arial" w:cs="Arial"/>
        </w:rPr>
        <w:t>base rate,</w:t>
      </w:r>
      <w:r w:rsidR="00217829" w:rsidRPr="00C32811">
        <w:rPr>
          <w:rFonts w:ascii="Arial" w:hAnsi="Arial" w:cs="Arial"/>
        </w:rPr>
        <w:t xml:space="preserve"> the funding of </w:t>
      </w:r>
      <w:r w:rsidR="00583B69" w:rsidRPr="00C32811">
        <w:rPr>
          <w:rFonts w:ascii="Arial" w:hAnsi="Arial" w:cs="Arial"/>
        </w:rPr>
        <w:t>the deprivation supplement</w:t>
      </w:r>
      <w:r w:rsidR="00196432" w:rsidRPr="00C32811">
        <w:rPr>
          <w:rFonts w:ascii="Arial" w:hAnsi="Arial" w:cs="Arial"/>
        </w:rPr>
        <w:t>,</w:t>
      </w:r>
      <w:r w:rsidR="00217829" w:rsidRPr="00C32811">
        <w:rPr>
          <w:rFonts w:ascii="Arial" w:hAnsi="Arial" w:cs="Arial"/>
        </w:rPr>
        <w:t xml:space="preserve"> </w:t>
      </w:r>
      <w:r w:rsidR="00DB6EB0" w:rsidRPr="00C32811">
        <w:rPr>
          <w:rFonts w:ascii="Arial" w:hAnsi="Arial" w:cs="Arial"/>
        </w:rPr>
        <w:t xml:space="preserve">the proposed </w:t>
      </w:r>
      <w:r w:rsidR="00217829" w:rsidRPr="00C32811">
        <w:rPr>
          <w:rFonts w:ascii="Arial" w:hAnsi="Arial" w:cs="Arial"/>
        </w:rPr>
        <w:t>contingency</w:t>
      </w:r>
      <w:r w:rsidR="00DB6EB0" w:rsidRPr="00C32811">
        <w:rPr>
          <w:rFonts w:ascii="Arial" w:hAnsi="Arial" w:cs="Arial"/>
        </w:rPr>
        <w:t xml:space="preserve"> fund and an allocation </w:t>
      </w:r>
      <w:r w:rsidR="007B68E5" w:rsidRPr="00C32811">
        <w:rPr>
          <w:rFonts w:ascii="Arial" w:hAnsi="Arial" w:cs="Arial"/>
        </w:rPr>
        <w:t>for the SEN inclusion fund.</w:t>
      </w:r>
      <w:r w:rsidR="00E60961" w:rsidRPr="00C32811">
        <w:rPr>
          <w:rFonts w:ascii="Arial" w:hAnsi="Arial" w:cs="Arial"/>
        </w:rPr>
        <w:t xml:space="preserve"> These elements are described in more detail below.</w:t>
      </w:r>
    </w:p>
    <w:p w:rsidR="00E64036" w:rsidRDefault="00E64036" w:rsidP="00F7785D">
      <w:pPr>
        <w:ind w:left="709" w:hanging="709"/>
        <w:rPr>
          <w:rFonts w:ascii="Arial" w:hAnsi="Arial" w:cs="Arial"/>
        </w:rPr>
      </w:pPr>
    </w:p>
    <w:p w:rsidR="001C0F93" w:rsidRDefault="001C0F93" w:rsidP="00F7785D">
      <w:pPr>
        <w:ind w:left="709" w:hanging="709"/>
        <w:rPr>
          <w:rFonts w:ascii="Arial" w:hAnsi="Arial" w:cs="Arial"/>
        </w:rPr>
      </w:pPr>
    </w:p>
    <w:p w:rsidR="001C0F93" w:rsidRPr="00C32811" w:rsidRDefault="001C0F93" w:rsidP="00F7785D">
      <w:pPr>
        <w:ind w:left="709" w:hanging="709"/>
        <w:rPr>
          <w:rFonts w:ascii="Arial" w:hAnsi="Arial" w:cs="Arial"/>
        </w:rPr>
      </w:pPr>
    </w:p>
    <w:p w:rsidR="00E64036" w:rsidRPr="00C32811" w:rsidRDefault="001C0F93" w:rsidP="00F7785D">
      <w:pPr>
        <w:ind w:left="709" w:hanging="709"/>
        <w:rPr>
          <w:rFonts w:ascii="Arial" w:hAnsi="Arial" w:cs="Arial"/>
        </w:rPr>
      </w:pPr>
      <w:r>
        <w:rPr>
          <w:rFonts w:ascii="Arial" w:hAnsi="Arial" w:cs="Arial"/>
        </w:rPr>
        <w:t>4.6</w:t>
      </w:r>
      <w:r w:rsidR="00E64036" w:rsidRPr="00C32811">
        <w:rPr>
          <w:rFonts w:ascii="Arial" w:hAnsi="Arial" w:cs="Arial"/>
        </w:rPr>
        <w:tab/>
      </w:r>
      <w:r w:rsidR="00E64036" w:rsidRPr="00C32811">
        <w:rPr>
          <w:rFonts w:ascii="Arial" w:hAnsi="Arial" w:cs="Arial"/>
          <w:u w:val="single"/>
        </w:rPr>
        <w:t>Base r</w:t>
      </w:r>
      <w:r w:rsidR="00583B69" w:rsidRPr="00C32811">
        <w:rPr>
          <w:rFonts w:ascii="Arial" w:hAnsi="Arial" w:cs="Arial"/>
          <w:u w:val="single"/>
        </w:rPr>
        <w:t>ate</w:t>
      </w:r>
      <w:r w:rsidR="00E60961" w:rsidRPr="00C32811">
        <w:rPr>
          <w:rFonts w:ascii="Arial" w:hAnsi="Arial" w:cs="Arial"/>
          <w:u w:val="single"/>
        </w:rPr>
        <w:t>– 93.8</w:t>
      </w:r>
      <w:r w:rsidR="00E64036" w:rsidRPr="00C32811">
        <w:rPr>
          <w:rFonts w:ascii="Arial" w:hAnsi="Arial" w:cs="Arial"/>
          <w:u w:val="single"/>
        </w:rPr>
        <w:t>%</w:t>
      </w:r>
    </w:p>
    <w:p w:rsidR="00B05C65" w:rsidRPr="00C32811" w:rsidRDefault="00E64036">
      <w:pPr>
        <w:ind w:left="709" w:hanging="709"/>
        <w:rPr>
          <w:rFonts w:ascii="Arial" w:hAnsi="Arial" w:cs="Arial"/>
        </w:rPr>
      </w:pPr>
      <w:r w:rsidRPr="00C32811">
        <w:rPr>
          <w:rFonts w:ascii="Arial" w:hAnsi="Arial" w:cs="Arial"/>
        </w:rPr>
        <w:tab/>
        <w:t>The</w:t>
      </w:r>
      <w:r w:rsidR="00E159C0" w:rsidRPr="00C32811">
        <w:rPr>
          <w:rFonts w:ascii="Arial" w:hAnsi="Arial" w:cs="Arial"/>
        </w:rPr>
        <w:t xml:space="preserve"> </w:t>
      </w:r>
      <w:r w:rsidR="001C0F93">
        <w:rPr>
          <w:rFonts w:ascii="Arial" w:hAnsi="Arial" w:cs="Arial"/>
        </w:rPr>
        <w:t>base rate proposed would represent an increase of 7p per hour from the existing base rate of £4.21. The base rate is payable to all providers of three to four year old provision.</w:t>
      </w:r>
      <w:r w:rsidR="00C60C78" w:rsidRPr="00C32811">
        <w:rPr>
          <w:rFonts w:ascii="Arial" w:hAnsi="Arial" w:cs="Arial"/>
        </w:rPr>
        <w:t xml:space="preserve"> </w:t>
      </w:r>
    </w:p>
    <w:p w:rsidR="00491403" w:rsidRPr="00C32811" w:rsidRDefault="00491403" w:rsidP="00F7785D">
      <w:pPr>
        <w:ind w:left="709" w:hanging="709"/>
        <w:rPr>
          <w:rFonts w:ascii="Arial" w:hAnsi="Arial" w:cs="Arial"/>
        </w:rPr>
      </w:pPr>
    </w:p>
    <w:p w:rsidR="00E60961" w:rsidRPr="00C32811" w:rsidRDefault="001C0F93" w:rsidP="00F7785D">
      <w:pPr>
        <w:ind w:left="709" w:hanging="709"/>
        <w:rPr>
          <w:rFonts w:ascii="Arial" w:hAnsi="Arial" w:cs="Arial"/>
        </w:rPr>
      </w:pPr>
      <w:r>
        <w:rPr>
          <w:rFonts w:ascii="Arial" w:hAnsi="Arial" w:cs="Arial"/>
        </w:rPr>
        <w:t>4.7</w:t>
      </w:r>
      <w:r w:rsidR="00C56839" w:rsidRPr="00C32811">
        <w:rPr>
          <w:rFonts w:ascii="Arial" w:hAnsi="Arial" w:cs="Arial"/>
        </w:rPr>
        <w:tab/>
      </w:r>
      <w:r w:rsidR="00E60961" w:rsidRPr="00C32811">
        <w:rPr>
          <w:rFonts w:ascii="Arial" w:hAnsi="Arial" w:cs="Arial"/>
          <w:u w:val="single"/>
        </w:rPr>
        <w:t>Mandatory Deprivation Supplement – 0.2%</w:t>
      </w:r>
    </w:p>
    <w:p w:rsidR="00E60961" w:rsidRPr="00C32811" w:rsidRDefault="00E60961" w:rsidP="00E544D6">
      <w:pPr>
        <w:ind w:left="709" w:hanging="709"/>
        <w:rPr>
          <w:rFonts w:ascii="Arial" w:hAnsi="Arial" w:cs="Arial"/>
        </w:rPr>
      </w:pPr>
      <w:r w:rsidRPr="00C32811">
        <w:rPr>
          <w:rFonts w:ascii="Arial" w:hAnsi="Arial" w:cs="Arial"/>
        </w:rPr>
        <w:tab/>
      </w:r>
      <w:r w:rsidR="00E544D6" w:rsidRPr="00C32811">
        <w:rPr>
          <w:rFonts w:ascii="Arial" w:hAnsi="Arial" w:cs="Arial"/>
        </w:rPr>
        <w:t xml:space="preserve">Deprivation is a mandated supplement within the early year’s hourly rate. This is </w:t>
      </w:r>
      <w:r w:rsidR="002506A6" w:rsidRPr="00C32811">
        <w:rPr>
          <w:rFonts w:ascii="Arial" w:hAnsi="Arial" w:cs="Arial"/>
        </w:rPr>
        <w:t>proposed</w:t>
      </w:r>
      <w:r w:rsidR="00E544D6" w:rsidRPr="00C32811">
        <w:rPr>
          <w:rFonts w:ascii="Arial" w:hAnsi="Arial" w:cs="Arial"/>
        </w:rPr>
        <w:t xml:space="preserve"> </w:t>
      </w:r>
      <w:r w:rsidR="002506A6" w:rsidRPr="00C32811">
        <w:rPr>
          <w:rFonts w:ascii="Arial" w:hAnsi="Arial" w:cs="Arial"/>
        </w:rPr>
        <w:t xml:space="preserve">at the same rate as </w:t>
      </w:r>
      <w:r w:rsidR="001C0F93">
        <w:rPr>
          <w:rFonts w:ascii="Arial" w:hAnsi="Arial" w:cs="Arial"/>
        </w:rPr>
        <w:t>2020/21</w:t>
      </w:r>
      <w:r w:rsidR="00E544D6" w:rsidRPr="00C32811">
        <w:rPr>
          <w:rFonts w:ascii="Arial" w:hAnsi="Arial" w:cs="Arial"/>
        </w:rPr>
        <w:t>.</w:t>
      </w:r>
      <w:r w:rsidR="002506A6" w:rsidRPr="00C32811">
        <w:rPr>
          <w:rFonts w:ascii="Arial" w:hAnsi="Arial" w:cs="Arial"/>
        </w:rPr>
        <w:t xml:space="preserve"> </w:t>
      </w:r>
      <w:r w:rsidR="001C0F93">
        <w:rPr>
          <w:rFonts w:ascii="Arial" w:hAnsi="Arial" w:cs="Arial"/>
        </w:rPr>
        <w:t>Payments would continue to be allocated on the basis of those three to four year olds attracting pupil premium.</w:t>
      </w:r>
    </w:p>
    <w:p w:rsidR="00A02A9D" w:rsidRPr="00C32811" w:rsidRDefault="00A02A9D" w:rsidP="00A02A9D">
      <w:pPr>
        <w:rPr>
          <w:rFonts w:ascii="Arial" w:hAnsi="Arial" w:cs="Arial"/>
        </w:rPr>
      </w:pPr>
    </w:p>
    <w:p w:rsidR="009D02F8" w:rsidRPr="00C32811" w:rsidRDefault="001C0F93" w:rsidP="009D02F8">
      <w:pPr>
        <w:ind w:left="709" w:hanging="709"/>
        <w:rPr>
          <w:rFonts w:ascii="Arial" w:hAnsi="Arial" w:cs="Arial"/>
        </w:rPr>
      </w:pPr>
      <w:r>
        <w:rPr>
          <w:rFonts w:ascii="Arial" w:hAnsi="Arial" w:cs="Arial"/>
        </w:rPr>
        <w:t>4.8</w:t>
      </w:r>
      <w:r w:rsidR="00E60961" w:rsidRPr="00C32811">
        <w:rPr>
          <w:rFonts w:ascii="Arial" w:hAnsi="Arial" w:cs="Arial"/>
        </w:rPr>
        <w:tab/>
      </w:r>
      <w:r w:rsidR="009D02F8">
        <w:rPr>
          <w:rFonts w:ascii="Arial" w:hAnsi="Arial" w:cs="Arial"/>
          <w:u w:val="single"/>
        </w:rPr>
        <w:t>Contingency Fund – 0.4</w:t>
      </w:r>
      <w:r w:rsidR="009D02F8" w:rsidRPr="00C32811">
        <w:rPr>
          <w:rFonts w:ascii="Arial" w:hAnsi="Arial" w:cs="Arial"/>
          <w:u w:val="single"/>
        </w:rPr>
        <w:t>%</w:t>
      </w:r>
    </w:p>
    <w:p w:rsidR="009D02F8" w:rsidRDefault="009D02F8" w:rsidP="009D02F8">
      <w:pPr>
        <w:ind w:left="709"/>
        <w:rPr>
          <w:rFonts w:ascii="Arial" w:hAnsi="Arial" w:cs="Arial"/>
        </w:rPr>
      </w:pPr>
      <w:r w:rsidRPr="00C32811">
        <w:rPr>
          <w:rFonts w:ascii="Arial" w:hAnsi="Arial" w:cs="Arial"/>
        </w:rPr>
        <w:t>Although there is a duty to ensure that 95% of 3-4 year old funding is passed to providers, it is important to understand and manage the risk of exceeding the 95%, resulting in a</w:t>
      </w:r>
      <w:r>
        <w:rPr>
          <w:rFonts w:ascii="Arial" w:hAnsi="Arial" w:cs="Arial"/>
        </w:rPr>
        <w:t xml:space="preserve"> new financial pressure on the early years b</w:t>
      </w:r>
      <w:r w:rsidRPr="00C32811">
        <w:rPr>
          <w:rFonts w:ascii="Arial" w:hAnsi="Arial" w:cs="Arial"/>
        </w:rPr>
        <w:t xml:space="preserve">lock. A contingency fund of 0.5% is proposed in order to mitigate this risk. Such a risk could materialise through unexpected volatility in census volumes during the funding year. The contingency fund would provide for </w:t>
      </w:r>
      <w:r>
        <w:rPr>
          <w:rFonts w:ascii="Arial" w:hAnsi="Arial" w:cs="Arial"/>
        </w:rPr>
        <w:t xml:space="preserve">circa 7 </w:t>
      </w:r>
      <w:r w:rsidRPr="00C32811">
        <w:rPr>
          <w:rFonts w:ascii="Arial" w:hAnsi="Arial" w:cs="Arial"/>
        </w:rPr>
        <w:t>full time places for a complete year and is considered a reasonable provision based on previous year census variations.</w:t>
      </w:r>
    </w:p>
    <w:p w:rsidR="009D02F8" w:rsidRPr="00C32811" w:rsidRDefault="009D02F8" w:rsidP="009D02F8">
      <w:pPr>
        <w:ind w:left="709"/>
        <w:rPr>
          <w:rFonts w:ascii="Arial" w:hAnsi="Arial" w:cs="Arial"/>
        </w:rPr>
      </w:pPr>
    </w:p>
    <w:p w:rsidR="00461698" w:rsidRPr="00C32811" w:rsidRDefault="009D02F8" w:rsidP="00F7785D">
      <w:pPr>
        <w:ind w:left="709" w:hanging="709"/>
        <w:rPr>
          <w:rFonts w:ascii="Arial" w:hAnsi="Arial" w:cs="Arial"/>
        </w:rPr>
      </w:pPr>
      <w:r w:rsidRPr="009D02F8">
        <w:rPr>
          <w:rFonts w:ascii="Arial" w:hAnsi="Arial" w:cs="Arial"/>
        </w:rPr>
        <w:t>4.9</w:t>
      </w:r>
      <w:r w:rsidRPr="009D02F8">
        <w:rPr>
          <w:rFonts w:ascii="Arial" w:hAnsi="Arial" w:cs="Arial"/>
        </w:rPr>
        <w:tab/>
      </w:r>
      <w:r w:rsidR="00461698" w:rsidRPr="00C32811">
        <w:rPr>
          <w:rFonts w:ascii="Arial" w:hAnsi="Arial" w:cs="Arial"/>
          <w:u w:val="single"/>
        </w:rPr>
        <w:t>SEN Inclusion Fund – 0.6%</w:t>
      </w:r>
    </w:p>
    <w:p w:rsidR="00C56839" w:rsidRPr="00C32811" w:rsidRDefault="00461698" w:rsidP="00461698">
      <w:pPr>
        <w:ind w:left="709"/>
        <w:rPr>
          <w:rFonts w:ascii="Arial" w:hAnsi="Arial" w:cs="Arial"/>
        </w:rPr>
      </w:pPr>
      <w:r w:rsidRPr="00C32811">
        <w:rPr>
          <w:rFonts w:ascii="Arial" w:hAnsi="Arial" w:cs="Arial"/>
        </w:rPr>
        <w:t>The SEN Inclusion Fund is proposed to be</w:t>
      </w:r>
      <w:r w:rsidR="00737555" w:rsidRPr="00C32811">
        <w:rPr>
          <w:rFonts w:ascii="Arial" w:hAnsi="Arial" w:cs="Arial"/>
        </w:rPr>
        <w:t xml:space="preserve"> maintained at </w:t>
      </w:r>
      <w:r w:rsidR="00C56839" w:rsidRPr="00C32811">
        <w:rPr>
          <w:rFonts w:ascii="Arial" w:hAnsi="Arial" w:cs="Arial"/>
        </w:rPr>
        <w:t>0.6%</w:t>
      </w:r>
      <w:r w:rsidR="00F7785D" w:rsidRPr="00C32811">
        <w:rPr>
          <w:rFonts w:ascii="Arial" w:hAnsi="Arial" w:cs="Arial"/>
        </w:rPr>
        <w:t>.  T</w:t>
      </w:r>
      <w:r w:rsidR="00737555" w:rsidRPr="00C32811">
        <w:rPr>
          <w:rFonts w:ascii="Arial" w:hAnsi="Arial" w:cs="Arial"/>
        </w:rPr>
        <w:t xml:space="preserve">his </w:t>
      </w:r>
      <w:r w:rsidRPr="00C32811">
        <w:rPr>
          <w:rFonts w:ascii="Arial" w:hAnsi="Arial" w:cs="Arial"/>
        </w:rPr>
        <w:t xml:space="preserve">£30k </w:t>
      </w:r>
      <w:r w:rsidR="00737555" w:rsidRPr="00C32811">
        <w:rPr>
          <w:rFonts w:ascii="Arial" w:hAnsi="Arial" w:cs="Arial"/>
        </w:rPr>
        <w:t>fund can be accessed by all providers in accordance with the agreed policy.</w:t>
      </w:r>
    </w:p>
    <w:p w:rsidR="00C56839" w:rsidRPr="00C32811" w:rsidRDefault="00C56839" w:rsidP="00F7785D">
      <w:pPr>
        <w:ind w:left="709" w:hanging="709"/>
        <w:rPr>
          <w:rFonts w:ascii="Arial" w:hAnsi="Arial" w:cs="Arial"/>
        </w:rPr>
      </w:pPr>
    </w:p>
    <w:p w:rsidR="00C56839" w:rsidRPr="00C32811" w:rsidRDefault="001C0F93" w:rsidP="00B70428">
      <w:pPr>
        <w:ind w:left="709" w:hanging="709"/>
        <w:rPr>
          <w:rFonts w:ascii="Arial" w:hAnsi="Arial" w:cs="Arial"/>
        </w:rPr>
      </w:pPr>
      <w:r>
        <w:rPr>
          <w:rFonts w:ascii="Arial" w:hAnsi="Arial" w:cs="Arial"/>
        </w:rPr>
        <w:lastRenderedPageBreak/>
        <w:t>4.10</w:t>
      </w:r>
      <w:r w:rsidR="00B70428" w:rsidRPr="00C32811">
        <w:rPr>
          <w:rFonts w:ascii="Arial" w:hAnsi="Arial" w:cs="Arial"/>
        </w:rPr>
        <w:tab/>
      </w:r>
      <w:r w:rsidR="00E60961" w:rsidRPr="00C32811">
        <w:rPr>
          <w:rFonts w:ascii="Arial" w:hAnsi="Arial" w:cs="Arial"/>
        </w:rPr>
        <w:t xml:space="preserve">The pass-through rate position will </w:t>
      </w:r>
      <w:r w:rsidR="00B70428" w:rsidRPr="00C32811">
        <w:rPr>
          <w:rFonts w:ascii="Arial" w:hAnsi="Arial" w:cs="Arial"/>
        </w:rPr>
        <w:t xml:space="preserve">continue to </w:t>
      </w:r>
      <w:r w:rsidR="00E60961" w:rsidRPr="00C32811">
        <w:rPr>
          <w:rFonts w:ascii="Arial" w:hAnsi="Arial" w:cs="Arial"/>
        </w:rPr>
        <w:t xml:space="preserve">be carefully monitored in-year to assess any risk and respond </w:t>
      </w:r>
      <w:r w:rsidR="00B70428" w:rsidRPr="00C32811">
        <w:rPr>
          <w:rFonts w:ascii="Arial" w:hAnsi="Arial" w:cs="Arial"/>
        </w:rPr>
        <w:t>appropriately.</w:t>
      </w:r>
    </w:p>
    <w:p w:rsidR="00C56839" w:rsidRPr="00C32811" w:rsidRDefault="00C56839" w:rsidP="00F7785D">
      <w:pPr>
        <w:ind w:left="709" w:hanging="709"/>
        <w:rPr>
          <w:rFonts w:ascii="Arial" w:hAnsi="Arial" w:cs="Arial"/>
        </w:rPr>
      </w:pPr>
    </w:p>
    <w:p w:rsidR="006702AB" w:rsidRPr="00C32811" w:rsidRDefault="001C0F93" w:rsidP="00F7785D">
      <w:pPr>
        <w:ind w:left="709" w:hanging="709"/>
        <w:rPr>
          <w:rFonts w:ascii="Arial" w:hAnsi="Arial" w:cs="Arial"/>
        </w:rPr>
      </w:pPr>
      <w:r>
        <w:rPr>
          <w:rFonts w:ascii="Arial" w:hAnsi="Arial" w:cs="Arial"/>
        </w:rPr>
        <w:t>4.11</w:t>
      </w:r>
      <w:r w:rsidR="00737555" w:rsidRPr="00C32811">
        <w:rPr>
          <w:rFonts w:ascii="Arial" w:hAnsi="Arial" w:cs="Arial"/>
        </w:rPr>
        <w:tab/>
      </w:r>
      <w:r w:rsidR="00737555" w:rsidRPr="00C32811">
        <w:rPr>
          <w:rFonts w:ascii="Arial" w:hAnsi="Arial" w:cs="Arial"/>
          <w:u w:val="single"/>
        </w:rPr>
        <w:t>Centrally Retained Funding</w:t>
      </w:r>
    </w:p>
    <w:p w:rsidR="00B05C65" w:rsidRPr="00C32811" w:rsidRDefault="006702AB">
      <w:pPr>
        <w:ind w:left="709" w:hanging="709"/>
        <w:rPr>
          <w:rFonts w:ascii="Arial" w:hAnsi="Arial" w:cs="Arial"/>
        </w:rPr>
      </w:pPr>
      <w:r w:rsidRPr="00C32811">
        <w:rPr>
          <w:rFonts w:ascii="Arial" w:hAnsi="Arial" w:cs="Arial"/>
        </w:rPr>
        <w:tab/>
        <w:t xml:space="preserve">In accordance with ESFA guidance, centrally retained funding of </w:t>
      </w:r>
      <w:r w:rsidR="00C56839" w:rsidRPr="00C32811">
        <w:rPr>
          <w:rFonts w:ascii="Arial" w:hAnsi="Arial" w:cs="Arial"/>
        </w:rPr>
        <w:t xml:space="preserve">5% of the EYNFF, </w:t>
      </w:r>
      <w:r w:rsidR="00E60961" w:rsidRPr="00C32811">
        <w:rPr>
          <w:rFonts w:ascii="Arial" w:hAnsi="Arial" w:cs="Arial"/>
        </w:rPr>
        <w:t>is proposed to be retained. Schools’ Forum has already approved that the retention of</w:t>
      </w:r>
      <w:r w:rsidR="00265385">
        <w:rPr>
          <w:rFonts w:ascii="Arial" w:hAnsi="Arial" w:cs="Arial"/>
        </w:rPr>
        <w:t xml:space="preserve"> 5% be recommended to Children’s</w:t>
      </w:r>
      <w:r w:rsidR="00E60961" w:rsidRPr="00C32811">
        <w:rPr>
          <w:rFonts w:ascii="Arial" w:hAnsi="Arial" w:cs="Arial"/>
        </w:rPr>
        <w:t xml:space="preserve"> Services Committee</w:t>
      </w:r>
      <w:r w:rsidR="00284C8A" w:rsidRPr="00C32811">
        <w:rPr>
          <w:rFonts w:ascii="Arial" w:hAnsi="Arial" w:cs="Arial"/>
        </w:rPr>
        <w:t xml:space="preserve"> for approval</w:t>
      </w:r>
      <w:r w:rsidR="00E60961" w:rsidRPr="00C32811">
        <w:rPr>
          <w:rFonts w:ascii="Arial" w:hAnsi="Arial" w:cs="Arial"/>
        </w:rPr>
        <w:t>.</w:t>
      </w:r>
    </w:p>
    <w:p w:rsidR="00AC2AE1" w:rsidRPr="00C32811" w:rsidRDefault="00AC2AE1" w:rsidP="00F7785D">
      <w:pPr>
        <w:pStyle w:val="ListParagraph"/>
        <w:contextualSpacing/>
        <w:rPr>
          <w:rFonts w:ascii="Arial" w:hAnsi="Arial" w:cs="Arial"/>
        </w:rPr>
      </w:pPr>
    </w:p>
    <w:p w:rsidR="007211E4" w:rsidRPr="00C32811" w:rsidRDefault="001C0F93" w:rsidP="00F7785D">
      <w:pPr>
        <w:ind w:left="709" w:hanging="709"/>
        <w:rPr>
          <w:rFonts w:ascii="Arial" w:hAnsi="Arial" w:cs="Arial"/>
          <w:u w:val="single"/>
        </w:rPr>
      </w:pPr>
      <w:r>
        <w:rPr>
          <w:rFonts w:ascii="Arial" w:hAnsi="Arial" w:cs="Arial"/>
        </w:rPr>
        <w:t>4.12</w:t>
      </w:r>
      <w:r w:rsidR="00737555" w:rsidRPr="00C32811">
        <w:rPr>
          <w:rFonts w:ascii="Arial" w:hAnsi="Arial" w:cs="Arial"/>
        </w:rPr>
        <w:tab/>
      </w:r>
      <w:r w:rsidR="00737555" w:rsidRPr="00C32811">
        <w:rPr>
          <w:rFonts w:ascii="Arial" w:hAnsi="Arial" w:cs="Arial"/>
          <w:u w:val="single"/>
        </w:rPr>
        <w:t>Other Specific Funding</w:t>
      </w:r>
    </w:p>
    <w:p w:rsidR="00B05C65" w:rsidRPr="00C32811" w:rsidRDefault="00737555">
      <w:pPr>
        <w:ind w:left="709" w:hanging="709"/>
        <w:rPr>
          <w:rFonts w:ascii="Arial" w:hAnsi="Arial" w:cs="Arial"/>
        </w:rPr>
      </w:pPr>
      <w:r w:rsidRPr="00C32811">
        <w:rPr>
          <w:rFonts w:ascii="Arial" w:hAnsi="Arial" w:cs="Arial"/>
        </w:rPr>
        <w:tab/>
        <w:t xml:space="preserve">The local authority also receives specific funding for eligible three and four year olds relating to the </w:t>
      </w:r>
      <w:r w:rsidR="006702AB" w:rsidRPr="00C32811">
        <w:rPr>
          <w:rFonts w:ascii="Arial" w:hAnsi="Arial" w:cs="Arial"/>
        </w:rPr>
        <w:t>D</w:t>
      </w:r>
      <w:r w:rsidR="00E159C0" w:rsidRPr="00C32811">
        <w:rPr>
          <w:rFonts w:ascii="Arial" w:hAnsi="Arial" w:cs="Arial"/>
        </w:rPr>
        <w:t xml:space="preserve">isability </w:t>
      </w:r>
      <w:r w:rsidR="006702AB" w:rsidRPr="00C32811">
        <w:rPr>
          <w:rFonts w:ascii="Arial" w:hAnsi="Arial" w:cs="Arial"/>
        </w:rPr>
        <w:t>A</w:t>
      </w:r>
      <w:r w:rsidR="00E159C0" w:rsidRPr="00C32811">
        <w:rPr>
          <w:rFonts w:ascii="Arial" w:hAnsi="Arial" w:cs="Arial"/>
        </w:rPr>
        <w:t xml:space="preserve">ccess </w:t>
      </w:r>
      <w:r w:rsidR="006702AB" w:rsidRPr="00C32811">
        <w:rPr>
          <w:rFonts w:ascii="Arial" w:hAnsi="Arial" w:cs="Arial"/>
        </w:rPr>
        <w:t>F</w:t>
      </w:r>
      <w:r w:rsidR="00E159C0" w:rsidRPr="00C32811">
        <w:rPr>
          <w:rFonts w:ascii="Arial" w:hAnsi="Arial" w:cs="Arial"/>
        </w:rPr>
        <w:t>und (DAF)</w:t>
      </w:r>
      <w:r w:rsidR="006702AB" w:rsidRPr="00C32811">
        <w:rPr>
          <w:rFonts w:ascii="Arial" w:hAnsi="Arial" w:cs="Arial"/>
        </w:rPr>
        <w:t xml:space="preserve"> </w:t>
      </w:r>
      <w:r w:rsidRPr="00C32811">
        <w:rPr>
          <w:rFonts w:ascii="Arial" w:hAnsi="Arial" w:cs="Arial"/>
        </w:rPr>
        <w:t>and Pupil Premium</w:t>
      </w:r>
      <w:r w:rsidR="00F7785D" w:rsidRPr="00C32811">
        <w:rPr>
          <w:rFonts w:ascii="Arial" w:hAnsi="Arial" w:cs="Arial"/>
        </w:rPr>
        <w:t>;</w:t>
      </w:r>
      <w:r w:rsidRPr="00C32811">
        <w:rPr>
          <w:rFonts w:ascii="Arial" w:hAnsi="Arial" w:cs="Arial"/>
        </w:rPr>
        <w:t xml:space="preserve"> this is </w:t>
      </w:r>
      <w:r w:rsidR="00265385" w:rsidRPr="00C32811">
        <w:rPr>
          <w:rFonts w:ascii="Arial" w:hAnsi="Arial" w:cs="Arial"/>
        </w:rPr>
        <w:t>pass ported</w:t>
      </w:r>
      <w:r w:rsidR="00E159C0" w:rsidRPr="00C32811">
        <w:rPr>
          <w:rFonts w:ascii="Arial" w:hAnsi="Arial" w:cs="Arial"/>
        </w:rPr>
        <w:t xml:space="preserve"> to eligible providers. The rates per pupil for </w:t>
      </w:r>
      <w:r w:rsidR="001C0F93">
        <w:rPr>
          <w:rFonts w:ascii="Arial" w:hAnsi="Arial" w:cs="Arial"/>
        </w:rPr>
        <w:t>2020/21</w:t>
      </w:r>
      <w:r w:rsidR="00E159C0" w:rsidRPr="00C32811">
        <w:rPr>
          <w:rFonts w:ascii="Arial" w:hAnsi="Arial" w:cs="Arial"/>
        </w:rPr>
        <w:t xml:space="preserve"> are </w:t>
      </w:r>
      <w:r w:rsidR="006702AB" w:rsidRPr="00C32811">
        <w:rPr>
          <w:rFonts w:ascii="Arial" w:hAnsi="Arial" w:cs="Arial"/>
        </w:rPr>
        <w:t>DAF £615.00 per pupil and pupil premium of £</w:t>
      </w:r>
      <w:r w:rsidR="00340CC7" w:rsidRPr="00C32811">
        <w:rPr>
          <w:rFonts w:ascii="Arial" w:hAnsi="Arial" w:cs="Arial"/>
        </w:rPr>
        <w:t>0</w:t>
      </w:r>
      <w:r w:rsidR="006702AB" w:rsidRPr="00C32811">
        <w:rPr>
          <w:rFonts w:ascii="Arial" w:hAnsi="Arial" w:cs="Arial"/>
        </w:rPr>
        <w:t>.53p per hour.</w:t>
      </w:r>
      <w:r w:rsidR="001C0F93">
        <w:rPr>
          <w:rFonts w:ascii="Arial" w:hAnsi="Arial" w:cs="Arial"/>
        </w:rPr>
        <w:t xml:space="preserve"> These rates are unchanged from 2019/20.</w:t>
      </w:r>
    </w:p>
    <w:p w:rsidR="00B05C65" w:rsidRDefault="00B05C65">
      <w:pPr>
        <w:ind w:left="709" w:hanging="709"/>
        <w:rPr>
          <w:rFonts w:ascii="Arial" w:hAnsi="Arial" w:cs="Arial"/>
        </w:rPr>
      </w:pPr>
    </w:p>
    <w:p w:rsidR="001C0F93" w:rsidRPr="00C32811" w:rsidRDefault="001C0F93" w:rsidP="001C0F93">
      <w:pPr>
        <w:ind w:left="709" w:hanging="709"/>
        <w:rPr>
          <w:rFonts w:ascii="Arial" w:hAnsi="Arial" w:cs="Arial"/>
          <w:b/>
        </w:rPr>
      </w:pPr>
      <w:r>
        <w:rPr>
          <w:rFonts w:ascii="Arial" w:hAnsi="Arial" w:cs="Arial"/>
          <w:b/>
        </w:rPr>
        <w:t>5</w:t>
      </w:r>
      <w:r w:rsidRPr="00C32811">
        <w:rPr>
          <w:rFonts w:ascii="Arial" w:hAnsi="Arial" w:cs="Arial"/>
          <w:b/>
        </w:rPr>
        <w:t xml:space="preserve">. </w:t>
      </w:r>
      <w:r w:rsidRPr="00C32811">
        <w:rPr>
          <w:rFonts w:ascii="Arial" w:hAnsi="Arial" w:cs="Arial"/>
          <w:b/>
        </w:rPr>
        <w:tab/>
      </w:r>
      <w:r>
        <w:rPr>
          <w:rFonts w:ascii="Arial" w:hAnsi="Arial" w:cs="Arial"/>
          <w:b/>
          <w:u w:val="single"/>
        </w:rPr>
        <w:t>Proposed Hourly Rate 2020/21 – Two Year Old Provision</w:t>
      </w:r>
    </w:p>
    <w:p w:rsidR="001C0F93" w:rsidRPr="00C32811" w:rsidRDefault="001C0F93">
      <w:pPr>
        <w:ind w:left="709" w:hanging="709"/>
        <w:rPr>
          <w:rFonts w:ascii="Arial" w:hAnsi="Arial" w:cs="Arial"/>
        </w:rPr>
      </w:pPr>
    </w:p>
    <w:p w:rsidR="003509AB" w:rsidRDefault="00E159C0" w:rsidP="00F7785D">
      <w:pPr>
        <w:ind w:left="709" w:hanging="709"/>
        <w:rPr>
          <w:rFonts w:ascii="Arial" w:hAnsi="Arial" w:cs="Arial"/>
        </w:rPr>
      </w:pPr>
      <w:r w:rsidRPr="00C32811">
        <w:rPr>
          <w:rFonts w:ascii="Arial" w:hAnsi="Arial" w:cs="Arial"/>
        </w:rPr>
        <w:t>5</w:t>
      </w:r>
      <w:r w:rsidR="003509AB" w:rsidRPr="00C32811">
        <w:rPr>
          <w:rFonts w:ascii="Arial" w:hAnsi="Arial" w:cs="Arial"/>
        </w:rPr>
        <w:t>.</w:t>
      </w:r>
      <w:r w:rsidR="00A12AEE" w:rsidRPr="00C32811">
        <w:rPr>
          <w:rFonts w:ascii="Arial" w:hAnsi="Arial" w:cs="Arial"/>
        </w:rPr>
        <w:t>1</w:t>
      </w:r>
      <w:r w:rsidR="003509AB" w:rsidRPr="00C32811">
        <w:rPr>
          <w:rFonts w:ascii="Arial" w:hAnsi="Arial" w:cs="Arial"/>
        </w:rPr>
        <w:tab/>
      </w:r>
      <w:r w:rsidR="001C0F93">
        <w:rPr>
          <w:rFonts w:ascii="Arial" w:hAnsi="Arial" w:cs="Arial"/>
        </w:rPr>
        <w:t>The government has announced an increase of 8p per hour for two year old funding in 2020/21.</w:t>
      </w:r>
    </w:p>
    <w:p w:rsidR="001C0F93" w:rsidRDefault="001C0F93" w:rsidP="00F7785D">
      <w:pPr>
        <w:ind w:left="709" w:hanging="709"/>
        <w:rPr>
          <w:rFonts w:ascii="Arial" w:hAnsi="Arial" w:cs="Arial"/>
        </w:rPr>
      </w:pPr>
    </w:p>
    <w:p w:rsidR="001C0F93" w:rsidRDefault="001C0F93" w:rsidP="00F7785D">
      <w:pPr>
        <w:ind w:left="709" w:hanging="709"/>
        <w:rPr>
          <w:rFonts w:ascii="Arial" w:hAnsi="Arial" w:cs="Arial"/>
        </w:rPr>
      </w:pPr>
      <w:r>
        <w:rPr>
          <w:rFonts w:ascii="Arial" w:hAnsi="Arial" w:cs="Arial"/>
        </w:rPr>
        <w:t>5.2</w:t>
      </w:r>
      <w:r>
        <w:rPr>
          <w:rFonts w:ascii="Arial" w:hAnsi="Arial" w:cs="Arial"/>
        </w:rPr>
        <w:tab/>
        <w:t xml:space="preserve">In recent years, the hourly rate paid to providers for two year old provision in Hartlepool has matched the hourly rate funding from government. </w:t>
      </w:r>
      <w:r w:rsidR="005F28C8">
        <w:rPr>
          <w:rFonts w:ascii="Arial" w:hAnsi="Arial" w:cs="Arial"/>
        </w:rPr>
        <w:t>However, this has not always been the case historically.</w:t>
      </w:r>
    </w:p>
    <w:p w:rsidR="001C0F93" w:rsidRDefault="001C0F93" w:rsidP="00F7785D">
      <w:pPr>
        <w:ind w:left="709" w:hanging="709"/>
        <w:rPr>
          <w:rFonts w:ascii="Arial" w:hAnsi="Arial" w:cs="Arial"/>
        </w:rPr>
      </w:pPr>
    </w:p>
    <w:p w:rsidR="001C0F93" w:rsidRDefault="001C0F93" w:rsidP="00F7785D">
      <w:pPr>
        <w:ind w:left="709" w:hanging="709"/>
        <w:rPr>
          <w:rFonts w:ascii="Arial" w:hAnsi="Arial" w:cs="Arial"/>
        </w:rPr>
      </w:pPr>
      <w:r>
        <w:rPr>
          <w:rFonts w:ascii="Arial" w:hAnsi="Arial" w:cs="Arial"/>
        </w:rPr>
        <w:t>5.3</w:t>
      </w:r>
      <w:r>
        <w:rPr>
          <w:rFonts w:ascii="Arial" w:hAnsi="Arial" w:cs="Arial"/>
        </w:rPr>
        <w:tab/>
        <w:t xml:space="preserve">There is no requirement within the regulations to pass through the full 100% of hourly rate funding for two year old provision, although the </w:t>
      </w:r>
      <w:r w:rsidR="00E613D8">
        <w:rPr>
          <w:rFonts w:ascii="Arial" w:hAnsi="Arial" w:cs="Arial"/>
        </w:rPr>
        <w:t>guidance does state “…there is no pass through requirement for two year olds as s251 data demonstrates that the vast majority of such funding is already passed through to providers. We expect this to continue, as it is important that this funding reaches providers in order to deliver two year old places, and we will continue to monitor any two year old central spend in future years”.</w:t>
      </w:r>
    </w:p>
    <w:p w:rsidR="005F28C8" w:rsidRDefault="005F28C8" w:rsidP="00F7785D">
      <w:pPr>
        <w:ind w:left="709" w:hanging="709"/>
        <w:rPr>
          <w:rFonts w:ascii="Arial" w:hAnsi="Arial" w:cs="Arial"/>
        </w:rPr>
      </w:pPr>
    </w:p>
    <w:p w:rsidR="00E613D8" w:rsidRDefault="00E613D8" w:rsidP="00F7785D">
      <w:pPr>
        <w:ind w:left="709" w:hanging="709"/>
        <w:rPr>
          <w:rFonts w:ascii="Arial" w:hAnsi="Arial" w:cs="Arial"/>
        </w:rPr>
      </w:pPr>
      <w:r>
        <w:rPr>
          <w:rFonts w:ascii="Arial" w:hAnsi="Arial" w:cs="Arial"/>
        </w:rPr>
        <w:t>5.4</w:t>
      </w:r>
      <w:r>
        <w:rPr>
          <w:rFonts w:ascii="Arial" w:hAnsi="Arial" w:cs="Arial"/>
        </w:rPr>
        <w:tab/>
      </w:r>
      <w:r w:rsidR="006A6FA1">
        <w:rPr>
          <w:rFonts w:ascii="Arial" w:hAnsi="Arial" w:cs="Arial"/>
        </w:rPr>
        <w:t>Schools’ Forum are aware of the initial findings of the Task and Finish Group from their review of two year old provision and the associated financial pressure within the early years block.</w:t>
      </w:r>
    </w:p>
    <w:p w:rsidR="006A6FA1" w:rsidRDefault="006A6FA1" w:rsidP="00F7785D">
      <w:pPr>
        <w:ind w:left="709" w:hanging="709"/>
        <w:rPr>
          <w:rFonts w:ascii="Arial" w:hAnsi="Arial" w:cs="Arial"/>
        </w:rPr>
      </w:pPr>
    </w:p>
    <w:p w:rsidR="006A6FA1" w:rsidRDefault="006A6FA1" w:rsidP="00F7785D">
      <w:pPr>
        <w:ind w:left="709" w:hanging="709"/>
        <w:rPr>
          <w:rFonts w:ascii="Arial" w:hAnsi="Arial" w:cs="Arial"/>
        </w:rPr>
      </w:pPr>
      <w:r>
        <w:rPr>
          <w:rFonts w:ascii="Arial" w:hAnsi="Arial" w:cs="Arial"/>
        </w:rPr>
        <w:t>5.5</w:t>
      </w:r>
      <w:r>
        <w:rPr>
          <w:rFonts w:ascii="Arial" w:hAnsi="Arial" w:cs="Arial"/>
        </w:rPr>
        <w:tab/>
        <w:t>Overspending against two year old provision in 2018/19 was £0.105m.</w:t>
      </w:r>
    </w:p>
    <w:p w:rsidR="006A6FA1" w:rsidRDefault="006A6FA1" w:rsidP="00F7785D">
      <w:pPr>
        <w:ind w:left="709" w:hanging="709"/>
        <w:rPr>
          <w:rFonts w:ascii="Arial" w:hAnsi="Arial" w:cs="Arial"/>
        </w:rPr>
      </w:pPr>
    </w:p>
    <w:p w:rsidR="006A6FA1" w:rsidRDefault="006A6FA1" w:rsidP="00F7785D">
      <w:pPr>
        <w:ind w:left="709" w:hanging="709"/>
        <w:rPr>
          <w:rFonts w:ascii="Arial" w:hAnsi="Arial" w:cs="Arial"/>
        </w:rPr>
      </w:pPr>
      <w:r>
        <w:rPr>
          <w:rFonts w:ascii="Arial" w:hAnsi="Arial" w:cs="Arial"/>
        </w:rPr>
        <w:t>5.6</w:t>
      </w:r>
      <w:r>
        <w:rPr>
          <w:rFonts w:ascii="Arial" w:hAnsi="Arial" w:cs="Arial"/>
        </w:rPr>
        <w:tab/>
        <w:t xml:space="preserve">The 8p per hour increase could be retained to partially offset the current financial pressure against two year old provision whilst options for mitigation in future years are explored. This would result in a saving of circa £20k per annum. </w:t>
      </w:r>
    </w:p>
    <w:p w:rsidR="00895EAB" w:rsidRDefault="00895EAB" w:rsidP="00F7785D">
      <w:pPr>
        <w:ind w:left="709" w:hanging="709"/>
        <w:rPr>
          <w:rFonts w:ascii="Arial" w:hAnsi="Arial" w:cs="Arial"/>
        </w:rPr>
      </w:pPr>
    </w:p>
    <w:p w:rsidR="00895EAB" w:rsidRPr="00C32811" w:rsidRDefault="00895EAB" w:rsidP="00F7785D">
      <w:pPr>
        <w:ind w:left="709" w:hanging="709"/>
        <w:rPr>
          <w:rFonts w:ascii="Arial" w:hAnsi="Arial" w:cs="Arial"/>
        </w:rPr>
      </w:pPr>
      <w:r>
        <w:rPr>
          <w:rFonts w:ascii="Arial" w:hAnsi="Arial" w:cs="Arial"/>
        </w:rPr>
        <w:lastRenderedPageBreak/>
        <w:t>5.7</w:t>
      </w:r>
      <w:r>
        <w:rPr>
          <w:rFonts w:ascii="Arial" w:hAnsi="Arial" w:cs="Arial"/>
        </w:rPr>
        <w:tab/>
        <w:t>As there is currently no agreed approach to deal wit</w:t>
      </w:r>
      <w:r w:rsidR="00503083">
        <w:rPr>
          <w:rFonts w:ascii="Arial" w:hAnsi="Arial" w:cs="Arial"/>
        </w:rPr>
        <w:t>h the known financial pressure relating to</w:t>
      </w:r>
      <w:r>
        <w:rPr>
          <w:rFonts w:ascii="Arial" w:hAnsi="Arial" w:cs="Arial"/>
        </w:rPr>
        <w:t xml:space="preserve"> two year old provision, the local authority preferred option would be to retain the saving and not pass the 8p per hour increase on to providers in 2020/21.</w:t>
      </w:r>
    </w:p>
    <w:p w:rsidR="007211E4" w:rsidRPr="00C32811" w:rsidRDefault="007211E4" w:rsidP="00F7785D">
      <w:pPr>
        <w:ind w:left="709" w:hanging="709"/>
        <w:rPr>
          <w:rFonts w:ascii="Arial" w:hAnsi="Arial" w:cs="Arial"/>
        </w:rPr>
      </w:pPr>
    </w:p>
    <w:p w:rsidR="00B05C65" w:rsidRPr="009D02F8" w:rsidRDefault="00E159C0" w:rsidP="00F7785D">
      <w:pPr>
        <w:ind w:left="709" w:hanging="709"/>
        <w:rPr>
          <w:rFonts w:ascii="Arial" w:hAnsi="Arial" w:cs="Arial"/>
          <w:b/>
          <w:u w:val="single"/>
        </w:rPr>
      </w:pPr>
      <w:r w:rsidRPr="009D02F8">
        <w:rPr>
          <w:rFonts w:ascii="Arial" w:hAnsi="Arial" w:cs="Arial"/>
          <w:b/>
        </w:rPr>
        <w:t>6</w:t>
      </w:r>
      <w:r w:rsidR="00B05C65" w:rsidRPr="009D02F8">
        <w:rPr>
          <w:rFonts w:ascii="Arial" w:hAnsi="Arial" w:cs="Arial"/>
          <w:b/>
        </w:rPr>
        <w:t>.</w:t>
      </w:r>
      <w:r w:rsidR="00B05C65" w:rsidRPr="009D02F8">
        <w:rPr>
          <w:rFonts w:ascii="Arial" w:hAnsi="Arial" w:cs="Arial"/>
          <w:b/>
        </w:rPr>
        <w:tab/>
      </w:r>
      <w:r w:rsidR="00B05C65" w:rsidRPr="009D02F8">
        <w:rPr>
          <w:rFonts w:ascii="Arial" w:hAnsi="Arial" w:cs="Arial"/>
          <w:b/>
          <w:u w:val="single"/>
        </w:rPr>
        <w:t>Consultation Responses</w:t>
      </w:r>
    </w:p>
    <w:p w:rsidR="00B05C65" w:rsidRPr="009D02F8" w:rsidRDefault="00B05C65" w:rsidP="00F7785D">
      <w:pPr>
        <w:ind w:left="709" w:hanging="709"/>
        <w:rPr>
          <w:rFonts w:ascii="Arial" w:hAnsi="Arial" w:cs="Arial"/>
        </w:rPr>
      </w:pPr>
    </w:p>
    <w:p w:rsidR="00142EAA" w:rsidRPr="009D02F8" w:rsidRDefault="00E159C0" w:rsidP="009D02F8">
      <w:pPr>
        <w:ind w:left="709" w:hanging="709"/>
        <w:rPr>
          <w:rFonts w:ascii="Arial" w:hAnsi="Arial" w:cs="Arial"/>
        </w:rPr>
      </w:pPr>
      <w:r w:rsidRPr="009D02F8">
        <w:rPr>
          <w:rFonts w:ascii="Arial" w:hAnsi="Arial" w:cs="Arial"/>
        </w:rPr>
        <w:t>6</w:t>
      </w:r>
      <w:r w:rsidR="002108DC" w:rsidRPr="009D02F8">
        <w:rPr>
          <w:rFonts w:ascii="Arial" w:hAnsi="Arial" w:cs="Arial"/>
        </w:rPr>
        <w:t>.</w:t>
      </w:r>
      <w:r w:rsidR="00E17018" w:rsidRPr="009D02F8">
        <w:rPr>
          <w:rFonts w:ascii="Arial" w:hAnsi="Arial" w:cs="Arial"/>
        </w:rPr>
        <w:t>1</w:t>
      </w:r>
      <w:r w:rsidR="002108DC" w:rsidRPr="009D02F8">
        <w:rPr>
          <w:rFonts w:ascii="Arial" w:hAnsi="Arial" w:cs="Arial"/>
        </w:rPr>
        <w:tab/>
      </w:r>
      <w:r w:rsidR="0089345E" w:rsidRPr="009D02F8">
        <w:rPr>
          <w:rFonts w:ascii="Arial" w:hAnsi="Arial" w:cs="Arial"/>
        </w:rPr>
        <w:t>The consultation</w:t>
      </w:r>
      <w:r w:rsidR="006D18BD" w:rsidRPr="009D02F8">
        <w:rPr>
          <w:rFonts w:ascii="Arial" w:hAnsi="Arial" w:cs="Arial"/>
        </w:rPr>
        <w:t xml:space="preserve"> with providers</w:t>
      </w:r>
      <w:r w:rsidR="005F28C8">
        <w:rPr>
          <w:rFonts w:ascii="Arial" w:hAnsi="Arial" w:cs="Arial"/>
        </w:rPr>
        <w:t xml:space="preserve"> of three to four year old provision</w:t>
      </w:r>
      <w:r w:rsidR="006D18BD" w:rsidRPr="009D02F8">
        <w:rPr>
          <w:rFonts w:ascii="Arial" w:hAnsi="Arial" w:cs="Arial"/>
        </w:rPr>
        <w:t xml:space="preserve"> in Hartlepool</w:t>
      </w:r>
      <w:r w:rsidR="0089345E" w:rsidRPr="009D02F8">
        <w:rPr>
          <w:rFonts w:ascii="Arial" w:hAnsi="Arial" w:cs="Arial"/>
        </w:rPr>
        <w:t xml:space="preserve"> ended on </w:t>
      </w:r>
      <w:r w:rsidR="009D02F8" w:rsidRPr="009D02F8">
        <w:rPr>
          <w:rFonts w:ascii="Arial" w:hAnsi="Arial" w:cs="Arial"/>
        </w:rPr>
        <w:t>18 Nov</w:t>
      </w:r>
      <w:r w:rsidR="0089345E" w:rsidRPr="009D02F8">
        <w:rPr>
          <w:rFonts w:ascii="Arial" w:hAnsi="Arial" w:cs="Arial"/>
        </w:rPr>
        <w:t>ember 201</w:t>
      </w:r>
      <w:r w:rsidR="009D02F8" w:rsidRPr="009D02F8">
        <w:rPr>
          <w:rFonts w:ascii="Arial" w:hAnsi="Arial" w:cs="Arial"/>
        </w:rPr>
        <w:t>9</w:t>
      </w:r>
      <w:r w:rsidR="002108DC" w:rsidRPr="009D02F8">
        <w:rPr>
          <w:rFonts w:ascii="Arial" w:hAnsi="Arial" w:cs="Arial"/>
        </w:rPr>
        <w:t xml:space="preserve">. </w:t>
      </w:r>
      <w:r w:rsidR="006D18BD" w:rsidRPr="009D02F8">
        <w:rPr>
          <w:rFonts w:ascii="Arial" w:hAnsi="Arial" w:cs="Arial"/>
        </w:rPr>
        <w:t xml:space="preserve"> </w:t>
      </w:r>
      <w:r w:rsidR="00316464" w:rsidRPr="009D02F8">
        <w:rPr>
          <w:rFonts w:ascii="Arial" w:hAnsi="Arial" w:cs="Arial"/>
        </w:rPr>
        <w:t>A</w:t>
      </w:r>
      <w:r w:rsidR="002108DC" w:rsidRPr="009D02F8">
        <w:rPr>
          <w:rFonts w:ascii="Arial" w:hAnsi="Arial" w:cs="Arial"/>
        </w:rPr>
        <w:t xml:space="preserve"> summary of</w:t>
      </w:r>
      <w:r w:rsidR="00F54E24" w:rsidRPr="009D02F8">
        <w:rPr>
          <w:rFonts w:ascii="Arial" w:hAnsi="Arial" w:cs="Arial"/>
        </w:rPr>
        <w:t xml:space="preserve"> the </w:t>
      </w:r>
      <w:r w:rsidR="00316464" w:rsidRPr="009D02F8">
        <w:rPr>
          <w:rFonts w:ascii="Arial" w:hAnsi="Arial" w:cs="Arial"/>
        </w:rPr>
        <w:t xml:space="preserve">responses </w:t>
      </w:r>
      <w:r w:rsidR="002506A6" w:rsidRPr="009D02F8">
        <w:rPr>
          <w:rFonts w:ascii="Arial" w:hAnsi="Arial" w:cs="Arial"/>
        </w:rPr>
        <w:t xml:space="preserve">is provided in </w:t>
      </w:r>
      <w:r w:rsidR="00E053CC" w:rsidRPr="009D02F8">
        <w:rPr>
          <w:rFonts w:ascii="Arial" w:hAnsi="Arial" w:cs="Arial"/>
        </w:rPr>
        <w:t>the table below</w:t>
      </w:r>
      <w:r w:rsidR="002506A6" w:rsidRPr="009D02F8">
        <w:rPr>
          <w:rFonts w:ascii="Arial" w:hAnsi="Arial" w:cs="Arial"/>
        </w:rPr>
        <w:t>.</w:t>
      </w:r>
    </w:p>
    <w:p w:rsidR="00142EAA" w:rsidRPr="009D02F8" w:rsidRDefault="00142EAA" w:rsidP="009D02F8">
      <w:pPr>
        <w:ind w:left="709" w:hanging="709"/>
        <w:rPr>
          <w:rFonts w:ascii="Arial" w:hAnsi="Arial" w:cs="Arial"/>
        </w:rPr>
      </w:pPr>
    </w:p>
    <w:tbl>
      <w:tblPr>
        <w:tblW w:w="8967" w:type="dxa"/>
        <w:tblInd w:w="786" w:type="dxa"/>
        <w:tblLook w:val="04A0" w:firstRow="1" w:lastRow="0" w:firstColumn="1" w:lastColumn="0" w:noHBand="0" w:noVBand="1"/>
      </w:tblPr>
      <w:tblGrid>
        <w:gridCol w:w="4833"/>
        <w:gridCol w:w="711"/>
        <w:gridCol w:w="708"/>
        <w:gridCol w:w="750"/>
        <w:gridCol w:w="828"/>
        <w:gridCol w:w="1137"/>
      </w:tblGrid>
      <w:tr w:rsidR="009D02F8" w:rsidRPr="009D02F8" w:rsidTr="009D02F8">
        <w:trPr>
          <w:trHeight w:val="660"/>
        </w:trPr>
        <w:tc>
          <w:tcPr>
            <w:tcW w:w="4833" w:type="dxa"/>
            <w:tcBorders>
              <w:top w:val="single" w:sz="4" w:space="0" w:color="auto"/>
              <w:left w:val="single" w:sz="4" w:space="0" w:color="auto"/>
              <w:bottom w:val="nil"/>
              <w:right w:val="nil"/>
            </w:tcBorders>
            <w:shd w:val="clear" w:color="000000" w:fill="000000"/>
            <w:noWrap/>
            <w:vAlign w:val="center"/>
            <w:hideMark/>
          </w:tcPr>
          <w:p w:rsidR="009D02F8" w:rsidRPr="009D02F8" w:rsidRDefault="009D02F8" w:rsidP="009D02F8">
            <w:pPr>
              <w:rPr>
                <w:rFonts w:ascii="Arial" w:hAnsi="Arial" w:cs="Arial"/>
                <w:b/>
                <w:bCs/>
                <w:color w:val="FFFFFF"/>
              </w:rPr>
            </w:pPr>
            <w:r w:rsidRPr="009D02F8">
              <w:rPr>
                <w:rFonts w:ascii="Arial" w:hAnsi="Arial" w:cs="Arial"/>
                <w:b/>
                <w:bCs/>
                <w:color w:val="FFFFFF"/>
              </w:rPr>
              <w:t xml:space="preserve">Early Years Consultation 2020/21 - Responses </w:t>
            </w:r>
          </w:p>
        </w:tc>
        <w:tc>
          <w:tcPr>
            <w:tcW w:w="711" w:type="dxa"/>
            <w:tcBorders>
              <w:top w:val="single" w:sz="4" w:space="0" w:color="auto"/>
              <w:left w:val="nil"/>
              <w:bottom w:val="nil"/>
              <w:right w:val="nil"/>
            </w:tcBorders>
            <w:shd w:val="clear" w:color="000000" w:fill="000000"/>
            <w:noWrap/>
            <w:vAlign w:val="center"/>
            <w:hideMark/>
          </w:tcPr>
          <w:p w:rsidR="009D02F8" w:rsidRPr="009D02F8" w:rsidRDefault="009D02F8" w:rsidP="009D02F8">
            <w:pPr>
              <w:jc w:val="center"/>
              <w:rPr>
                <w:rFonts w:ascii="Arial" w:hAnsi="Arial" w:cs="Arial"/>
                <w:b/>
                <w:bCs/>
                <w:color w:val="FFFFFF"/>
              </w:rPr>
            </w:pPr>
            <w:r w:rsidRPr="009D02F8">
              <w:rPr>
                <w:rFonts w:ascii="Arial" w:hAnsi="Arial" w:cs="Arial"/>
                <w:b/>
                <w:bCs/>
                <w:color w:val="FFFFFF"/>
              </w:rPr>
              <w:t>Yes</w:t>
            </w:r>
          </w:p>
        </w:tc>
        <w:tc>
          <w:tcPr>
            <w:tcW w:w="708" w:type="dxa"/>
            <w:tcBorders>
              <w:top w:val="single" w:sz="4" w:space="0" w:color="auto"/>
              <w:left w:val="nil"/>
              <w:bottom w:val="nil"/>
              <w:right w:val="nil"/>
            </w:tcBorders>
            <w:shd w:val="clear" w:color="000000" w:fill="000000"/>
            <w:noWrap/>
            <w:vAlign w:val="center"/>
            <w:hideMark/>
          </w:tcPr>
          <w:p w:rsidR="009D02F8" w:rsidRPr="009D02F8" w:rsidRDefault="009D02F8" w:rsidP="009D02F8">
            <w:pPr>
              <w:jc w:val="center"/>
              <w:rPr>
                <w:rFonts w:ascii="Arial" w:hAnsi="Arial" w:cs="Arial"/>
                <w:b/>
                <w:bCs/>
                <w:color w:val="FFFFFF"/>
              </w:rPr>
            </w:pPr>
            <w:r w:rsidRPr="009D02F8">
              <w:rPr>
                <w:rFonts w:ascii="Arial" w:hAnsi="Arial" w:cs="Arial"/>
                <w:b/>
                <w:bCs/>
                <w:color w:val="FFFFFF"/>
              </w:rPr>
              <w:t>No</w:t>
            </w:r>
          </w:p>
        </w:tc>
        <w:tc>
          <w:tcPr>
            <w:tcW w:w="750" w:type="dxa"/>
            <w:tcBorders>
              <w:top w:val="single" w:sz="4" w:space="0" w:color="auto"/>
              <w:left w:val="nil"/>
              <w:bottom w:val="nil"/>
              <w:right w:val="single" w:sz="4" w:space="0" w:color="auto"/>
            </w:tcBorders>
            <w:shd w:val="clear" w:color="000000" w:fill="000000"/>
            <w:vAlign w:val="center"/>
            <w:hideMark/>
          </w:tcPr>
          <w:p w:rsidR="009D02F8" w:rsidRPr="009D02F8" w:rsidRDefault="009D02F8" w:rsidP="009D02F8">
            <w:pPr>
              <w:jc w:val="center"/>
              <w:rPr>
                <w:rFonts w:ascii="Arial" w:hAnsi="Arial" w:cs="Arial"/>
                <w:b/>
                <w:bCs/>
                <w:color w:val="FFFFFF"/>
              </w:rPr>
            </w:pPr>
            <w:r w:rsidRPr="009D02F8">
              <w:rPr>
                <w:rFonts w:ascii="Arial" w:hAnsi="Arial" w:cs="Arial"/>
                <w:b/>
                <w:bCs/>
                <w:color w:val="FFFFFF"/>
              </w:rPr>
              <w:t>Not Sure</w:t>
            </w:r>
          </w:p>
        </w:tc>
        <w:tc>
          <w:tcPr>
            <w:tcW w:w="828" w:type="dxa"/>
            <w:tcBorders>
              <w:top w:val="single" w:sz="4" w:space="0" w:color="auto"/>
              <w:left w:val="single" w:sz="4" w:space="0" w:color="auto"/>
              <w:bottom w:val="nil"/>
              <w:right w:val="single" w:sz="4" w:space="0" w:color="auto"/>
            </w:tcBorders>
            <w:shd w:val="clear" w:color="000000" w:fill="000000"/>
            <w:noWrap/>
            <w:vAlign w:val="center"/>
            <w:hideMark/>
          </w:tcPr>
          <w:p w:rsidR="009D02F8" w:rsidRPr="009D02F8" w:rsidRDefault="009D02F8" w:rsidP="009D02F8">
            <w:pPr>
              <w:jc w:val="center"/>
              <w:rPr>
                <w:rFonts w:ascii="Arial" w:hAnsi="Arial" w:cs="Arial"/>
                <w:b/>
                <w:bCs/>
                <w:color w:val="FFFFFF"/>
              </w:rPr>
            </w:pPr>
            <w:r w:rsidRPr="009D02F8">
              <w:rPr>
                <w:rFonts w:ascii="Arial" w:hAnsi="Arial" w:cs="Arial"/>
                <w:b/>
                <w:bCs/>
                <w:color w:val="FFFFFF"/>
              </w:rPr>
              <w:t>Total</w:t>
            </w:r>
          </w:p>
        </w:tc>
        <w:tc>
          <w:tcPr>
            <w:tcW w:w="1137" w:type="dxa"/>
            <w:tcBorders>
              <w:top w:val="nil"/>
              <w:left w:val="nil"/>
              <w:bottom w:val="nil"/>
              <w:right w:val="nil"/>
            </w:tcBorders>
            <w:shd w:val="clear" w:color="000000" w:fill="000000"/>
            <w:noWrap/>
            <w:vAlign w:val="center"/>
            <w:hideMark/>
          </w:tcPr>
          <w:p w:rsidR="009D02F8" w:rsidRPr="009D02F8" w:rsidRDefault="009D02F8" w:rsidP="009D02F8">
            <w:pPr>
              <w:jc w:val="center"/>
              <w:rPr>
                <w:rFonts w:ascii="Arial" w:hAnsi="Arial" w:cs="Arial"/>
                <w:b/>
                <w:bCs/>
                <w:color w:val="FFFFFF"/>
              </w:rPr>
            </w:pPr>
            <w:r w:rsidRPr="009D02F8">
              <w:rPr>
                <w:rFonts w:ascii="Arial" w:hAnsi="Arial" w:cs="Arial"/>
                <w:b/>
                <w:bCs/>
                <w:color w:val="FFFFFF"/>
              </w:rPr>
              <w:t>% Agreed</w:t>
            </w:r>
          </w:p>
        </w:tc>
      </w:tr>
      <w:tr w:rsidR="009D02F8" w:rsidRPr="009D02F8" w:rsidTr="009D02F8">
        <w:trPr>
          <w:trHeight w:val="795"/>
        </w:trPr>
        <w:tc>
          <w:tcPr>
            <w:tcW w:w="4833" w:type="dxa"/>
            <w:tcBorders>
              <w:top w:val="single" w:sz="4" w:space="0" w:color="auto"/>
              <w:left w:val="single" w:sz="4" w:space="0" w:color="auto"/>
              <w:bottom w:val="single" w:sz="4" w:space="0" w:color="auto"/>
              <w:right w:val="nil"/>
            </w:tcBorders>
            <w:shd w:val="clear" w:color="auto" w:fill="auto"/>
            <w:vAlign w:val="center"/>
            <w:hideMark/>
          </w:tcPr>
          <w:p w:rsidR="009D02F8" w:rsidRPr="009D02F8" w:rsidRDefault="009D02F8" w:rsidP="009D02F8">
            <w:pPr>
              <w:rPr>
                <w:rFonts w:ascii="Arial" w:hAnsi="Arial" w:cs="Arial"/>
              </w:rPr>
            </w:pPr>
            <w:r w:rsidRPr="009D02F8">
              <w:rPr>
                <w:rFonts w:ascii="Arial" w:hAnsi="Arial" w:cs="Arial"/>
              </w:rPr>
              <w:t>1: Do you wish to retain the current base rate of £4.21 payable to all providers?</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D02F8" w:rsidRPr="009D02F8" w:rsidRDefault="009D02F8" w:rsidP="009D02F8">
            <w:pPr>
              <w:jc w:val="right"/>
              <w:rPr>
                <w:rFonts w:ascii="Arial" w:hAnsi="Arial" w:cs="Arial"/>
              </w:rPr>
            </w:pPr>
            <w:r>
              <w:rPr>
                <w:rFonts w:ascii="Arial" w:hAnsi="Arial" w:cs="Arial"/>
              </w:rPr>
              <w:t>8</w:t>
            </w:r>
          </w:p>
        </w:tc>
        <w:tc>
          <w:tcPr>
            <w:tcW w:w="708" w:type="dxa"/>
            <w:tcBorders>
              <w:top w:val="single" w:sz="4" w:space="0" w:color="auto"/>
              <w:left w:val="nil"/>
              <w:bottom w:val="single" w:sz="4" w:space="0" w:color="auto"/>
              <w:right w:val="nil"/>
            </w:tcBorders>
            <w:shd w:val="clear" w:color="auto" w:fill="auto"/>
            <w:vAlign w:val="center"/>
          </w:tcPr>
          <w:p w:rsidR="009D02F8" w:rsidRPr="009D02F8" w:rsidRDefault="009D02F8" w:rsidP="009D02F8">
            <w:pPr>
              <w:jc w:val="right"/>
              <w:rPr>
                <w:rFonts w:ascii="Arial" w:hAnsi="Arial" w:cs="Arial"/>
              </w:rPr>
            </w:pPr>
            <w:r>
              <w:rPr>
                <w:rFonts w:ascii="Arial" w:hAnsi="Arial" w:cs="Arial"/>
              </w:rPr>
              <w:t>1</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2F8" w:rsidRPr="009D02F8" w:rsidRDefault="009D02F8" w:rsidP="009D02F8">
            <w:pPr>
              <w:jc w:val="right"/>
              <w:rPr>
                <w:rFonts w:ascii="Arial" w:hAnsi="Arial" w:cs="Arial"/>
              </w:rPr>
            </w:pPr>
            <w:r>
              <w:rPr>
                <w:rFonts w:ascii="Arial" w:hAnsi="Arial" w:cs="Arial"/>
              </w:rPr>
              <w:t>1</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2F8" w:rsidRPr="009D02F8" w:rsidRDefault="009D02F8" w:rsidP="009D02F8">
            <w:pPr>
              <w:jc w:val="right"/>
              <w:rPr>
                <w:rFonts w:ascii="Arial" w:hAnsi="Arial" w:cs="Arial"/>
                <w:color w:val="000000"/>
              </w:rPr>
            </w:pPr>
            <w:r>
              <w:rPr>
                <w:rFonts w:ascii="Arial" w:hAnsi="Arial" w:cs="Arial"/>
                <w:color w:val="000000"/>
              </w:rPr>
              <w:t>10</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9D02F8" w:rsidRPr="009D02F8" w:rsidRDefault="009D02F8" w:rsidP="009D02F8">
            <w:pPr>
              <w:jc w:val="right"/>
              <w:rPr>
                <w:rFonts w:ascii="Arial" w:hAnsi="Arial" w:cs="Arial"/>
                <w:color w:val="000000"/>
              </w:rPr>
            </w:pPr>
            <w:r>
              <w:rPr>
                <w:rFonts w:ascii="Arial" w:hAnsi="Arial" w:cs="Arial"/>
                <w:color w:val="000000"/>
              </w:rPr>
              <w:t>80%</w:t>
            </w:r>
          </w:p>
        </w:tc>
      </w:tr>
      <w:tr w:rsidR="009D02F8" w:rsidRPr="009D02F8" w:rsidTr="009D02F8">
        <w:trPr>
          <w:trHeight w:val="1020"/>
        </w:trPr>
        <w:tc>
          <w:tcPr>
            <w:tcW w:w="4833" w:type="dxa"/>
            <w:tcBorders>
              <w:top w:val="nil"/>
              <w:left w:val="single" w:sz="4" w:space="0" w:color="auto"/>
              <w:bottom w:val="single" w:sz="4" w:space="0" w:color="auto"/>
              <w:right w:val="nil"/>
            </w:tcBorders>
            <w:shd w:val="clear" w:color="auto" w:fill="auto"/>
            <w:vAlign w:val="center"/>
            <w:hideMark/>
          </w:tcPr>
          <w:p w:rsidR="009D02F8" w:rsidRPr="009D02F8" w:rsidRDefault="009D02F8" w:rsidP="009D02F8">
            <w:pPr>
              <w:rPr>
                <w:rFonts w:ascii="Arial" w:hAnsi="Arial" w:cs="Arial"/>
              </w:rPr>
            </w:pPr>
            <w:r w:rsidRPr="009D02F8">
              <w:rPr>
                <w:rFonts w:ascii="Arial" w:hAnsi="Arial" w:cs="Arial"/>
              </w:rPr>
              <w:t>2: Do you wish to retain the current deprivation supplement of £0.01 of the hourly rate? Please note that deprivation is a mandatory supplement so we are not able to remove it from our hourly rate to providers.</w:t>
            </w:r>
          </w:p>
        </w:tc>
        <w:tc>
          <w:tcPr>
            <w:tcW w:w="711" w:type="dxa"/>
            <w:tcBorders>
              <w:top w:val="nil"/>
              <w:left w:val="single" w:sz="4" w:space="0" w:color="auto"/>
              <w:bottom w:val="single" w:sz="4" w:space="0" w:color="auto"/>
              <w:right w:val="single" w:sz="4" w:space="0" w:color="auto"/>
            </w:tcBorders>
            <w:shd w:val="clear" w:color="auto" w:fill="auto"/>
            <w:vAlign w:val="center"/>
          </w:tcPr>
          <w:p w:rsidR="009D02F8" w:rsidRPr="009D02F8" w:rsidRDefault="009D02F8" w:rsidP="009D02F8">
            <w:pPr>
              <w:jc w:val="right"/>
              <w:rPr>
                <w:rFonts w:ascii="Arial" w:hAnsi="Arial" w:cs="Arial"/>
              </w:rPr>
            </w:pPr>
            <w:r>
              <w:rPr>
                <w:rFonts w:ascii="Arial" w:hAnsi="Arial" w:cs="Arial"/>
              </w:rPr>
              <w:t>8</w:t>
            </w:r>
          </w:p>
        </w:tc>
        <w:tc>
          <w:tcPr>
            <w:tcW w:w="708" w:type="dxa"/>
            <w:tcBorders>
              <w:top w:val="nil"/>
              <w:left w:val="nil"/>
              <w:bottom w:val="single" w:sz="4" w:space="0" w:color="auto"/>
              <w:right w:val="nil"/>
            </w:tcBorders>
            <w:shd w:val="clear" w:color="auto" w:fill="auto"/>
            <w:vAlign w:val="center"/>
          </w:tcPr>
          <w:p w:rsidR="009D02F8" w:rsidRPr="009D02F8" w:rsidRDefault="009D02F8" w:rsidP="009D02F8">
            <w:pPr>
              <w:jc w:val="right"/>
              <w:rPr>
                <w:rFonts w:ascii="Arial" w:hAnsi="Arial" w:cs="Arial"/>
              </w:rPr>
            </w:pPr>
            <w:r>
              <w:rPr>
                <w:rFonts w:ascii="Arial" w:hAnsi="Arial" w:cs="Arial"/>
              </w:rPr>
              <w:t>0</w:t>
            </w:r>
          </w:p>
        </w:tc>
        <w:tc>
          <w:tcPr>
            <w:tcW w:w="750" w:type="dxa"/>
            <w:tcBorders>
              <w:top w:val="nil"/>
              <w:left w:val="single" w:sz="4" w:space="0" w:color="auto"/>
              <w:bottom w:val="single" w:sz="4" w:space="0" w:color="auto"/>
              <w:right w:val="single" w:sz="4" w:space="0" w:color="auto"/>
            </w:tcBorders>
            <w:shd w:val="clear" w:color="auto" w:fill="auto"/>
            <w:vAlign w:val="center"/>
          </w:tcPr>
          <w:p w:rsidR="009D02F8" w:rsidRPr="009D02F8" w:rsidRDefault="009D02F8" w:rsidP="009D02F8">
            <w:pPr>
              <w:jc w:val="right"/>
              <w:rPr>
                <w:rFonts w:ascii="Arial" w:hAnsi="Arial" w:cs="Arial"/>
              </w:rPr>
            </w:pPr>
            <w:r>
              <w:rPr>
                <w:rFonts w:ascii="Arial" w:hAnsi="Arial" w:cs="Arial"/>
              </w:rPr>
              <w:t>2</w:t>
            </w:r>
          </w:p>
        </w:tc>
        <w:tc>
          <w:tcPr>
            <w:tcW w:w="828" w:type="dxa"/>
            <w:tcBorders>
              <w:top w:val="nil"/>
              <w:left w:val="single" w:sz="4" w:space="0" w:color="auto"/>
              <w:bottom w:val="single" w:sz="4" w:space="0" w:color="auto"/>
              <w:right w:val="single" w:sz="4" w:space="0" w:color="auto"/>
            </w:tcBorders>
            <w:shd w:val="clear" w:color="auto" w:fill="auto"/>
            <w:noWrap/>
            <w:vAlign w:val="center"/>
          </w:tcPr>
          <w:p w:rsidR="009D02F8" w:rsidRPr="009D02F8" w:rsidRDefault="009D02F8" w:rsidP="009D02F8">
            <w:pPr>
              <w:jc w:val="right"/>
              <w:rPr>
                <w:rFonts w:ascii="Arial" w:hAnsi="Arial" w:cs="Arial"/>
                <w:color w:val="000000"/>
              </w:rPr>
            </w:pPr>
            <w:r>
              <w:rPr>
                <w:rFonts w:ascii="Arial" w:hAnsi="Arial" w:cs="Arial"/>
                <w:color w:val="000000"/>
              </w:rPr>
              <w:t>10</w:t>
            </w:r>
          </w:p>
        </w:tc>
        <w:tc>
          <w:tcPr>
            <w:tcW w:w="1137" w:type="dxa"/>
            <w:tcBorders>
              <w:top w:val="nil"/>
              <w:left w:val="nil"/>
              <w:bottom w:val="single" w:sz="4" w:space="0" w:color="auto"/>
              <w:right w:val="single" w:sz="4" w:space="0" w:color="auto"/>
            </w:tcBorders>
            <w:shd w:val="clear" w:color="auto" w:fill="auto"/>
            <w:noWrap/>
            <w:vAlign w:val="center"/>
          </w:tcPr>
          <w:p w:rsidR="009D02F8" w:rsidRPr="009D02F8" w:rsidRDefault="009D02F8" w:rsidP="009D02F8">
            <w:pPr>
              <w:jc w:val="right"/>
              <w:rPr>
                <w:rFonts w:ascii="Arial" w:hAnsi="Arial" w:cs="Arial"/>
                <w:color w:val="000000"/>
              </w:rPr>
            </w:pPr>
            <w:r>
              <w:rPr>
                <w:rFonts w:ascii="Arial" w:hAnsi="Arial" w:cs="Arial"/>
                <w:color w:val="000000"/>
              </w:rPr>
              <w:t>80%</w:t>
            </w:r>
          </w:p>
        </w:tc>
      </w:tr>
      <w:tr w:rsidR="009D02F8" w:rsidRPr="009D02F8" w:rsidTr="009D02F8">
        <w:trPr>
          <w:trHeight w:val="1215"/>
        </w:trPr>
        <w:tc>
          <w:tcPr>
            <w:tcW w:w="4833" w:type="dxa"/>
            <w:tcBorders>
              <w:top w:val="nil"/>
              <w:left w:val="single" w:sz="4" w:space="0" w:color="auto"/>
              <w:bottom w:val="single" w:sz="4" w:space="0" w:color="auto"/>
              <w:right w:val="nil"/>
            </w:tcBorders>
            <w:shd w:val="clear" w:color="auto" w:fill="auto"/>
            <w:vAlign w:val="center"/>
            <w:hideMark/>
          </w:tcPr>
          <w:p w:rsidR="009D02F8" w:rsidRPr="009D02F8" w:rsidRDefault="009D02F8" w:rsidP="009D02F8">
            <w:pPr>
              <w:rPr>
                <w:rFonts w:ascii="Arial" w:hAnsi="Arial" w:cs="Arial"/>
              </w:rPr>
            </w:pPr>
            <w:r w:rsidRPr="009D02F8">
              <w:rPr>
                <w:rFonts w:ascii="Arial" w:hAnsi="Arial" w:cs="Arial"/>
              </w:rPr>
              <w:t>3: Do you support continued funding at £30,095 for an SEN Inclusion Fund using 0.6% of the hourly rate funding for 3-4 year olds with low level and emerging needs?</w:t>
            </w:r>
          </w:p>
        </w:tc>
        <w:tc>
          <w:tcPr>
            <w:tcW w:w="711" w:type="dxa"/>
            <w:tcBorders>
              <w:top w:val="nil"/>
              <w:left w:val="single" w:sz="4" w:space="0" w:color="auto"/>
              <w:bottom w:val="single" w:sz="4" w:space="0" w:color="auto"/>
              <w:right w:val="single" w:sz="4" w:space="0" w:color="auto"/>
            </w:tcBorders>
            <w:shd w:val="clear" w:color="auto" w:fill="auto"/>
            <w:vAlign w:val="center"/>
          </w:tcPr>
          <w:p w:rsidR="009D02F8" w:rsidRPr="009D02F8" w:rsidRDefault="009D02F8" w:rsidP="009D02F8">
            <w:pPr>
              <w:jc w:val="right"/>
              <w:rPr>
                <w:rFonts w:ascii="Arial" w:hAnsi="Arial" w:cs="Arial"/>
              </w:rPr>
            </w:pPr>
            <w:r>
              <w:rPr>
                <w:rFonts w:ascii="Arial" w:hAnsi="Arial" w:cs="Arial"/>
              </w:rPr>
              <w:t>7</w:t>
            </w:r>
          </w:p>
        </w:tc>
        <w:tc>
          <w:tcPr>
            <w:tcW w:w="708" w:type="dxa"/>
            <w:tcBorders>
              <w:top w:val="nil"/>
              <w:left w:val="nil"/>
              <w:bottom w:val="single" w:sz="4" w:space="0" w:color="auto"/>
              <w:right w:val="nil"/>
            </w:tcBorders>
            <w:shd w:val="clear" w:color="auto" w:fill="auto"/>
            <w:vAlign w:val="center"/>
          </w:tcPr>
          <w:p w:rsidR="009D02F8" w:rsidRPr="009D02F8" w:rsidRDefault="009D02F8" w:rsidP="009D02F8">
            <w:pPr>
              <w:jc w:val="right"/>
              <w:rPr>
                <w:rFonts w:ascii="Arial" w:hAnsi="Arial" w:cs="Arial"/>
              </w:rPr>
            </w:pPr>
            <w:r>
              <w:rPr>
                <w:rFonts w:ascii="Arial" w:hAnsi="Arial" w:cs="Arial"/>
              </w:rPr>
              <w:t>1</w:t>
            </w:r>
          </w:p>
        </w:tc>
        <w:tc>
          <w:tcPr>
            <w:tcW w:w="750" w:type="dxa"/>
            <w:tcBorders>
              <w:top w:val="nil"/>
              <w:left w:val="single" w:sz="4" w:space="0" w:color="auto"/>
              <w:bottom w:val="single" w:sz="4" w:space="0" w:color="auto"/>
              <w:right w:val="single" w:sz="4" w:space="0" w:color="auto"/>
            </w:tcBorders>
            <w:shd w:val="clear" w:color="auto" w:fill="auto"/>
            <w:noWrap/>
            <w:vAlign w:val="center"/>
          </w:tcPr>
          <w:p w:rsidR="009D02F8" w:rsidRPr="009D02F8" w:rsidRDefault="009D02F8" w:rsidP="009D02F8">
            <w:pPr>
              <w:jc w:val="right"/>
              <w:rPr>
                <w:rFonts w:ascii="Arial" w:hAnsi="Arial" w:cs="Arial"/>
                <w:color w:val="000000"/>
              </w:rPr>
            </w:pPr>
            <w:r>
              <w:rPr>
                <w:rFonts w:ascii="Arial" w:hAnsi="Arial" w:cs="Arial"/>
                <w:color w:val="000000"/>
              </w:rPr>
              <w:t>2</w:t>
            </w:r>
          </w:p>
        </w:tc>
        <w:tc>
          <w:tcPr>
            <w:tcW w:w="828" w:type="dxa"/>
            <w:tcBorders>
              <w:top w:val="nil"/>
              <w:left w:val="single" w:sz="4" w:space="0" w:color="auto"/>
              <w:bottom w:val="single" w:sz="4" w:space="0" w:color="auto"/>
              <w:right w:val="single" w:sz="4" w:space="0" w:color="auto"/>
            </w:tcBorders>
            <w:shd w:val="clear" w:color="auto" w:fill="auto"/>
            <w:noWrap/>
            <w:vAlign w:val="center"/>
          </w:tcPr>
          <w:p w:rsidR="009D02F8" w:rsidRPr="009D02F8" w:rsidRDefault="009D02F8" w:rsidP="009D02F8">
            <w:pPr>
              <w:jc w:val="right"/>
              <w:rPr>
                <w:rFonts w:ascii="Arial" w:hAnsi="Arial" w:cs="Arial"/>
                <w:color w:val="000000"/>
              </w:rPr>
            </w:pPr>
            <w:r>
              <w:rPr>
                <w:rFonts w:ascii="Arial" w:hAnsi="Arial" w:cs="Arial"/>
                <w:color w:val="000000"/>
              </w:rPr>
              <w:t>10</w:t>
            </w:r>
          </w:p>
        </w:tc>
        <w:tc>
          <w:tcPr>
            <w:tcW w:w="1137" w:type="dxa"/>
            <w:tcBorders>
              <w:top w:val="nil"/>
              <w:left w:val="nil"/>
              <w:bottom w:val="single" w:sz="4" w:space="0" w:color="auto"/>
              <w:right w:val="single" w:sz="4" w:space="0" w:color="auto"/>
            </w:tcBorders>
            <w:shd w:val="clear" w:color="auto" w:fill="auto"/>
            <w:noWrap/>
            <w:vAlign w:val="center"/>
          </w:tcPr>
          <w:p w:rsidR="009D02F8" w:rsidRPr="009D02F8" w:rsidRDefault="009D02F8" w:rsidP="009D02F8">
            <w:pPr>
              <w:jc w:val="right"/>
              <w:rPr>
                <w:rFonts w:ascii="Arial" w:hAnsi="Arial" w:cs="Arial"/>
                <w:color w:val="000000"/>
              </w:rPr>
            </w:pPr>
            <w:r>
              <w:rPr>
                <w:rFonts w:ascii="Arial" w:hAnsi="Arial" w:cs="Arial"/>
                <w:color w:val="000000"/>
              </w:rPr>
              <w:t>70%</w:t>
            </w:r>
          </w:p>
        </w:tc>
      </w:tr>
    </w:tbl>
    <w:p w:rsidR="001601E0" w:rsidRPr="009D02F8" w:rsidRDefault="001601E0" w:rsidP="009D02F8">
      <w:pPr>
        <w:ind w:left="709" w:hanging="709"/>
        <w:rPr>
          <w:rFonts w:ascii="Arial" w:hAnsi="Arial" w:cs="Arial"/>
        </w:rPr>
      </w:pPr>
    </w:p>
    <w:p w:rsidR="00233301" w:rsidRDefault="00233301" w:rsidP="009D02F8">
      <w:pPr>
        <w:rPr>
          <w:rFonts w:ascii="Arial" w:hAnsi="Arial" w:cs="Arial"/>
          <w:b/>
        </w:rPr>
      </w:pPr>
    </w:p>
    <w:p w:rsidR="009D02F8" w:rsidRPr="009D02F8" w:rsidRDefault="009D02F8" w:rsidP="009D02F8">
      <w:pPr>
        <w:ind w:left="720" w:hanging="720"/>
        <w:rPr>
          <w:rFonts w:ascii="Arial" w:hAnsi="Arial" w:cs="Arial"/>
        </w:rPr>
      </w:pPr>
      <w:r w:rsidRPr="009D02F8">
        <w:rPr>
          <w:rFonts w:ascii="Arial" w:hAnsi="Arial" w:cs="Arial"/>
        </w:rPr>
        <w:t>6.2</w:t>
      </w:r>
      <w:r w:rsidRPr="009D02F8">
        <w:rPr>
          <w:rFonts w:ascii="Arial" w:hAnsi="Arial" w:cs="Arial"/>
        </w:rPr>
        <w:tab/>
        <w:t xml:space="preserve">The response rate </w:t>
      </w:r>
      <w:r w:rsidR="00265385">
        <w:rPr>
          <w:rFonts w:ascii="Arial" w:hAnsi="Arial" w:cs="Arial"/>
        </w:rPr>
        <w:t>is</w:t>
      </w:r>
      <w:r w:rsidRPr="009D02F8">
        <w:rPr>
          <w:rFonts w:ascii="Arial" w:hAnsi="Arial" w:cs="Arial"/>
        </w:rPr>
        <w:t xml:space="preserve"> disappointing at </w:t>
      </w:r>
      <w:r w:rsidR="00265385">
        <w:rPr>
          <w:rFonts w:ascii="Arial" w:hAnsi="Arial" w:cs="Arial"/>
        </w:rPr>
        <w:t>12</w:t>
      </w:r>
      <w:r w:rsidRPr="009D02F8">
        <w:rPr>
          <w:rFonts w:ascii="Arial" w:hAnsi="Arial" w:cs="Arial"/>
        </w:rPr>
        <w:t>%. However, this may reflect the lack of change proposed in the hourly rate structure for 2020/21.</w:t>
      </w:r>
    </w:p>
    <w:p w:rsidR="006D18BD" w:rsidRPr="009D02F8" w:rsidRDefault="006D18BD">
      <w:pPr>
        <w:rPr>
          <w:rFonts w:ascii="Arial" w:hAnsi="Arial" w:cs="Arial"/>
          <w:b/>
        </w:rPr>
      </w:pPr>
      <w:r w:rsidRPr="009D02F8">
        <w:rPr>
          <w:rFonts w:ascii="Arial" w:hAnsi="Arial" w:cs="Arial"/>
          <w:b/>
        </w:rPr>
        <w:br w:type="page"/>
      </w:r>
    </w:p>
    <w:p w:rsidR="008507B7" w:rsidRPr="009D02F8" w:rsidRDefault="00E159C0" w:rsidP="00F7785D">
      <w:pPr>
        <w:rPr>
          <w:rFonts w:ascii="Arial" w:hAnsi="Arial" w:cs="Arial"/>
          <w:b/>
        </w:rPr>
      </w:pPr>
      <w:r w:rsidRPr="009D02F8">
        <w:rPr>
          <w:rFonts w:ascii="Arial" w:hAnsi="Arial" w:cs="Arial"/>
          <w:b/>
        </w:rPr>
        <w:lastRenderedPageBreak/>
        <w:t>7</w:t>
      </w:r>
      <w:r w:rsidR="00BA5A03" w:rsidRPr="009D02F8">
        <w:rPr>
          <w:rFonts w:ascii="Arial" w:hAnsi="Arial" w:cs="Arial"/>
          <w:b/>
        </w:rPr>
        <w:t>.</w:t>
      </w:r>
      <w:r w:rsidR="00BA5A03" w:rsidRPr="009D02F8">
        <w:rPr>
          <w:rFonts w:ascii="Arial" w:hAnsi="Arial" w:cs="Arial"/>
          <w:b/>
        </w:rPr>
        <w:tab/>
      </w:r>
      <w:r w:rsidR="008507B7" w:rsidRPr="009D02F8">
        <w:rPr>
          <w:rFonts w:ascii="Arial" w:hAnsi="Arial" w:cs="Arial"/>
          <w:b/>
          <w:u w:val="single"/>
        </w:rPr>
        <w:t xml:space="preserve">Recommendations </w:t>
      </w:r>
    </w:p>
    <w:p w:rsidR="008507B7" w:rsidRPr="009D02F8" w:rsidRDefault="008507B7" w:rsidP="00F7785D">
      <w:pPr>
        <w:rPr>
          <w:rFonts w:ascii="Arial" w:hAnsi="Arial" w:cs="Arial"/>
        </w:rPr>
      </w:pPr>
    </w:p>
    <w:p w:rsidR="00B05C65" w:rsidRPr="009D02F8" w:rsidRDefault="00E024F3" w:rsidP="002108DC">
      <w:pPr>
        <w:tabs>
          <w:tab w:val="left" w:pos="1134"/>
        </w:tabs>
        <w:ind w:left="1134" w:hanging="425"/>
        <w:rPr>
          <w:rFonts w:ascii="Arial" w:hAnsi="Arial" w:cs="Arial"/>
        </w:rPr>
      </w:pPr>
      <w:r w:rsidRPr="009D02F8">
        <w:rPr>
          <w:rFonts w:ascii="Arial" w:hAnsi="Arial" w:cs="Arial"/>
        </w:rPr>
        <w:t>a)</w:t>
      </w:r>
      <w:r w:rsidRPr="009D02F8">
        <w:rPr>
          <w:rFonts w:ascii="Arial" w:hAnsi="Arial" w:cs="Arial"/>
        </w:rPr>
        <w:tab/>
      </w:r>
      <w:r w:rsidR="003509AB" w:rsidRPr="009D02F8">
        <w:rPr>
          <w:rFonts w:ascii="Arial" w:hAnsi="Arial" w:cs="Arial"/>
        </w:rPr>
        <w:t>To note the contents of the report</w:t>
      </w:r>
      <w:r w:rsidR="00895EAB" w:rsidRPr="009D02F8">
        <w:rPr>
          <w:rFonts w:ascii="Arial" w:hAnsi="Arial" w:cs="Arial"/>
        </w:rPr>
        <w:t xml:space="preserve"> and the consultation responses included;</w:t>
      </w:r>
    </w:p>
    <w:p w:rsidR="00B05C65" w:rsidRPr="009D02F8" w:rsidRDefault="00B05C65">
      <w:pPr>
        <w:tabs>
          <w:tab w:val="left" w:pos="1134"/>
        </w:tabs>
        <w:ind w:left="709"/>
        <w:rPr>
          <w:rFonts w:ascii="Arial" w:hAnsi="Arial" w:cs="Arial"/>
        </w:rPr>
      </w:pPr>
    </w:p>
    <w:p w:rsidR="00B05C65" w:rsidRPr="009D02F8" w:rsidRDefault="003509AB" w:rsidP="00C60C78">
      <w:pPr>
        <w:tabs>
          <w:tab w:val="left" w:pos="1134"/>
        </w:tabs>
        <w:ind w:left="1129" w:hanging="420"/>
        <w:rPr>
          <w:rFonts w:ascii="Arial" w:hAnsi="Arial" w:cs="Arial"/>
        </w:rPr>
      </w:pPr>
      <w:r w:rsidRPr="009D02F8">
        <w:rPr>
          <w:rFonts w:ascii="Arial" w:hAnsi="Arial" w:cs="Arial"/>
        </w:rPr>
        <w:t>b)</w:t>
      </w:r>
      <w:r w:rsidRPr="009D02F8">
        <w:rPr>
          <w:rFonts w:ascii="Arial" w:hAnsi="Arial" w:cs="Arial"/>
        </w:rPr>
        <w:tab/>
        <w:t>T</w:t>
      </w:r>
      <w:r w:rsidR="00E053CC" w:rsidRPr="009D02F8">
        <w:rPr>
          <w:rFonts w:ascii="Arial" w:hAnsi="Arial" w:cs="Arial"/>
        </w:rPr>
        <w:t xml:space="preserve">o </w:t>
      </w:r>
      <w:r w:rsidR="006D18BD" w:rsidRPr="009D02F8">
        <w:rPr>
          <w:rFonts w:ascii="Arial" w:hAnsi="Arial" w:cs="Arial"/>
        </w:rPr>
        <w:t>agree</w:t>
      </w:r>
      <w:r w:rsidR="00E024F3" w:rsidRPr="009D02F8">
        <w:rPr>
          <w:rFonts w:ascii="Arial" w:hAnsi="Arial" w:cs="Arial"/>
        </w:rPr>
        <w:t xml:space="preserve"> </w:t>
      </w:r>
      <w:r w:rsidR="006D18BD" w:rsidRPr="009D02F8">
        <w:rPr>
          <w:rFonts w:ascii="Arial" w:hAnsi="Arial" w:cs="Arial"/>
        </w:rPr>
        <w:t>that</w:t>
      </w:r>
      <w:r w:rsidR="00E053CC" w:rsidRPr="009D02F8">
        <w:rPr>
          <w:rFonts w:ascii="Arial" w:hAnsi="Arial" w:cs="Arial"/>
        </w:rPr>
        <w:t xml:space="preserve"> the proposed </w:t>
      </w:r>
      <w:r w:rsidR="00895EAB" w:rsidRPr="009D02F8">
        <w:rPr>
          <w:rFonts w:ascii="Arial" w:hAnsi="Arial" w:cs="Arial"/>
        </w:rPr>
        <w:t xml:space="preserve">three and four year old </w:t>
      </w:r>
      <w:r w:rsidR="00E053CC" w:rsidRPr="009D02F8">
        <w:rPr>
          <w:rFonts w:ascii="Arial" w:hAnsi="Arial" w:cs="Arial"/>
        </w:rPr>
        <w:t>hourly rate</w:t>
      </w:r>
      <w:r w:rsidR="00E024F3" w:rsidRPr="009D02F8">
        <w:rPr>
          <w:rFonts w:ascii="Arial" w:hAnsi="Arial" w:cs="Arial"/>
        </w:rPr>
        <w:t xml:space="preserve"> </w:t>
      </w:r>
      <w:r w:rsidR="00E024F3" w:rsidRPr="009D02F8">
        <w:rPr>
          <w:rFonts w:ascii="Arial" w:hAnsi="Arial" w:cs="Arial"/>
          <w:color w:val="000000" w:themeColor="text1"/>
        </w:rPr>
        <w:t>formula</w:t>
      </w:r>
      <w:r w:rsidR="00F7785D" w:rsidRPr="009D02F8">
        <w:rPr>
          <w:rFonts w:ascii="Arial" w:hAnsi="Arial" w:cs="Arial"/>
          <w:color w:val="000000" w:themeColor="text1"/>
        </w:rPr>
        <w:t xml:space="preserve"> </w:t>
      </w:r>
      <w:r w:rsidR="00E053CC" w:rsidRPr="009D02F8">
        <w:rPr>
          <w:rFonts w:ascii="Arial" w:hAnsi="Arial" w:cs="Arial"/>
          <w:color w:val="000000" w:themeColor="text1"/>
        </w:rPr>
        <w:t>sho</w:t>
      </w:r>
      <w:r w:rsidR="00895EAB" w:rsidRPr="009D02F8">
        <w:rPr>
          <w:rFonts w:ascii="Arial" w:hAnsi="Arial" w:cs="Arial"/>
          <w:color w:val="000000" w:themeColor="text1"/>
        </w:rPr>
        <w:t>wn at the table in paragraph 4.4</w:t>
      </w:r>
      <w:r w:rsidR="00E053CC" w:rsidRPr="009D02F8">
        <w:rPr>
          <w:rFonts w:ascii="Arial" w:hAnsi="Arial" w:cs="Arial"/>
          <w:color w:val="000000" w:themeColor="text1"/>
        </w:rPr>
        <w:t xml:space="preserve"> above should be recommended </w:t>
      </w:r>
      <w:r w:rsidR="00E024F3" w:rsidRPr="009D02F8">
        <w:rPr>
          <w:rFonts w:ascii="Arial" w:hAnsi="Arial" w:cs="Arial"/>
          <w:color w:val="000000" w:themeColor="text1"/>
        </w:rPr>
        <w:t>to</w:t>
      </w:r>
      <w:r w:rsidR="00A02A9D" w:rsidRPr="009D02F8">
        <w:rPr>
          <w:rFonts w:ascii="Arial" w:hAnsi="Arial" w:cs="Arial"/>
        </w:rPr>
        <w:t xml:space="preserve"> Children</w:t>
      </w:r>
      <w:r w:rsidR="006D18BD" w:rsidRPr="009D02F8">
        <w:rPr>
          <w:rFonts w:ascii="Arial" w:hAnsi="Arial" w:cs="Arial"/>
        </w:rPr>
        <w:t>’s</w:t>
      </w:r>
      <w:r w:rsidR="00E024F3" w:rsidRPr="009D02F8">
        <w:rPr>
          <w:rFonts w:ascii="Arial" w:hAnsi="Arial" w:cs="Arial"/>
        </w:rPr>
        <w:t xml:space="preserve"> Services Committee fo</w:t>
      </w:r>
      <w:r w:rsidR="00E159C0" w:rsidRPr="009D02F8">
        <w:rPr>
          <w:rFonts w:ascii="Arial" w:hAnsi="Arial" w:cs="Arial"/>
        </w:rPr>
        <w:t>r implementation</w:t>
      </w:r>
      <w:r w:rsidR="00895EAB" w:rsidRPr="009D02F8">
        <w:rPr>
          <w:rFonts w:ascii="Arial" w:hAnsi="Arial" w:cs="Arial"/>
        </w:rPr>
        <w:t xml:space="preserve"> from April 2020;</w:t>
      </w:r>
    </w:p>
    <w:p w:rsidR="00895EAB" w:rsidRPr="009D02F8" w:rsidRDefault="00895EAB" w:rsidP="00C60C78">
      <w:pPr>
        <w:tabs>
          <w:tab w:val="left" w:pos="1134"/>
        </w:tabs>
        <w:ind w:left="1129" w:hanging="420"/>
        <w:rPr>
          <w:rFonts w:ascii="Arial" w:hAnsi="Arial" w:cs="Arial"/>
        </w:rPr>
      </w:pPr>
    </w:p>
    <w:p w:rsidR="00163418" w:rsidRDefault="001B4247" w:rsidP="00C60C78">
      <w:pPr>
        <w:tabs>
          <w:tab w:val="left" w:pos="1134"/>
        </w:tabs>
        <w:ind w:left="1129" w:hanging="420"/>
        <w:rPr>
          <w:rFonts w:ascii="Arial" w:hAnsi="Arial" w:cs="Arial"/>
        </w:rPr>
      </w:pPr>
      <w:r>
        <w:rPr>
          <w:rFonts w:ascii="Arial" w:hAnsi="Arial" w:cs="Arial"/>
        </w:rPr>
        <w:t>c)</w:t>
      </w:r>
      <w:r>
        <w:rPr>
          <w:rFonts w:ascii="Arial" w:hAnsi="Arial" w:cs="Arial"/>
        </w:rPr>
        <w:tab/>
        <w:t xml:space="preserve">To recommend to Children’s Services Committee that the </w:t>
      </w:r>
      <w:r w:rsidR="00895EAB" w:rsidRPr="009D02F8">
        <w:rPr>
          <w:rFonts w:ascii="Arial" w:hAnsi="Arial" w:cs="Arial"/>
        </w:rPr>
        <w:t xml:space="preserve">hourly rate for two year old provision </w:t>
      </w:r>
      <w:r>
        <w:rPr>
          <w:rFonts w:ascii="Arial" w:hAnsi="Arial" w:cs="Arial"/>
        </w:rPr>
        <w:t>remains at £5.20</w:t>
      </w:r>
      <w:r w:rsidR="00895EAB" w:rsidRPr="009D02F8">
        <w:rPr>
          <w:rFonts w:ascii="Arial" w:hAnsi="Arial" w:cs="Arial"/>
        </w:rPr>
        <w:t xml:space="preserve"> in 2020/21 with</w:t>
      </w:r>
      <w:r w:rsidR="00503083" w:rsidRPr="009D02F8">
        <w:rPr>
          <w:rFonts w:ascii="Arial" w:hAnsi="Arial" w:cs="Arial"/>
        </w:rPr>
        <w:t>out</w:t>
      </w:r>
      <w:r w:rsidR="00895EAB" w:rsidRPr="009D02F8">
        <w:rPr>
          <w:rFonts w:ascii="Arial" w:hAnsi="Arial" w:cs="Arial"/>
        </w:rPr>
        <w:t xml:space="preserve"> the 8p</w:t>
      </w:r>
      <w:r w:rsidR="00503083" w:rsidRPr="009D02F8">
        <w:rPr>
          <w:rFonts w:ascii="Arial" w:hAnsi="Arial" w:cs="Arial"/>
        </w:rPr>
        <w:t xml:space="preserve"> funding</w:t>
      </w:r>
      <w:r w:rsidR="00895EAB" w:rsidRPr="009D02F8">
        <w:rPr>
          <w:rFonts w:ascii="Arial" w:hAnsi="Arial" w:cs="Arial"/>
        </w:rPr>
        <w:t xml:space="preserve"> increase being applied</w:t>
      </w:r>
      <w:r w:rsidR="00163418">
        <w:rPr>
          <w:rFonts w:ascii="Arial" w:hAnsi="Arial" w:cs="Arial"/>
        </w:rPr>
        <w:t>.</w:t>
      </w:r>
    </w:p>
    <w:p w:rsidR="00163418" w:rsidRDefault="00163418" w:rsidP="00C60C78">
      <w:pPr>
        <w:tabs>
          <w:tab w:val="left" w:pos="1134"/>
        </w:tabs>
        <w:ind w:left="1129" w:hanging="420"/>
        <w:rPr>
          <w:rFonts w:ascii="Arial" w:hAnsi="Arial" w:cs="Arial"/>
        </w:rPr>
      </w:pPr>
    </w:p>
    <w:p w:rsidR="00895EAB" w:rsidRPr="00C32811" w:rsidRDefault="00163418" w:rsidP="00C60C78">
      <w:pPr>
        <w:tabs>
          <w:tab w:val="left" w:pos="1134"/>
        </w:tabs>
        <w:ind w:left="1129" w:hanging="420"/>
        <w:rPr>
          <w:rFonts w:ascii="Arial" w:hAnsi="Arial" w:cs="Arial"/>
        </w:rPr>
      </w:pPr>
      <w:r>
        <w:rPr>
          <w:rFonts w:ascii="Arial" w:hAnsi="Arial" w:cs="Arial"/>
        </w:rPr>
        <w:t>d)   To review the hourly rate for two year old provision in 2021/22 upon</w:t>
      </w:r>
      <w:r w:rsidR="001B4247">
        <w:rPr>
          <w:rFonts w:ascii="Arial" w:hAnsi="Arial" w:cs="Arial"/>
        </w:rPr>
        <w:t xml:space="preserve"> completion of the work by the Early Years</w:t>
      </w:r>
      <w:r>
        <w:rPr>
          <w:rFonts w:ascii="Arial" w:hAnsi="Arial" w:cs="Arial"/>
        </w:rPr>
        <w:t xml:space="preserve"> </w:t>
      </w:r>
      <w:r w:rsidR="001B4247">
        <w:rPr>
          <w:rFonts w:ascii="Arial" w:hAnsi="Arial" w:cs="Arial"/>
        </w:rPr>
        <w:t>Task and Finish Group</w:t>
      </w:r>
      <w:r w:rsidR="00895EAB" w:rsidRPr="009D02F8">
        <w:rPr>
          <w:rFonts w:ascii="Arial" w:hAnsi="Arial" w:cs="Arial"/>
        </w:rPr>
        <w:t>.</w:t>
      </w:r>
    </w:p>
    <w:p w:rsidR="00B05C65" w:rsidRPr="00C32811" w:rsidRDefault="00B05C65" w:rsidP="00C60C78">
      <w:pPr>
        <w:tabs>
          <w:tab w:val="left" w:pos="1134"/>
        </w:tabs>
        <w:rPr>
          <w:rFonts w:ascii="Arial" w:hAnsi="Arial" w:cs="Arial"/>
        </w:rPr>
      </w:pPr>
    </w:p>
    <w:p w:rsidR="00D0023B" w:rsidRPr="00C32811" w:rsidRDefault="00D0023B" w:rsidP="00F7785D">
      <w:pPr>
        <w:rPr>
          <w:rFonts w:ascii="Arial" w:hAnsi="Arial" w:cs="Arial"/>
        </w:rPr>
      </w:pPr>
    </w:p>
    <w:p w:rsidR="00D0023B" w:rsidRPr="00D0023B" w:rsidRDefault="00D0023B" w:rsidP="00F7785D">
      <w:pPr>
        <w:ind w:firstLine="720"/>
        <w:rPr>
          <w:rFonts w:ascii="Arial" w:hAnsi="Arial" w:cs="Arial"/>
          <w:b/>
        </w:rPr>
      </w:pPr>
      <w:r w:rsidRPr="00C32811">
        <w:rPr>
          <w:rFonts w:ascii="Arial" w:hAnsi="Arial" w:cs="Arial"/>
          <w:b/>
        </w:rPr>
        <w:t>A vote is required and A</w:t>
      </w:r>
      <w:r w:rsidR="00A02A9D" w:rsidRPr="00C32811">
        <w:rPr>
          <w:rFonts w:ascii="Arial" w:hAnsi="Arial" w:cs="Arial"/>
          <w:b/>
        </w:rPr>
        <w:t>LL S</w:t>
      </w:r>
      <w:r w:rsidR="00D90F8F" w:rsidRPr="00C32811">
        <w:rPr>
          <w:rFonts w:ascii="Arial" w:hAnsi="Arial" w:cs="Arial"/>
          <w:b/>
        </w:rPr>
        <w:t>chools</w:t>
      </w:r>
      <w:r w:rsidR="00A02A9D" w:rsidRPr="00C32811">
        <w:rPr>
          <w:rFonts w:ascii="Arial" w:hAnsi="Arial" w:cs="Arial"/>
          <w:b/>
        </w:rPr>
        <w:t>’</w:t>
      </w:r>
      <w:r w:rsidR="00D90F8F" w:rsidRPr="00C32811">
        <w:rPr>
          <w:rFonts w:ascii="Arial" w:hAnsi="Arial" w:cs="Arial"/>
          <w:b/>
        </w:rPr>
        <w:t xml:space="preserve"> </w:t>
      </w:r>
      <w:r w:rsidRPr="00C32811">
        <w:rPr>
          <w:rFonts w:ascii="Arial" w:hAnsi="Arial" w:cs="Arial"/>
          <w:b/>
        </w:rPr>
        <w:t>Forum members are eligible</w:t>
      </w:r>
      <w:r w:rsidR="003509AB" w:rsidRPr="00C32811">
        <w:rPr>
          <w:rFonts w:ascii="Arial" w:hAnsi="Arial" w:cs="Arial"/>
          <w:b/>
        </w:rPr>
        <w:t xml:space="preserve"> </w:t>
      </w:r>
      <w:r w:rsidRPr="00C32811">
        <w:rPr>
          <w:rFonts w:ascii="Arial" w:hAnsi="Arial" w:cs="Arial"/>
          <w:b/>
        </w:rPr>
        <w:t>to vote</w:t>
      </w:r>
      <w:r w:rsidRPr="00A772DF">
        <w:rPr>
          <w:rFonts w:ascii="Arial" w:hAnsi="Arial" w:cs="Arial"/>
          <w:b/>
        </w:rPr>
        <w:t>.</w:t>
      </w:r>
    </w:p>
    <w:sectPr w:rsidR="00D0023B" w:rsidRPr="00D0023B" w:rsidSect="00F967A2">
      <w:footerReference w:type="default" r:id="rId8"/>
      <w:pgSz w:w="12240" w:h="15840"/>
      <w:pgMar w:top="709"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1F3" w:rsidRDefault="003741F3" w:rsidP="00B61414">
      <w:r>
        <w:separator/>
      </w:r>
    </w:p>
  </w:endnote>
  <w:endnote w:type="continuationSeparator" w:id="0">
    <w:p w:rsidR="003741F3" w:rsidRDefault="003741F3" w:rsidP="00B6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34611"/>
      <w:docPartObj>
        <w:docPartGallery w:val="Page Numbers (Bottom of Page)"/>
        <w:docPartUnique/>
      </w:docPartObj>
    </w:sdtPr>
    <w:sdtEndPr>
      <w:rPr>
        <w:rFonts w:ascii="Arial" w:hAnsi="Arial"/>
      </w:rPr>
    </w:sdtEndPr>
    <w:sdtContent>
      <w:p w:rsidR="00E053CC" w:rsidRPr="00806551" w:rsidRDefault="00DA1E84">
        <w:pPr>
          <w:pStyle w:val="Footer"/>
          <w:jc w:val="center"/>
          <w:rPr>
            <w:rFonts w:ascii="Arial" w:hAnsi="Arial"/>
          </w:rPr>
        </w:pPr>
        <w:r w:rsidRPr="00806551">
          <w:rPr>
            <w:rFonts w:ascii="Arial" w:hAnsi="Arial"/>
          </w:rPr>
          <w:fldChar w:fldCharType="begin"/>
        </w:r>
        <w:r w:rsidR="00E053CC" w:rsidRPr="00806551">
          <w:rPr>
            <w:rFonts w:ascii="Arial" w:hAnsi="Arial"/>
          </w:rPr>
          <w:instrText xml:space="preserve"> PAGE   \* MERGEFORMAT </w:instrText>
        </w:r>
        <w:r w:rsidRPr="00806551">
          <w:rPr>
            <w:rFonts w:ascii="Arial" w:hAnsi="Arial"/>
          </w:rPr>
          <w:fldChar w:fldCharType="separate"/>
        </w:r>
        <w:r w:rsidR="009D536A">
          <w:rPr>
            <w:rFonts w:ascii="Arial" w:hAnsi="Arial"/>
            <w:noProof/>
          </w:rPr>
          <w:t>5</w:t>
        </w:r>
        <w:r w:rsidRPr="00806551">
          <w:rPr>
            <w:rFonts w:ascii="Arial" w:hAnsi="Arial"/>
          </w:rPr>
          <w:fldChar w:fldCharType="end"/>
        </w:r>
      </w:p>
    </w:sdtContent>
  </w:sdt>
  <w:p w:rsidR="00E053CC" w:rsidRDefault="00E053CC" w:rsidP="00B61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1F3" w:rsidRDefault="003741F3" w:rsidP="00B61414">
      <w:r>
        <w:separator/>
      </w:r>
    </w:p>
  </w:footnote>
  <w:footnote w:type="continuationSeparator" w:id="0">
    <w:p w:rsidR="003741F3" w:rsidRDefault="003741F3" w:rsidP="00B61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F3414"/>
    <w:multiLevelType w:val="hybridMultilevel"/>
    <w:tmpl w:val="4BC4F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143516"/>
    <w:multiLevelType w:val="hybridMultilevel"/>
    <w:tmpl w:val="B886A4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7662B93"/>
    <w:multiLevelType w:val="hybridMultilevel"/>
    <w:tmpl w:val="DA3CF364"/>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3" w15:restartNumberingAfterBreak="0">
    <w:nsid w:val="308D4698"/>
    <w:multiLevelType w:val="multilevel"/>
    <w:tmpl w:val="2B5A68D6"/>
    <w:lvl w:ilvl="0">
      <w:start w:val="1"/>
      <w:numFmt w:val="decimal"/>
      <w:lvlText w:val="%1."/>
      <w:lvlJc w:val="left"/>
      <w:pPr>
        <w:ind w:left="360" w:hanging="360"/>
      </w:pPr>
      <w:rPr>
        <w:b/>
      </w:rPr>
    </w:lvl>
    <w:lvl w:ilvl="1">
      <w:start w:val="1"/>
      <w:numFmt w:val="decimal"/>
      <w:pStyle w:val="Outline2"/>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5E0447"/>
    <w:multiLevelType w:val="hybridMultilevel"/>
    <w:tmpl w:val="8492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C86D46"/>
    <w:multiLevelType w:val="multilevel"/>
    <w:tmpl w:val="727C94AE"/>
    <w:lvl w:ilvl="0">
      <w:start w:val="1"/>
      <w:numFmt w:val="decimal"/>
      <w:lvlText w:val="%1."/>
      <w:lvlJc w:val="left"/>
      <w:pPr>
        <w:ind w:left="1080" w:hanging="72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1CF7068"/>
    <w:multiLevelType w:val="hybridMultilevel"/>
    <w:tmpl w:val="15FA675A"/>
    <w:lvl w:ilvl="0" w:tplc="08090019">
      <w:start w:val="1"/>
      <w:numFmt w:val="lowerLetter"/>
      <w:lvlText w:val="%1."/>
      <w:lvlJc w:val="left"/>
      <w:pPr>
        <w:ind w:left="1281" w:hanging="360"/>
      </w:pPr>
      <w:rPr>
        <w:rFonts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7" w15:restartNumberingAfterBreak="0">
    <w:nsid w:val="467A7CDC"/>
    <w:multiLevelType w:val="hybridMultilevel"/>
    <w:tmpl w:val="972877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D935AB"/>
    <w:multiLevelType w:val="multilevel"/>
    <w:tmpl w:val="4F2229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E670D8"/>
    <w:multiLevelType w:val="hybridMultilevel"/>
    <w:tmpl w:val="96D0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363F91"/>
    <w:multiLevelType w:val="hybridMultilevel"/>
    <w:tmpl w:val="58681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04B5E52"/>
    <w:multiLevelType w:val="multilevel"/>
    <w:tmpl w:val="8EDE7458"/>
    <w:lvl w:ilvl="0">
      <w:start w:val="16"/>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A27E95"/>
    <w:multiLevelType w:val="hybridMultilevel"/>
    <w:tmpl w:val="EBE08640"/>
    <w:lvl w:ilvl="0" w:tplc="0809000F">
      <w:start w:val="1"/>
      <w:numFmt w:val="decimal"/>
      <w:lvlText w:val="%1."/>
      <w:lvlJc w:val="left"/>
      <w:pPr>
        <w:ind w:left="1283" w:hanging="360"/>
      </w:pPr>
    </w:lvl>
    <w:lvl w:ilvl="1" w:tplc="08090019" w:tentative="1">
      <w:start w:val="1"/>
      <w:numFmt w:val="lowerLetter"/>
      <w:lvlText w:val="%2."/>
      <w:lvlJc w:val="left"/>
      <w:pPr>
        <w:ind w:left="2003" w:hanging="360"/>
      </w:pPr>
    </w:lvl>
    <w:lvl w:ilvl="2" w:tplc="0809001B" w:tentative="1">
      <w:start w:val="1"/>
      <w:numFmt w:val="lowerRoman"/>
      <w:lvlText w:val="%3."/>
      <w:lvlJc w:val="right"/>
      <w:pPr>
        <w:ind w:left="2723" w:hanging="180"/>
      </w:pPr>
    </w:lvl>
    <w:lvl w:ilvl="3" w:tplc="0809000F" w:tentative="1">
      <w:start w:val="1"/>
      <w:numFmt w:val="decimal"/>
      <w:lvlText w:val="%4."/>
      <w:lvlJc w:val="left"/>
      <w:pPr>
        <w:ind w:left="3443" w:hanging="360"/>
      </w:pPr>
    </w:lvl>
    <w:lvl w:ilvl="4" w:tplc="08090019" w:tentative="1">
      <w:start w:val="1"/>
      <w:numFmt w:val="lowerLetter"/>
      <w:lvlText w:val="%5."/>
      <w:lvlJc w:val="left"/>
      <w:pPr>
        <w:ind w:left="4163" w:hanging="360"/>
      </w:pPr>
    </w:lvl>
    <w:lvl w:ilvl="5" w:tplc="0809001B" w:tentative="1">
      <w:start w:val="1"/>
      <w:numFmt w:val="lowerRoman"/>
      <w:lvlText w:val="%6."/>
      <w:lvlJc w:val="right"/>
      <w:pPr>
        <w:ind w:left="4883" w:hanging="180"/>
      </w:pPr>
    </w:lvl>
    <w:lvl w:ilvl="6" w:tplc="0809000F" w:tentative="1">
      <w:start w:val="1"/>
      <w:numFmt w:val="decimal"/>
      <w:lvlText w:val="%7."/>
      <w:lvlJc w:val="left"/>
      <w:pPr>
        <w:ind w:left="5603" w:hanging="360"/>
      </w:pPr>
    </w:lvl>
    <w:lvl w:ilvl="7" w:tplc="08090019" w:tentative="1">
      <w:start w:val="1"/>
      <w:numFmt w:val="lowerLetter"/>
      <w:lvlText w:val="%8."/>
      <w:lvlJc w:val="left"/>
      <w:pPr>
        <w:ind w:left="6323" w:hanging="360"/>
      </w:pPr>
    </w:lvl>
    <w:lvl w:ilvl="8" w:tplc="0809001B" w:tentative="1">
      <w:start w:val="1"/>
      <w:numFmt w:val="lowerRoman"/>
      <w:lvlText w:val="%9."/>
      <w:lvlJc w:val="right"/>
      <w:pPr>
        <w:ind w:left="7043" w:hanging="180"/>
      </w:pPr>
    </w:lvl>
  </w:abstractNum>
  <w:abstractNum w:abstractNumId="13" w15:restartNumberingAfterBreak="0">
    <w:nsid w:val="72521266"/>
    <w:multiLevelType w:val="hybridMultilevel"/>
    <w:tmpl w:val="23FE3986"/>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num w:numId="1">
    <w:abstractNumId w:val="3"/>
  </w:num>
  <w:num w:numId="2">
    <w:abstractNumId w:val="5"/>
  </w:num>
  <w:num w:numId="3">
    <w:abstractNumId w:val="4"/>
  </w:num>
  <w:num w:numId="4">
    <w:abstractNumId w:val="10"/>
  </w:num>
  <w:num w:numId="5">
    <w:abstractNumId w:val="9"/>
  </w:num>
  <w:num w:numId="6">
    <w:abstractNumId w:val="12"/>
  </w:num>
  <w:num w:numId="7">
    <w:abstractNumId w:val="0"/>
  </w:num>
  <w:num w:numId="8">
    <w:abstractNumId w:val="2"/>
  </w:num>
  <w:num w:numId="9">
    <w:abstractNumId w:val="13"/>
  </w:num>
  <w:num w:numId="10">
    <w:abstractNumId w:val="6"/>
  </w:num>
  <w:num w:numId="11">
    <w:abstractNumId w:val="1"/>
  </w:num>
  <w:num w:numId="12">
    <w:abstractNumId w:val="11"/>
  </w:num>
  <w:num w:numId="13">
    <w:abstractNumId w:val="8"/>
  </w:num>
  <w:num w:numId="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0E"/>
    <w:rsid w:val="00000D87"/>
    <w:rsid w:val="00001556"/>
    <w:rsid w:val="0000249A"/>
    <w:rsid w:val="00002721"/>
    <w:rsid w:val="00007475"/>
    <w:rsid w:val="00011F3A"/>
    <w:rsid w:val="000127D9"/>
    <w:rsid w:val="000131D4"/>
    <w:rsid w:val="00013F84"/>
    <w:rsid w:val="000145BD"/>
    <w:rsid w:val="00015182"/>
    <w:rsid w:val="000168DD"/>
    <w:rsid w:val="0001724D"/>
    <w:rsid w:val="00017DE5"/>
    <w:rsid w:val="00020122"/>
    <w:rsid w:val="0002078A"/>
    <w:rsid w:val="00020A06"/>
    <w:rsid w:val="00021A80"/>
    <w:rsid w:val="0002282D"/>
    <w:rsid w:val="000245D6"/>
    <w:rsid w:val="00025930"/>
    <w:rsid w:val="000273D4"/>
    <w:rsid w:val="00027F6A"/>
    <w:rsid w:val="00030623"/>
    <w:rsid w:val="00034D30"/>
    <w:rsid w:val="0003557D"/>
    <w:rsid w:val="0003565F"/>
    <w:rsid w:val="00035761"/>
    <w:rsid w:val="00035A1E"/>
    <w:rsid w:val="00037393"/>
    <w:rsid w:val="00041B1E"/>
    <w:rsid w:val="00041B48"/>
    <w:rsid w:val="00041C9B"/>
    <w:rsid w:val="000424E2"/>
    <w:rsid w:val="00043984"/>
    <w:rsid w:val="00045D28"/>
    <w:rsid w:val="000474A0"/>
    <w:rsid w:val="00047960"/>
    <w:rsid w:val="00050952"/>
    <w:rsid w:val="000512D6"/>
    <w:rsid w:val="00056907"/>
    <w:rsid w:val="00057F6B"/>
    <w:rsid w:val="000603C3"/>
    <w:rsid w:val="00061821"/>
    <w:rsid w:val="000623EF"/>
    <w:rsid w:val="000626CE"/>
    <w:rsid w:val="000631E6"/>
    <w:rsid w:val="00064743"/>
    <w:rsid w:val="00065C36"/>
    <w:rsid w:val="0007006B"/>
    <w:rsid w:val="00071755"/>
    <w:rsid w:val="000717D7"/>
    <w:rsid w:val="00071DA1"/>
    <w:rsid w:val="00072087"/>
    <w:rsid w:val="000723B3"/>
    <w:rsid w:val="000723B4"/>
    <w:rsid w:val="000725EA"/>
    <w:rsid w:val="00076162"/>
    <w:rsid w:val="00076F19"/>
    <w:rsid w:val="000771B2"/>
    <w:rsid w:val="0008087A"/>
    <w:rsid w:val="00080D21"/>
    <w:rsid w:val="00080ED6"/>
    <w:rsid w:val="00081B7F"/>
    <w:rsid w:val="00082526"/>
    <w:rsid w:val="00083680"/>
    <w:rsid w:val="000841D9"/>
    <w:rsid w:val="000854CA"/>
    <w:rsid w:val="000866DB"/>
    <w:rsid w:val="00087768"/>
    <w:rsid w:val="00090D73"/>
    <w:rsid w:val="00092357"/>
    <w:rsid w:val="00092B2B"/>
    <w:rsid w:val="0009468E"/>
    <w:rsid w:val="00096CDC"/>
    <w:rsid w:val="00096FF1"/>
    <w:rsid w:val="00097556"/>
    <w:rsid w:val="000A2E84"/>
    <w:rsid w:val="000A415D"/>
    <w:rsid w:val="000A65C2"/>
    <w:rsid w:val="000B12F2"/>
    <w:rsid w:val="000B2CE0"/>
    <w:rsid w:val="000B409A"/>
    <w:rsid w:val="000B6049"/>
    <w:rsid w:val="000B783A"/>
    <w:rsid w:val="000B7C9D"/>
    <w:rsid w:val="000C08CB"/>
    <w:rsid w:val="000C315A"/>
    <w:rsid w:val="000C40B6"/>
    <w:rsid w:val="000C4DB0"/>
    <w:rsid w:val="000C55D5"/>
    <w:rsid w:val="000C56E7"/>
    <w:rsid w:val="000C66E8"/>
    <w:rsid w:val="000C7789"/>
    <w:rsid w:val="000D1BD4"/>
    <w:rsid w:val="000D2B4E"/>
    <w:rsid w:val="000D2FDA"/>
    <w:rsid w:val="000D3D86"/>
    <w:rsid w:val="000D41C6"/>
    <w:rsid w:val="000D7BCB"/>
    <w:rsid w:val="000E0C99"/>
    <w:rsid w:val="000E348A"/>
    <w:rsid w:val="000E35F6"/>
    <w:rsid w:val="000E3861"/>
    <w:rsid w:val="000E42EE"/>
    <w:rsid w:val="000E48FE"/>
    <w:rsid w:val="000E4A8F"/>
    <w:rsid w:val="000E55C6"/>
    <w:rsid w:val="000E576F"/>
    <w:rsid w:val="000E593B"/>
    <w:rsid w:val="000E5CC1"/>
    <w:rsid w:val="000E75D5"/>
    <w:rsid w:val="000E7D04"/>
    <w:rsid w:val="000F097F"/>
    <w:rsid w:val="000F0B10"/>
    <w:rsid w:val="000F3967"/>
    <w:rsid w:val="000F5754"/>
    <w:rsid w:val="000F6B0D"/>
    <w:rsid w:val="0010001F"/>
    <w:rsid w:val="0010083E"/>
    <w:rsid w:val="00101760"/>
    <w:rsid w:val="001023DA"/>
    <w:rsid w:val="00103852"/>
    <w:rsid w:val="00103A2C"/>
    <w:rsid w:val="00104172"/>
    <w:rsid w:val="00105439"/>
    <w:rsid w:val="001105F1"/>
    <w:rsid w:val="0011308A"/>
    <w:rsid w:val="00114EEF"/>
    <w:rsid w:val="001150C8"/>
    <w:rsid w:val="00116951"/>
    <w:rsid w:val="0011726D"/>
    <w:rsid w:val="00117F8A"/>
    <w:rsid w:val="001201E8"/>
    <w:rsid w:val="00122240"/>
    <w:rsid w:val="00123710"/>
    <w:rsid w:val="001257F5"/>
    <w:rsid w:val="001274EB"/>
    <w:rsid w:val="00130786"/>
    <w:rsid w:val="00133C66"/>
    <w:rsid w:val="001350FB"/>
    <w:rsid w:val="00135A38"/>
    <w:rsid w:val="00137BC6"/>
    <w:rsid w:val="00140954"/>
    <w:rsid w:val="00142EAA"/>
    <w:rsid w:val="00144BE2"/>
    <w:rsid w:val="001459E7"/>
    <w:rsid w:val="00146BE4"/>
    <w:rsid w:val="00150DE8"/>
    <w:rsid w:val="00152371"/>
    <w:rsid w:val="00152C15"/>
    <w:rsid w:val="001543BE"/>
    <w:rsid w:val="00155B5D"/>
    <w:rsid w:val="001561C3"/>
    <w:rsid w:val="00156A05"/>
    <w:rsid w:val="00156FA5"/>
    <w:rsid w:val="001601E0"/>
    <w:rsid w:val="001605D3"/>
    <w:rsid w:val="00160852"/>
    <w:rsid w:val="00161991"/>
    <w:rsid w:val="00163418"/>
    <w:rsid w:val="00163B4B"/>
    <w:rsid w:val="00163DE5"/>
    <w:rsid w:val="00165672"/>
    <w:rsid w:val="001671A3"/>
    <w:rsid w:val="00167352"/>
    <w:rsid w:val="00170D2A"/>
    <w:rsid w:val="00170EDD"/>
    <w:rsid w:val="00171617"/>
    <w:rsid w:val="0017240C"/>
    <w:rsid w:val="001733C7"/>
    <w:rsid w:val="00173A9D"/>
    <w:rsid w:val="0017401D"/>
    <w:rsid w:val="00176589"/>
    <w:rsid w:val="001778D2"/>
    <w:rsid w:val="00177CE7"/>
    <w:rsid w:val="00182794"/>
    <w:rsid w:val="0018313E"/>
    <w:rsid w:val="00183A38"/>
    <w:rsid w:val="00185619"/>
    <w:rsid w:val="001872DA"/>
    <w:rsid w:val="0018740E"/>
    <w:rsid w:val="00192868"/>
    <w:rsid w:val="0019452A"/>
    <w:rsid w:val="00196432"/>
    <w:rsid w:val="0019698C"/>
    <w:rsid w:val="001A3743"/>
    <w:rsid w:val="001A516A"/>
    <w:rsid w:val="001B0CB0"/>
    <w:rsid w:val="001B0FA1"/>
    <w:rsid w:val="001B26C3"/>
    <w:rsid w:val="001B2D3C"/>
    <w:rsid w:val="001B4247"/>
    <w:rsid w:val="001B6433"/>
    <w:rsid w:val="001B6513"/>
    <w:rsid w:val="001B6842"/>
    <w:rsid w:val="001C0230"/>
    <w:rsid w:val="001C08B1"/>
    <w:rsid w:val="001C0F93"/>
    <w:rsid w:val="001C1344"/>
    <w:rsid w:val="001C314B"/>
    <w:rsid w:val="001C4125"/>
    <w:rsid w:val="001C4B34"/>
    <w:rsid w:val="001C5219"/>
    <w:rsid w:val="001C5788"/>
    <w:rsid w:val="001C58B6"/>
    <w:rsid w:val="001D033C"/>
    <w:rsid w:val="001D0CD4"/>
    <w:rsid w:val="001D14C1"/>
    <w:rsid w:val="001D1A4F"/>
    <w:rsid w:val="001D1F97"/>
    <w:rsid w:val="001D2130"/>
    <w:rsid w:val="001D4064"/>
    <w:rsid w:val="001D443C"/>
    <w:rsid w:val="001D4923"/>
    <w:rsid w:val="001D5962"/>
    <w:rsid w:val="001D5C1C"/>
    <w:rsid w:val="001D7719"/>
    <w:rsid w:val="001D7777"/>
    <w:rsid w:val="001E0292"/>
    <w:rsid w:val="001E1577"/>
    <w:rsid w:val="001E1A7E"/>
    <w:rsid w:val="001E2067"/>
    <w:rsid w:val="001E2F6A"/>
    <w:rsid w:val="001E4E24"/>
    <w:rsid w:val="001E6048"/>
    <w:rsid w:val="001E73D6"/>
    <w:rsid w:val="001F05DF"/>
    <w:rsid w:val="001F1A6B"/>
    <w:rsid w:val="001F2BD6"/>
    <w:rsid w:val="001F37B5"/>
    <w:rsid w:val="001F5030"/>
    <w:rsid w:val="001F5AB5"/>
    <w:rsid w:val="001F6798"/>
    <w:rsid w:val="001F766B"/>
    <w:rsid w:val="00200446"/>
    <w:rsid w:val="00200B05"/>
    <w:rsid w:val="0020279E"/>
    <w:rsid w:val="0020341C"/>
    <w:rsid w:val="00203BEA"/>
    <w:rsid w:val="00204E1A"/>
    <w:rsid w:val="00205626"/>
    <w:rsid w:val="0020617C"/>
    <w:rsid w:val="0020787C"/>
    <w:rsid w:val="00207F6C"/>
    <w:rsid w:val="002108DC"/>
    <w:rsid w:val="00211D3C"/>
    <w:rsid w:val="00212031"/>
    <w:rsid w:val="002120AB"/>
    <w:rsid w:val="002129C2"/>
    <w:rsid w:val="002165C9"/>
    <w:rsid w:val="00217829"/>
    <w:rsid w:val="0022148C"/>
    <w:rsid w:val="00223A15"/>
    <w:rsid w:val="00223D32"/>
    <w:rsid w:val="0022480A"/>
    <w:rsid w:val="00224DE2"/>
    <w:rsid w:val="0022554F"/>
    <w:rsid w:val="00225CCF"/>
    <w:rsid w:val="00226527"/>
    <w:rsid w:val="0022753E"/>
    <w:rsid w:val="00227FB4"/>
    <w:rsid w:val="00230123"/>
    <w:rsid w:val="00230ADC"/>
    <w:rsid w:val="00233301"/>
    <w:rsid w:val="002339D5"/>
    <w:rsid w:val="00233AF6"/>
    <w:rsid w:val="0023468B"/>
    <w:rsid w:val="002350F0"/>
    <w:rsid w:val="00235489"/>
    <w:rsid w:val="002355FB"/>
    <w:rsid w:val="00236BA4"/>
    <w:rsid w:val="00237FF4"/>
    <w:rsid w:val="0024529C"/>
    <w:rsid w:val="00246312"/>
    <w:rsid w:val="0025045A"/>
    <w:rsid w:val="002504B2"/>
    <w:rsid w:val="002506A6"/>
    <w:rsid w:val="00252D4E"/>
    <w:rsid w:val="00252E09"/>
    <w:rsid w:val="00254CD6"/>
    <w:rsid w:val="00256FD2"/>
    <w:rsid w:val="002620AD"/>
    <w:rsid w:val="00262BE3"/>
    <w:rsid w:val="00263863"/>
    <w:rsid w:val="00265372"/>
    <w:rsid w:val="00265385"/>
    <w:rsid w:val="002654A9"/>
    <w:rsid w:val="00266A80"/>
    <w:rsid w:val="00267CB0"/>
    <w:rsid w:val="00270B51"/>
    <w:rsid w:val="00271089"/>
    <w:rsid w:val="00271460"/>
    <w:rsid w:val="00272235"/>
    <w:rsid w:val="0027292C"/>
    <w:rsid w:val="0027590D"/>
    <w:rsid w:val="00275C46"/>
    <w:rsid w:val="00282823"/>
    <w:rsid w:val="002841D1"/>
    <w:rsid w:val="00284C8A"/>
    <w:rsid w:val="00286CE7"/>
    <w:rsid w:val="002913C8"/>
    <w:rsid w:val="0029145B"/>
    <w:rsid w:val="002925DA"/>
    <w:rsid w:val="00293201"/>
    <w:rsid w:val="00293208"/>
    <w:rsid w:val="002956D8"/>
    <w:rsid w:val="00295736"/>
    <w:rsid w:val="002957C3"/>
    <w:rsid w:val="00296674"/>
    <w:rsid w:val="002970CA"/>
    <w:rsid w:val="002A110A"/>
    <w:rsid w:val="002A1718"/>
    <w:rsid w:val="002A202B"/>
    <w:rsid w:val="002A2FED"/>
    <w:rsid w:val="002A5110"/>
    <w:rsid w:val="002A5801"/>
    <w:rsid w:val="002B09D0"/>
    <w:rsid w:val="002B165E"/>
    <w:rsid w:val="002B1BE4"/>
    <w:rsid w:val="002B2501"/>
    <w:rsid w:val="002B3F05"/>
    <w:rsid w:val="002B4175"/>
    <w:rsid w:val="002B4606"/>
    <w:rsid w:val="002B47D8"/>
    <w:rsid w:val="002B4D3E"/>
    <w:rsid w:val="002B633A"/>
    <w:rsid w:val="002B6BA7"/>
    <w:rsid w:val="002B6EE7"/>
    <w:rsid w:val="002C0248"/>
    <w:rsid w:val="002C1611"/>
    <w:rsid w:val="002C31B0"/>
    <w:rsid w:val="002C341C"/>
    <w:rsid w:val="002C3841"/>
    <w:rsid w:val="002C3FC3"/>
    <w:rsid w:val="002C5D1D"/>
    <w:rsid w:val="002C64EC"/>
    <w:rsid w:val="002C6E8A"/>
    <w:rsid w:val="002C72C3"/>
    <w:rsid w:val="002D094D"/>
    <w:rsid w:val="002D2336"/>
    <w:rsid w:val="002D79A1"/>
    <w:rsid w:val="002E0AE1"/>
    <w:rsid w:val="002E2439"/>
    <w:rsid w:val="002E255E"/>
    <w:rsid w:val="002E2A30"/>
    <w:rsid w:val="002E5E6D"/>
    <w:rsid w:val="002E6847"/>
    <w:rsid w:val="002E6B65"/>
    <w:rsid w:val="002E6EA3"/>
    <w:rsid w:val="002E7150"/>
    <w:rsid w:val="002E7745"/>
    <w:rsid w:val="002F3664"/>
    <w:rsid w:val="002F4231"/>
    <w:rsid w:val="002F4361"/>
    <w:rsid w:val="002F5A9E"/>
    <w:rsid w:val="002F5B5C"/>
    <w:rsid w:val="002F62B0"/>
    <w:rsid w:val="002F6756"/>
    <w:rsid w:val="00300271"/>
    <w:rsid w:val="003007B1"/>
    <w:rsid w:val="00305B08"/>
    <w:rsid w:val="00305DE5"/>
    <w:rsid w:val="00306B55"/>
    <w:rsid w:val="00310B95"/>
    <w:rsid w:val="00311553"/>
    <w:rsid w:val="00311D25"/>
    <w:rsid w:val="00312A54"/>
    <w:rsid w:val="00313252"/>
    <w:rsid w:val="00314C4F"/>
    <w:rsid w:val="00315A4C"/>
    <w:rsid w:val="00316464"/>
    <w:rsid w:val="003166BF"/>
    <w:rsid w:val="00316B8E"/>
    <w:rsid w:val="00316DDD"/>
    <w:rsid w:val="0031718B"/>
    <w:rsid w:val="003173E0"/>
    <w:rsid w:val="003207AA"/>
    <w:rsid w:val="00320D09"/>
    <w:rsid w:val="00322249"/>
    <w:rsid w:val="00322C21"/>
    <w:rsid w:val="00325006"/>
    <w:rsid w:val="00325271"/>
    <w:rsid w:val="00331C0C"/>
    <w:rsid w:val="00332906"/>
    <w:rsid w:val="0033309C"/>
    <w:rsid w:val="00334092"/>
    <w:rsid w:val="003359B9"/>
    <w:rsid w:val="00335A8D"/>
    <w:rsid w:val="00336ACD"/>
    <w:rsid w:val="0033779D"/>
    <w:rsid w:val="003406E1"/>
    <w:rsid w:val="00340CC7"/>
    <w:rsid w:val="00342525"/>
    <w:rsid w:val="003429E5"/>
    <w:rsid w:val="003429EB"/>
    <w:rsid w:val="00344574"/>
    <w:rsid w:val="00344F56"/>
    <w:rsid w:val="00345CB1"/>
    <w:rsid w:val="00346AE1"/>
    <w:rsid w:val="003479C1"/>
    <w:rsid w:val="003509AB"/>
    <w:rsid w:val="00350EF1"/>
    <w:rsid w:val="00352A18"/>
    <w:rsid w:val="00353D01"/>
    <w:rsid w:val="00355681"/>
    <w:rsid w:val="0035581C"/>
    <w:rsid w:val="003572EF"/>
    <w:rsid w:val="00360EEA"/>
    <w:rsid w:val="00361847"/>
    <w:rsid w:val="003642D3"/>
    <w:rsid w:val="00365A44"/>
    <w:rsid w:val="00365A71"/>
    <w:rsid w:val="00365EB4"/>
    <w:rsid w:val="00366E11"/>
    <w:rsid w:val="003674D6"/>
    <w:rsid w:val="00367A47"/>
    <w:rsid w:val="00370BB6"/>
    <w:rsid w:val="003712BB"/>
    <w:rsid w:val="003735BF"/>
    <w:rsid w:val="003741F3"/>
    <w:rsid w:val="0037578A"/>
    <w:rsid w:val="003812A4"/>
    <w:rsid w:val="003833E9"/>
    <w:rsid w:val="00383BD7"/>
    <w:rsid w:val="00384134"/>
    <w:rsid w:val="00387D19"/>
    <w:rsid w:val="00391867"/>
    <w:rsid w:val="003934B6"/>
    <w:rsid w:val="00395713"/>
    <w:rsid w:val="00397966"/>
    <w:rsid w:val="00397BDD"/>
    <w:rsid w:val="003A181E"/>
    <w:rsid w:val="003A6994"/>
    <w:rsid w:val="003A7190"/>
    <w:rsid w:val="003A751C"/>
    <w:rsid w:val="003A7CE6"/>
    <w:rsid w:val="003B0600"/>
    <w:rsid w:val="003B212F"/>
    <w:rsid w:val="003B26B4"/>
    <w:rsid w:val="003B361B"/>
    <w:rsid w:val="003B494F"/>
    <w:rsid w:val="003B58CA"/>
    <w:rsid w:val="003B7B45"/>
    <w:rsid w:val="003C00A7"/>
    <w:rsid w:val="003C1D8C"/>
    <w:rsid w:val="003C28EB"/>
    <w:rsid w:val="003C327F"/>
    <w:rsid w:val="003C33A4"/>
    <w:rsid w:val="003C5BC8"/>
    <w:rsid w:val="003C68AE"/>
    <w:rsid w:val="003C73F9"/>
    <w:rsid w:val="003D04BF"/>
    <w:rsid w:val="003D07B8"/>
    <w:rsid w:val="003D31C6"/>
    <w:rsid w:val="003D40DF"/>
    <w:rsid w:val="003D4271"/>
    <w:rsid w:val="003D648E"/>
    <w:rsid w:val="003D66F5"/>
    <w:rsid w:val="003D6DF3"/>
    <w:rsid w:val="003D7C2A"/>
    <w:rsid w:val="003E0F5E"/>
    <w:rsid w:val="003E1E7B"/>
    <w:rsid w:val="003E2EB9"/>
    <w:rsid w:val="003E3591"/>
    <w:rsid w:val="003E3DD2"/>
    <w:rsid w:val="003E452A"/>
    <w:rsid w:val="003E48C6"/>
    <w:rsid w:val="003E4B53"/>
    <w:rsid w:val="003E6A01"/>
    <w:rsid w:val="003E7351"/>
    <w:rsid w:val="003E74A1"/>
    <w:rsid w:val="003E7D20"/>
    <w:rsid w:val="003F0084"/>
    <w:rsid w:val="003F0D57"/>
    <w:rsid w:val="003F2E96"/>
    <w:rsid w:val="003F3DCE"/>
    <w:rsid w:val="003F60CD"/>
    <w:rsid w:val="003F693A"/>
    <w:rsid w:val="003F695A"/>
    <w:rsid w:val="00400110"/>
    <w:rsid w:val="00403634"/>
    <w:rsid w:val="00405D19"/>
    <w:rsid w:val="004064EC"/>
    <w:rsid w:val="004065CB"/>
    <w:rsid w:val="004076D8"/>
    <w:rsid w:val="00407984"/>
    <w:rsid w:val="00410497"/>
    <w:rsid w:val="0041084A"/>
    <w:rsid w:val="004112EA"/>
    <w:rsid w:val="00411405"/>
    <w:rsid w:val="00411962"/>
    <w:rsid w:val="00411E73"/>
    <w:rsid w:val="0041261A"/>
    <w:rsid w:val="00413015"/>
    <w:rsid w:val="00413DFA"/>
    <w:rsid w:val="004140C0"/>
    <w:rsid w:val="00414537"/>
    <w:rsid w:val="00414694"/>
    <w:rsid w:val="00415C24"/>
    <w:rsid w:val="0041657E"/>
    <w:rsid w:val="00422944"/>
    <w:rsid w:val="00422FA5"/>
    <w:rsid w:val="0042312B"/>
    <w:rsid w:val="004247E9"/>
    <w:rsid w:val="004259DA"/>
    <w:rsid w:val="00425A9F"/>
    <w:rsid w:val="00425C6E"/>
    <w:rsid w:val="00426733"/>
    <w:rsid w:val="00427D24"/>
    <w:rsid w:val="00427DE1"/>
    <w:rsid w:val="00431C27"/>
    <w:rsid w:val="0043236B"/>
    <w:rsid w:val="004348AA"/>
    <w:rsid w:val="00435145"/>
    <w:rsid w:val="004351EC"/>
    <w:rsid w:val="004367D0"/>
    <w:rsid w:val="00436CF0"/>
    <w:rsid w:val="00436EBA"/>
    <w:rsid w:val="00437B1B"/>
    <w:rsid w:val="00441DDA"/>
    <w:rsid w:val="00443C7E"/>
    <w:rsid w:val="00445957"/>
    <w:rsid w:val="00445A5C"/>
    <w:rsid w:val="0044655D"/>
    <w:rsid w:val="004507E1"/>
    <w:rsid w:val="00452826"/>
    <w:rsid w:val="00452CBC"/>
    <w:rsid w:val="00453927"/>
    <w:rsid w:val="00453C04"/>
    <w:rsid w:val="00454A87"/>
    <w:rsid w:val="00454DA6"/>
    <w:rsid w:val="00456C3E"/>
    <w:rsid w:val="0045756D"/>
    <w:rsid w:val="004606C4"/>
    <w:rsid w:val="00461698"/>
    <w:rsid w:val="00461A38"/>
    <w:rsid w:val="00461FD6"/>
    <w:rsid w:val="004645F2"/>
    <w:rsid w:val="00464925"/>
    <w:rsid w:val="0046562A"/>
    <w:rsid w:val="004666BB"/>
    <w:rsid w:val="00472223"/>
    <w:rsid w:val="00472B33"/>
    <w:rsid w:val="00472CEC"/>
    <w:rsid w:val="0047360B"/>
    <w:rsid w:val="00474155"/>
    <w:rsid w:val="004753E2"/>
    <w:rsid w:val="00475CE7"/>
    <w:rsid w:val="00476236"/>
    <w:rsid w:val="00476556"/>
    <w:rsid w:val="00480609"/>
    <w:rsid w:val="00480A17"/>
    <w:rsid w:val="00481313"/>
    <w:rsid w:val="00481538"/>
    <w:rsid w:val="004817E4"/>
    <w:rsid w:val="004822A8"/>
    <w:rsid w:val="0048271F"/>
    <w:rsid w:val="00482E0E"/>
    <w:rsid w:val="00483789"/>
    <w:rsid w:val="00483799"/>
    <w:rsid w:val="004838A8"/>
    <w:rsid w:val="00483E95"/>
    <w:rsid w:val="00484E56"/>
    <w:rsid w:val="00485384"/>
    <w:rsid w:val="004858AD"/>
    <w:rsid w:val="00485A9F"/>
    <w:rsid w:val="00486A30"/>
    <w:rsid w:val="00487561"/>
    <w:rsid w:val="00487643"/>
    <w:rsid w:val="00487CA5"/>
    <w:rsid w:val="00491403"/>
    <w:rsid w:val="004917F8"/>
    <w:rsid w:val="00491E38"/>
    <w:rsid w:val="0049217C"/>
    <w:rsid w:val="00494219"/>
    <w:rsid w:val="00495955"/>
    <w:rsid w:val="00497032"/>
    <w:rsid w:val="00497C25"/>
    <w:rsid w:val="004A018E"/>
    <w:rsid w:val="004A0618"/>
    <w:rsid w:val="004A0EA5"/>
    <w:rsid w:val="004A1471"/>
    <w:rsid w:val="004A1705"/>
    <w:rsid w:val="004A1C0E"/>
    <w:rsid w:val="004A2D53"/>
    <w:rsid w:val="004A44F6"/>
    <w:rsid w:val="004A5987"/>
    <w:rsid w:val="004A6630"/>
    <w:rsid w:val="004A73B6"/>
    <w:rsid w:val="004B1606"/>
    <w:rsid w:val="004B2564"/>
    <w:rsid w:val="004B4044"/>
    <w:rsid w:val="004B5FB3"/>
    <w:rsid w:val="004B6959"/>
    <w:rsid w:val="004B69A1"/>
    <w:rsid w:val="004B772F"/>
    <w:rsid w:val="004C0674"/>
    <w:rsid w:val="004C39ED"/>
    <w:rsid w:val="004C3EC8"/>
    <w:rsid w:val="004C5453"/>
    <w:rsid w:val="004C64FC"/>
    <w:rsid w:val="004D03A9"/>
    <w:rsid w:val="004D0A77"/>
    <w:rsid w:val="004D0B9E"/>
    <w:rsid w:val="004D0E1A"/>
    <w:rsid w:val="004D12C4"/>
    <w:rsid w:val="004D181C"/>
    <w:rsid w:val="004D3335"/>
    <w:rsid w:val="004D396A"/>
    <w:rsid w:val="004E05B2"/>
    <w:rsid w:val="004E0BCD"/>
    <w:rsid w:val="004E3D35"/>
    <w:rsid w:val="004E4756"/>
    <w:rsid w:val="004E54ED"/>
    <w:rsid w:val="004E5E58"/>
    <w:rsid w:val="004E6004"/>
    <w:rsid w:val="004E6AC3"/>
    <w:rsid w:val="004E6F83"/>
    <w:rsid w:val="004E7092"/>
    <w:rsid w:val="004E7572"/>
    <w:rsid w:val="004E7A5A"/>
    <w:rsid w:val="004E7F36"/>
    <w:rsid w:val="004F0206"/>
    <w:rsid w:val="004F42C0"/>
    <w:rsid w:val="004F49E1"/>
    <w:rsid w:val="004F52C3"/>
    <w:rsid w:val="004F56FE"/>
    <w:rsid w:val="004F76CF"/>
    <w:rsid w:val="0050206A"/>
    <w:rsid w:val="00502323"/>
    <w:rsid w:val="00502D18"/>
    <w:rsid w:val="00503083"/>
    <w:rsid w:val="00503AEA"/>
    <w:rsid w:val="0050466C"/>
    <w:rsid w:val="00504B2D"/>
    <w:rsid w:val="00504C09"/>
    <w:rsid w:val="005051D3"/>
    <w:rsid w:val="00505794"/>
    <w:rsid w:val="00506878"/>
    <w:rsid w:val="00506C63"/>
    <w:rsid w:val="00507AFF"/>
    <w:rsid w:val="00507D3C"/>
    <w:rsid w:val="00510598"/>
    <w:rsid w:val="0051084E"/>
    <w:rsid w:val="005129C2"/>
    <w:rsid w:val="005154C0"/>
    <w:rsid w:val="005154CB"/>
    <w:rsid w:val="005216ED"/>
    <w:rsid w:val="00522F39"/>
    <w:rsid w:val="005231D9"/>
    <w:rsid w:val="005237D4"/>
    <w:rsid w:val="00523F03"/>
    <w:rsid w:val="005241B9"/>
    <w:rsid w:val="00524376"/>
    <w:rsid w:val="00526CBB"/>
    <w:rsid w:val="00527885"/>
    <w:rsid w:val="005304F3"/>
    <w:rsid w:val="005306FF"/>
    <w:rsid w:val="00530DC7"/>
    <w:rsid w:val="00531883"/>
    <w:rsid w:val="00531EFE"/>
    <w:rsid w:val="005320A3"/>
    <w:rsid w:val="005322A2"/>
    <w:rsid w:val="00533330"/>
    <w:rsid w:val="00533F33"/>
    <w:rsid w:val="0053426F"/>
    <w:rsid w:val="00534BAB"/>
    <w:rsid w:val="00536ACD"/>
    <w:rsid w:val="00540153"/>
    <w:rsid w:val="005404E0"/>
    <w:rsid w:val="0054200E"/>
    <w:rsid w:val="00542031"/>
    <w:rsid w:val="00542708"/>
    <w:rsid w:val="00543B8A"/>
    <w:rsid w:val="00544804"/>
    <w:rsid w:val="00544FBD"/>
    <w:rsid w:val="00545268"/>
    <w:rsid w:val="005460F9"/>
    <w:rsid w:val="00546630"/>
    <w:rsid w:val="00547499"/>
    <w:rsid w:val="0054796B"/>
    <w:rsid w:val="00547AE3"/>
    <w:rsid w:val="005510B5"/>
    <w:rsid w:val="00551270"/>
    <w:rsid w:val="005517F2"/>
    <w:rsid w:val="005522E7"/>
    <w:rsid w:val="005523EB"/>
    <w:rsid w:val="00553D88"/>
    <w:rsid w:val="005612D5"/>
    <w:rsid w:val="005617D8"/>
    <w:rsid w:val="00561AC0"/>
    <w:rsid w:val="0056448A"/>
    <w:rsid w:val="00565AB0"/>
    <w:rsid w:val="00565AFE"/>
    <w:rsid w:val="00565B06"/>
    <w:rsid w:val="00566892"/>
    <w:rsid w:val="005670A7"/>
    <w:rsid w:val="005675DD"/>
    <w:rsid w:val="0056782D"/>
    <w:rsid w:val="005707CF"/>
    <w:rsid w:val="00574B67"/>
    <w:rsid w:val="00575DBD"/>
    <w:rsid w:val="00576C4C"/>
    <w:rsid w:val="005774DF"/>
    <w:rsid w:val="00577DD9"/>
    <w:rsid w:val="00581FBD"/>
    <w:rsid w:val="00583B69"/>
    <w:rsid w:val="00583C5C"/>
    <w:rsid w:val="005854EE"/>
    <w:rsid w:val="00586548"/>
    <w:rsid w:val="00587703"/>
    <w:rsid w:val="0059217F"/>
    <w:rsid w:val="005936D8"/>
    <w:rsid w:val="00593A6B"/>
    <w:rsid w:val="0059401F"/>
    <w:rsid w:val="00595458"/>
    <w:rsid w:val="005957D0"/>
    <w:rsid w:val="0059645D"/>
    <w:rsid w:val="00597F4B"/>
    <w:rsid w:val="005A0874"/>
    <w:rsid w:val="005A30C7"/>
    <w:rsid w:val="005A3541"/>
    <w:rsid w:val="005A3F1F"/>
    <w:rsid w:val="005A43E5"/>
    <w:rsid w:val="005A64C4"/>
    <w:rsid w:val="005A6833"/>
    <w:rsid w:val="005A7239"/>
    <w:rsid w:val="005A7C41"/>
    <w:rsid w:val="005B0D0D"/>
    <w:rsid w:val="005B1831"/>
    <w:rsid w:val="005B22F2"/>
    <w:rsid w:val="005B3A5D"/>
    <w:rsid w:val="005B3F17"/>
    <w:rsid w:val="005B4576"/>
    <w:rsid w:val="005B52AA"/>
    <w:rsid w:val="005B5FBF"/>
    <w:rsid w:val="005C1666"/>
    <w:rsid w:val="005C3276"/>
    <w:rsid w:val="005C4F88"/>
    <w:rsid w:val="005C585B"/>
    <w:rsid w:val="005C5934"/>
    <w:rsid w:val="005C628F"/>
    <w:rsid w:val="005C637B"/>
    <w:rsid w:val="005D1E0A"/>
    <w:rsid w:val="005D69F3"/>
    <w:rsid w:val="005D6D7E"/>
    <w:rsid w:val="005D71FC"/>
    <w:rsid w:val="005D7D42"/>
    <w:rsid w:val="005E107C"/>
    <w:rsid w:val="005E1A54"/>
    <w:rsid w:val="005E2FE0"/>
    <w:rsid w:val="005E5ADB"/>
    <w:rsid w:val="005E67EE"/>
    <w:rsid w:val="005F022F"/>
    <w:rsid w:val="005F1EDA"/>
    <w:rsid w:val="005F28C8"/>
    <w:rsid w:val="005F2BF5"/>
    <w:rsid w:val="005F47FA"/>
    <w:rsid w:val="005F4BA8"/>
    <w:rsid w:val="005F565C"/>
    <w:rsid w:val="005F57C3"/>
    <w:rsid w:val="005F787B"/>
    <w:rsid w:val="006010C0"/>
    <w:rsid w:val="00602987"/>
    <w:rsid w:val="00602E96"/>
    <w:rsid w:val="0060380A"/>
    <w:rsid w:val="00603A1A"/>
    <w:rsid w:val="00603AC9"/>
    <w:rsid w:val="0060517B"/>
    <w:rsid w:val="0060694A"/>
    <w:rsid w:val="0060766C"/>
    <w:rsid w:val="00607DEA"/>
    <w:rsid w:val="00610861"/>
    <w:rsid w:val="00610A9E"/>
    <w:rsid w:val="00610EFB"/>
    <w:rsid w:val="00611BC5"/>
    <w:rsid w:val="00611E7D"/>
    <w:rsid w:val="0061360B"/>
    <w:rsid w:val="006151BE"/>
    <w:rsid w:val="00617662"/>
    <w:rsid w:val="00620F12"/>
    <w:rsid w:val="00623B8D"/>
    <w:rsid w:val="00624633"/>
    <w:rsid w:val="006251C4"/>
    <w:rsid w:val="0062616D"/>
    <w:rsid w:val="006276B0"/>
    <w:rsid w:val="00630A88"/>
    <w:rsid w:val="00630B1A"/>
    <w:rsid w:val="00632345"/>
    <w:rsid w:val="0063312F"/>
    <w:rsid w:val="00633504"/>
    <w:rsid w:val="006341E3"/>
    <w:rsid w:val="0063580F"/>
    <w:rsid w:val="00635A39"/>
    <w:rsid w:val="006361C7"/>
    <w:rsid w:val="0064110F"/>
    <w:rsid w:val="00643940"/>
    <w:rsid w:val="006440B9"/>
    <w:rsid w:val="006454E6"/>
    <w:rsid w:val="006468D2"/>
    <w:rsid w:val="006469FD"/>
    <w:rsid w:val="00650B68"/>
    <w:rsid w:val="0065203C"/>
    <w:rsid w:val="00653034"/>
    <w:rsid w:val="00653B63"/>
    <w:rsid w:val="006547D7"/>
    <w:rsid w:val="006553FB"/>
    <w:rsid w:val="006556E2"/>
    <w:rsid w:val="00655EAF"/>
    <w:rsid w:val="006564F0"/>
    <w:rsid w:val="00656F1B"/>
    <w:rsid w:val="00660603"/>
    <w:rsid w:val="00660802"/>
    <w:rsid w:val="0066125A"/>
    <w:rsid w:val="00661DC8"/>
    <w:rsid w:val="00662BE8"/>
    <w:rsid w:val="00662E60"/>
    <w:rsid w:val="006644E2"/>
    <w:rsid w:val="006645F4"/>
    <w:rsid w:val="00664D69"/>
    <w:rsid w:val="006655F7"/>
    <w:rsid w:val="00665804"/>
    <w:rsid w:val="006678F8"/>
    <w:rsid w:val="006702AB"/>
    <w:rsid w:val="00671723"/>
    <w:rsid w:val="00674DBD"/>
    <w:rsid w:val="00674F17"/>
    <w:rsid w:val="006750EC"/>
    <w:rsid w:val="00675713"/>
    <w:rsid w:val="00675CC0"/>
    <w:rsid w:val="00676DD6"/>
    <w:rsid w:val="006801F3"/>
    <w:rsid w:val="006806AE"/>
    <w:rsid w:val="00680E54"/>
    <w:rsid w:val="00681F25"/>
    <w:rsid w:val="0068205F"/>
    <w:rsid w:val="006827E4"/>
    <w:rsid w:val="006828AE"/>
    <w:rsid w:val="00684FE5"/>
    <w:rsid w:val="006861FC"/>
    <w:rsid w:val="006862E6"/>
    <w:rsid w:val="0068666C"/>
    <w:rsid w:val="00686F64"/>
    <w:rsid w:val="00687D7C"/>
    <w:rsid w:val="006920CD"/>
    <w:rsid w:val="00692B87"/>
    <w:rsid w:val="00693131"/>
    <w:rsid w:val="006933BE"/>
    <w:rsid w:val="0069498D"/>
    <w:rsid w:val="006954B4"/>
    <w:rsid w:val="00695AF0"/>
    <w:rsid w:val="00696FFA"/>
    <w:rsid w:val="00697CB2"/>
    <w:rsid w:val="006A3C98"/>
    <w:rsid w:val="006A4327"/>
    <w:rsid w:val="006A58A1"/>
    <w:rsid w:val="006A5B61"/>
    <w:rsid w:val="006A6F38"/>
    <w:rsid w:val="006A6FA1"/>
    <w:rsid w:val="006B18B3"/>
    <w:rsid w:val="006B2626"/>
    <w:rsid w:val="006B2D61"/>
    <w:rsid w:val="006B3981"/>
    <w:rsid w:val="006B3DF8"/>
    <w:rsid w:val="006B4E62"/>
    <w:rsid w:val="006B50F9"/>
    <w:rsid w:val="006B5532"/>
    <w:rsid w:val="006B64F0"/>
    <w:rsid w:val="006B7354"/>
    <w:rsid w:val="006B73FC"/>
    <w:rsid w:val="006C1AFD"/>
    <w:rsid w:val="006C3D20"/>
    <w:rsid w:val="006C5277"/>
    <w:rsid w:val="006C54CE"/>
    <w:rsid w:val="006C5F5F"/>
    <w:rsid w:val="006C6639"/>
    <w:rsid w:val="006D0D61"/>
    <w:rsid w:val="006D0FBE"/>
    <w:rsid w:val="006D16AE"/>
    <w:rsid w:val="006D18BD"/>
    <w:rsid w:val="006D29B1"/>
    <w:rsid w:val="006D4460"/>
    <w:rsid w:val="006D5FC8"/>
    <w:rsid w:val="006D6B2F"/>
    <w:rsid w:val="006D6FA2"/>
    <w:rsid w:val="006D7C02"/>
    <w:rsid w:val="006E02E8"/>
    <w:rsid w:val="006E0B2B"/>
    <w:rsid w:val="006E1BC2"/>
    <w:rsid w:val="006E2EFB"/>
    <w:rsid w:val="006E32FE"/>
    <w:rsid w:val="006E3D4E"/>
    <w:rsid w:val="006E3F83"/>
    <w:rsid w:val="006E40E5"/>
    <w:rsid w:val="006E4899"/>
    <w:rsid w:val="006E4CFE"/>
    <w:rsid w:val="006E51F5"/>
    <w:rsid w:val="006E5CF7"/>
    <w:rsid w:val="006E606C"/>
    <w:rsid w:val="006E6C15"/>
    <w:rsid w:val="006E6C1B"/>
    <w:rsid w:val="006E7418"/>
    <w:rsid w:val="006F0069"/>
    <w:rsid w:val="006F074F"/>
    <w:rsid w:val="006F0B1C"/>
    <w:rsid w:val="006F0F87"/>
    <w:rsid w:val="006F1139"/>
    <w:rsid w:val="006F14A2"/>
    <w:rsid w:val="006F2D1E"/>
    <w:rsid w:val="006F49B1"/>
    <w:rsid w:val="006F5882"/>
    <w:rsid w:val="006F5C36"/>
    <w:rsid w:val="006F6A06"/>
    <w:rsid w:val="006F6C81"/>
    <w:rsid w:val="006F7196"/>
    <w:rsid w:val="00701118"/>
    <w:rsid w:val="00703CAF"/>
    <w:rsid w:val="00703CE6"/>
    <w:rsid w:val="0070510C"/>
    <w:rsid w:val="00705C6C"/>
    <w:rsid w:val="007065C6"/>
    <w:rsid w:val="00706B51"/>
    <w:rsid w:val="00706F54"/>
    <w:rsid w:val="007070F7"/>
    <w:rsid w:val="00707B97"/>
    <w:rsid w:val="00707C02"/>
    <w:rsid w:val="00713958"/>
    <w:rsid w:val="007139EF"/>
    <w:rsid w:val="00715365"/>
    <w:rsid w:val="00717360"/>
    <w:rsid w:val="00717463"/>
    <w:rsid w:val="007211E4"/>
    <w:rsid w:val="0072185B"/>
    <w:rsid w:val="007220F2"/>
    <w:rsid w:val="00722468"/>
    <w:rsid w:val="00722D05"/>
    <w:rsid w:val="007235B8"/>
    <w:rsid w:val="00723791"/>
    <w:rsid w:val="00725F2B"/>
    <w:rsid w:val="00726A91"/>
    <w:rsid w:val="007308A6"/>
    <w:rsid w:val="00731716"/>
    <w:rsid w:val="0073205F"/>
    <w:rsid w:val="00732194"/>
    <w:rsid w:val="00732256"/>
    <w:rsid w:val="00733119"/>
    <w:rsid w:val="0073316C"/>
    <w:rsid w:val="0073332F"/>
    <w:rsid w:val="00737555"/>
    <w:rsid w:val="00743F27"/>
    <w:rsid w:val="00744FFF"/>
    <w:rsid w:val="00750174"/>
    <w:rsid w:val="00750AB9"/>
    <w:rsid w:val="00751684"/>
    <w:rsid w:val="0075215C"/>
    <w:rsid w:val="007527D4"/>
    <w:rsid w:val="00752B0E"/>
    <w:rsid w:val="00752CC6"/>
    <w:rsid w:val="00753366"/>
    <w:rsid w:val="00753864"/>
    <w:rsid w:val="0075393C"/>
    <w:rsid w:val="00753CDF"/>
    <w:rsid w:val="00755A88"/>
    <w:rsid w:val="007565A9"/>
    <w:rsid w:val="00761BFB"/>
    <w:rsid w:val="007627EA"/>
    <w:rsid w:val="00762DAB"/>
    <w:rsid w:val="00763CFE"/>
    <w:rsid w:val="00763F48"/>
    <w:rsid w:val="007649E4"/>
    <w:rsid w:val="007658EF"/>
    <w:rsid w:val="0077055C"/>
    <w:rsid w:val="00770FF3"/>
    <w:rsid w:val="00772010"/>
    <w:rsid w:val="0077227F"/>
    <w:rsid w:val="00772376"/>
    <w:rsid w:val="00772522"/>
    <w:rsid w:val="007726A9"/>
    <w:rsid w:val="007732C0"/>
    <w:rsid w:val="007808ED"/>
    <w:rsid w:val="00782837"/>
    <w:rsid w:val="007830DF"/>
    <w:rsid w:val="0078458D"/>
    <w:rsid w:val="00784EE6"/>
    <w:rsid w:val="00786EA6"/>
    <w:rsid w:val="007874B3"/>
    <w:rsid w:val="00791FB0"/>
    <w:rsid w:val="00792439"/>
    <w:rsid w:val="00793037"/>
    <w:rsid w:val="007956E4"/>
    <w:rsid w:val="0079719F"/>
    <w:rsid w:val="0079798B"/>
    <w:rsid w:val="00797FD9"/>
    <w:rsid w:val="007A2481"/>
    <w:rsid w:val="007A47A2"/>
    <w:rsid w:val="007A54A1"/>
    <w:rsid w:val="007A594B"/>
    <w:rsid w:val="007A5FDB"/>
    <w:rsid w:val="007A6F59"/>
    <w:rsid w:val="007A70D4"/>
    <w:rsid w:val="007A740D"/>
    <w:rsid w:val="007A7A52"/>
    <w:rsid w:val="007A7BE7"/>
    <w:rsid w:val="007B06E8"/>
    <w:rsid w:val="007B1146"/>
    <w:rsid w:val="007B2FEE"/>
    <w:rsid w:val="007B55A3"/>
    <w:rsid w:val="007B6803"/>
    <w:rsid w:val="007B68E5"/>
    <w:rsid w:val="007B7661"/>
    <w:rsid w:val="007B7DC1"/>
    <w:rsid w:val="007B7FA2"/>
    <w:rsid w:val="007C0137"/>
    <w:rsid w:val="007C1AE0"/>
    <w:rsid w:val="007C2622"/>
    <w:rsid w:val="007C2E08"/>
    <w:rsid w:val="007C79E2"/>
    <w:rsid w:val="007C7FAB"/>
    <w:rsid w:val="007D0125"/>
    <w:rsid w:val="007D05FA"/>
    <w:rsid w:val="007D0D31"/>
    <w:rsid w:val="007D1389"/>
    <w:rsid w:val="007D19D8"/>
    <w:rsid w:val="007D1BF0"/>
    <w:rsid w:val="007D20D6"/>
    <w:rsid w:val="007D2C46"/>
    <w:rsid w:val="007D4BA2"/>
    <w:rsid w:val="007D60FF"/>
    <w:rsid w:val="007D690D"/>
    <w:rsid w:val="007D76A6"/>
    <w:rsid w:val="007E033F"/>
    <w:rsid w:val="007E0AAC"/>
    <w:rsid w:val="007E1743"/>
    <w:rsid w:val="007E3499"/>
    <w:rsid w:val="007F16FF"/>
    <w:rsid w:val="007F1D35"/>
    <w:rsid w:val="007F22CA"/>
    <w:rsid w:val="007F2ED1"/>
    <w:rsid w:val="007F315D"/>
    <w:rsid w:val="007F3858"/>
    <w:rsid w:val="007F44C6"/>
    <w:rsid w:val="00800408"/>
    <w:rsid w:val="00800E58"/>
    <w:rsid w:val="00801F85"/>
    <w:rsid w:val="00801FD7"/>
    <w:rsid w:val="00806551"/>
    <w:rsid w:val="00806DB6"/>
    <w:rsid w:val="00807BC6"/>
    <w:rsid w:val="00807C8B"/>
    <w:rsid w:val="00807F2C"/>
    <w:rsid w:val="00810041"/>
    <w:rsid w:val="008101E3"/>
    <w:rsid w:val="008112BF"/>
    <w:rsid w:val="00812E06"/>
    <w:rsid w:val="00813A53"/>
    <w:rsid w:val="00813E02"/>
    <w:rsid w:val="00815157"/>
    <w:rsid w:val="0081586A"/>
    <w:rsid w:val="0081633B"/>
    <w:rsid w:val="00817625"/>
    <w:rsid w:val="00817F52"/>
    <w:rsid w:val="008214F7"/>
    <w:rsid w:val="00821848"/>
    <w:rsid w:val="00823747"/>
    <w:rsid w:val="008246C2"/>
    <w:rsid w:val="00824BF9"/>
    <w:rsid w:val="00824D29"/>
    <w:rsid w:val="00825664"/>
    <w:rsid w:val="008256CB"/>
    <w:rsid w:val="00825E47"/>
    <w:rsid w:val="00827B45"/>
    <w:rsid w:val="00827CC6"/>
    <w:rsid w:val="00830C68"/>
    <w:rsid w:val="00832173"/>
    <w:rsid w:val="0083230C"/>
    <w:rsid w:val="00834E23"/>
    <w:rsid w:val="00835D65"/>
    <w:rsid w:val="00836A74"/>
    <w:rsid w:val="00842187"/>
    <w:rsid w:val="0084222D"/>
    <w:rsid w:val="00844041"/>
    <w:rsid w:val="008459F2"/>
    <w:rsid w:val="008507B7"/>
    <w:rsid w:val="00853087"/>
    <w:rsid w:val="00853101"/>
    <w:rsid w:val="00854D70"/>
    <w:rsid w:val="0085550E"/>
    <w:rsid w:val="008636C4"/>
    <w:rsid w:val="00863BAC"/>
    <w:rsid w:val="00865147"/>
    <w:rsid w:val="00867123"/>
    <w:rsid w:val="00867887"/>
    <w:rsid w:val="00870CDA"/>
    <w:rsid w:val="0087291E"/>
    <w:rsid w:val="00872D1C"/>
    <w:rsid w:val="00874A74"/>
    <w:rsid w:val="008752FA"/>
    <w:rsid w:val="00875E77"/>
    <w:rsid w:val="00876B93"/>
    <w:rsid w:val="0087749E"/>
    <w:rsid w:val="00877660"/>
    <w:rsid w:val="00877D28"/>
    <w:rsid w:val="00881886"/>
    <w:rsid w:val="00882152"/>
    <w:rsid w:val="0088531B"/>
    <w:rsid w:val="008853E8"/>
    <w:rsid w:val="00885537"/>
    <w:rsid w:val="00885A50"/>
    <w:rsid w:val="0088779F"/>
    <w:rsid w:val="0089035C"/>
    <w:rsid w:val="008917BF"/>
    <w:rsid w:val="00891B74"/>
    <w:rsid w:val="0089338F"/>
    <w:rsid w:val="0089345E"/>
    <w:rsid w:val="0089416C"/>
    <w:rsid w:val="00894ED8"/>
    <w:rsid w:val="00895EAB"/>
    <w:rsid w:val="00896160"/>
    <w:rsid w:val="00896816"/>
    <w:rsid w:val="00896914"/>
    <w:rsid w:val="008A1522"/>
    <w:rsid w:val="008A2093"/>
    <w:rsid w:val="008A2EDF"/>
    <w:rsid w:val="008A3668"/>
    <w:rsid w:val="008A36F9"/>
    <w:rsid w:val="008A4DE3"/>
    <w:rsid w:val="008A6BC2"/>
    <w:rsid w:val="008A7729"/>
    <w:rsid w:val="008B00FF"/>
    <w:rsid w:val="008B060A"/>
    <w:rsid w:val="008B080D"/>
    <w:rsid w:val="008B1610"/>
    <w:rsid w:val="008B21CE"/>
    <w:rsid w:val="008B473B"/>
    <w:rsid w:val="008B52F9"/>
    <w:rsid w:val="008B5855"/>
    <w:rsid w:val="008B5D6A"/>
    <w:rsid w:val="008B6583"/>
    <w:rsid w:val="008B77A0"/>
    <w:rsid w:val="008B7E4E"/>
    <w:rsid w:val="008C01C9"/>
    <w:rsid w:val="008C0454"/>
    <w:rsid w:val="008C15A9"/>
    <w:rsid w:val="008C1DE2"/>
    <w:rsid w:val="008C247F"/>
    <w:rsid w:val="008C2E9E"/>
    <w:rsid w:val="008C341F"/>
    <w:rsid w:val="008C3421"/>
    <w:rsid w:val="008C44D9"/>
    <w:rsid w:val="008C5865"/>
    <w:rsid w:val="008C5FC0"/>
    <w:rsid w:val="008C6789"/>
    <w:rsid w:val="008C74B6"/>
    <w:rsid w:val="008C7CB1"/>
    <w:rsid w:val="008D226D"/>
    <w:rsid w:val="008D3249"/>
    <w:rsid w:val="008D3F6A"/>
    <w:rsid w:val="008D43A2"/>
    <w:rsid w:val="008D4442"/>
    <w:rsid w:val="008D474A"/>
    <w:rsid w:val="008D7A55"/>
    <w:rsid w:val="008E03F1"/>
    <w:rsid w:val="008E04FA"/>
    <w:rsid w:val="008E1977"/>
    <w:rsid w:val="008E20DD"/>
    <w:rsid w:val="008E2DD3"/>
    <w:rsid w:val="008E3B26"/>
    <w:rsid w:val="008F272A"/>
    <w:rsid w:val="008F2969"/>
    <w:rsid w:val="008F30C2"/>
    <w:rsid w:val="008F380F"/>
    <w:rsid w:val="008F4287"/>
    <w:rsid w:val="008F471F"/>
    <w:rsid w:val="008F5391"/>
    <w:rsid w:val="008F53B5"/>
    <w:rsid w:val="008F5831"/>
    <w:rsid w:val="008F76D5"/>
    <w:rsid w:val="008F79EA"/>
    <w:rsid w:val="008F7F6C"/>
    <w:rsid w:val="00900EAC"/>
    <w:rsid w:val="0090178F"/>
    <w:rsid w:val="00902577"/>
    <w:rsid w:val="009025DF"/>
    <w:rsid w:val="00902E43"/>
    <w:rsid w:val="00904BFD"/>
    <w:rsid w:val="00905204"/>
    <w:rsid w:val="00905356"/>
    <w:rsid w:val="00906816"/>
    <w:rsid w:val="009073AF"/>
    <w:rsid w:val="00910434"/>
    <w:rsid w:val="00911764"/>
    <w:rsid w:val="00911AF9"/>
    <w:rsid w:val="00911FFF"/>
    <w:rsid w:val="009127BA"/>
    <w:rsid w:val="00912E13"/>
    <w:rsid w:val="00913ADB"/>
    <w:rsid w:val="00914077"/>
    <w:rsid w:val="0091506F"/>
    <w:rsid w:val="009163ED"/>
    <w:rsid w:val="00917A15"/>
    <w:rsid w:val="00920DE1"/>
    <w:rsid w:val="009211AA"/>
    <w:rsid w:val="00921EB6"/>
    <w:rsid w:val="00922008"/>
    <w:rsid w:val="00923C48"/>
    <w:rsid w:val="00923EBC"/>
    <w:rsid w:val="00924FCB"/>
    <w:rsid w:val="00931283"/>
    <w:rsid w:val="00931BF0"/>
    <w:rsid w:val="009323DF"/>
    <w:rsid w:val="0093523A"/>
    <w:rsid w:val="0093585C"/>
    <w:rsid w:val="00935F58"/>
    <w:rsid w:val="009374CE"/>
    <w:rsid w:val="00940329"/>
    <w:rsid w:val="009408C2"/>
    <w:rsid w:val="00941089"/>
    <w:rsid w:val="0094561B"/>
    <w:rsid w:val="009468AC"/>
    <w:rsid w:val="00952596"/>
    <w:rsid w:val="009548AA"/>
    <w:rsid w:val="00954A24"/>
    <w:rsid w:val="0095643C"/>
    <w:rsid w:val="00957264"/>
    <w:rsid w:val="009574FD"/>
    <w:rsid w:val="00957AE5"/>
    <w:rsid w:val="00961D5A"/>
    <w:rsid w:val="00963187"/>
    <w:rsid w:val="009634DD"/>
    <w:rsid w:val="00964127"/>
    <w:rsid w:val="0096442C"/>
    <w:rsid w:val="0096606C"/>
    <w:rsid w:val="009705B9"/>
    <w:rsid w:val="00970D93"/>
    <w:rsid w:val="009712F9"/>
    <w:rsid w:val="0097269E"/>
    <w:rsid w:val="00973FED"/>
    <w:rsid w:val="00974AF2"/>
    <w:rsid w:val="00976255"/>
    <w:rsid w:val="00977B79"/>
    <w:rsid w:val="00980845"/>
    <w:rsid w:val="00980A8F"/>
    <w:rsid w:val="00980D67"/>
    <w:rsid w:val="00984423"/>
    <w:rsid w:val="00985B5E"/>
    <w:rsid w:val="0098665A"/>
    <w:rsid w:val="0098785A"/>
    <w:rsid w:val="00991856"/>
    <w:rsid w:val="00991F58"/>
    <w:rsid w:val="009930EE"/>
    <w:rsid w:val="0099482D"/>
    <w:rsid w:val="00994A1C"/>
    <w:rsid w:val="0099515D"/>
    <w:rsid w:val="009967B5"/>
    <w:rsid w:val="009A11F8"/>
    <w:rsid w:val="009A2AAB"/>
    <w:rsid w:val="009A4568"/>
    <w:rsid w:val="009A528E"/>
    <w:rsid w:val="009B0B0B"/>
    <w:rsid w:val="009B0FB6"/>
    <w:rsid w:val="009B1461"/>
    <w:rsid w:val="009B29A0"/>
    <w:rsid w:val="009C65FB"/>
    <w:rsid w:val="009C790A"/>
    <w:rsid w:val="009C7F70"/>
    <w:rsid w:val="009D02F8"/>
    <w:rsid w:val="009D22C3"/>
    <w:rsid w:val="009D2EF7"/>
    <w:rsid w:val="009D3C53"/>
    <w:rsid w:val="009D48D4"/>
    <w:rsid w:val="009D536A"/>
    <w:rsid w:val="009D5E7A"/>
    <w:rsid w:val="009D60D2"/>
    <w:rsid w:val="009D7762"/>
    <w:rsid w:val="009E0C28"/>
    <w:rsid w:val="009E0E30"/>
    <w:rsid w:val="009E2374"/>
    <w:rsid w:val="009E2C8E"/>
    <w:rsid w:val="009E4B22"/>
    <w:rsid w:val="009E6055"/>
    <w:rsid w:val="009E654E"/>
    <w:rsid w:val="009E6732"/>
    <w:rsid w:val="009E6C86"/>
    <w:rsid w:val="009F4750"/>
    <w:rsid w:val="009F494B"/>
    <w:rsid w:val="009F646C"/>
    <w:rsid w:val="009F7946"/>
    <w:rsid w:val="00A001B9"/>
    <w:rsid w:val="00A01AC8"/>
    <w:rsid w:val="00A02A9D"/>
    <w:rsid w:val="00A03EA6"/>
    <w:rsid w:val="00A04CF1"/>
    <w:rsid w:val="00A05DE9"/>
    <w:rsid w:val="00A0606F"/>
    <w:rsid w:val="00A078C2"/>
    <w:rsid w:val="00A10EF1"/>
    <w:rsid w:val="00A12AEE"/>
    <w:rsid w:val="00A13214"/>
    <w:rsid w:val="00A13747"/>
    <w:rsid w:val="00A13C1F"/>
    <w:rsid w:val="00A13F93"/>
    <w:rsid w:val="00A14228"/>
    <w:rsid w:val="00A14A82"/>
    <w:rsid w:val="00A15018"/>
    <w:rsid w:val="00A16F23"/>
    <w:rsid w:val="00A17037"/>
    <w:rsid w:val="00A2064E"/>
    <w:rsid w:val="00A20927"/>
    <w:rsid w:val="00A209C9"/>
    <w:rsid w:val="00A21D04"/>
    <w:rsid w:val="00A22E27"/>
    <w:rsid w:val="00A24069"/>
    <w:rsid w:val="00A244A0"/>
    <w:rsid w:val="00A2511C"/>
    <w:rsid w:val="00A2525E"/>
    <w:rsid w:val="00A25651"/>
    <w:rsid w:val="00A313F0"/>
    <w:rsid w:val="00A334FF"/>
    <w:rsid w:val="00A33584"/>
    <w:rsid w:val="00A378D9"/>
    <w:rsid w:val="00A3799A"/>
    <w:rsid w:val="00A4487D"/>
    <w:rsid w:val="00A47194"/>
    <w:rsid w:val="00A47847"/>
    <w:rsid w:val="00A47EA8"/>
    <w:rsid w:val="00A5256F"/>
    <w:rsid w:val="00A5299A"/>
    <w:rsid w:val="00A52A3C"/>
    <w:rsid w:val="00A52E9B"/>
    <w:rsid w:val="00A5356E"/>
    <w:rsid w:val="00A54891"/>
    <w:rsid w:val="00A5721D"/>
    <w:rsid w:val="00A573AC"/>
    <w:rsid w:val="00A57A64"/>
    <w:rsid w:val="00A60D93"/>
    <w:rsid w:val="00A6353E"/>
    <w:rsid w:val="00A655BA"/>
    <w:rsid w:val="00A66131"/>
    <w:rsid w:val="00A670A1"/>
    <w:rsid w:val="00A67A96"/>
    <w:rsid w:val="00A67B87"/>
    <w:rsid w:val="00A722A9"/>
    <w:rsid w:val="00A73AAD"/>
    <w:rsid w:val="00A74098"/>
    <w:rsid w:val="00A74418"/>
    <w:rsid w:val="00A74EB9"/>
    <w:rsid w:val="00A763C3"/>
    <w:rsid w:val="00A772DF"/>
    <w:rsid w:val="00A82371"/>
    <w:rsid w:val="00A82FEC"/>
    <w:rsid w:val="00A83DCA"/>
    <w:rsid w:val="00A8529C"/>
    <w:rsid w:val="00A8569C"/>
    <w:rsid w:val="00A86553"/>
    <w:rsid w:val="00A86DA8"/>
    <w:rsid w:val="00A87A15"/>
    <w:rsid w:val="00A90B1A"/>
    <w:rsid w:val="00A90B68"/>
    <w:rsid w:val="00A92F39"/>
    <w:rsid w:val="00A93AAE"/>
    <w:rsid w:val="00A949F7"/>
    <w:rsid w:val="00A94F71"/>
    <w:rsid w:val="00A9556F"/>
    <w:rsid w:val="00A957B7"/>
    <w:rsid w:val="00A970DE"/>
    <w:rsid w:val="00AA082E"/>
    <w:rsid w:val="00AA0EBA"/>
    <w:rsid w:val="00AA1EBA"/>
    <w:rsid w:val="00AA36D4"/>
    <w:rsid w:val="00AA3EE9"/>
    <w:rsid w:val="00AA46D5"/>
    <w:rsid w:val="00AA490A"/>
    <w:rsid w:val="00AA565E"/>
    <w:rsid w:val="00AA5BB1"/>
    <w:rsid w:val="00AA6528"/>
    <w:rsid w:val="00AB0D89"/>
    <w:rsid w:val="00AB1A77"/>
    <w:rsid w:val="00AB1DDA"/>
    <w:rsid w:val="00AB2B4C"/>
    <w:rsid w:val="00AB3351"/>
    <w:rsid w:val="00AB3FF4"/>
    <w:rsid w:val="00AB47FB"/>
    <w:rsid w:val="00AB75B3"/>
    <w:rsid w:val="00AC020A"/>
    <w:rsid w:val="00AC0210"/>
    <w:rsid w:val="00AC0DE1"/>
    <w:rsid w:val="00AC110E"/>
    <w:rsid w:val="00AC1EE8"/>
    <w:rsid w:val="00AC2AE1"/>
    <w:rsid w:val="00AC5214"/>
    <w:rsid w:val="00AC65DE"/>
    <w:rsid w:val="00AC6BF6"/>
    <w:rsid w:val="00AD0174"/>
    <w:rsid w:val="00AD0871"/>
    <w:rsid w:val="00AD0E7B"/>
    <w:rsid w:val="00AD2EFD"/>
    <w:rsid w:val="00AD4302"/>
    <w:rsid w:val="00AD5629"/>
    <w:rsid w:val="00AD5960"/>
    <w:rsid w:val="00AE0D6F"/>
    <w:rsid w:val="00AE4896"/>
    <w:rsid w:val="00AE505F"/>
    <w:rsid w:val="00AE6559"/>
    <w:rsid w:val="00AE7599"/>
    <w:rsid w:val="00AF1617"/>
    <w:rsid w:val="00AF3348"/>
    <w:rsid w:val="00AF37A0"/>
    <w:rsid w:val="00AF5CFD"/>
    <w:rsid w:val="00AF7246"/>
    <w:rsid w:val="00B00573"/>
    <w:rsid w:val="00B009FA"/>
    <w:rsid w:val="00B022C9"/>
    <w:rsid w:val="00B03183"/>
    <w:rsid w:val="00B0347D"/>
    <w:rsid w:val="00B0498A"/>
    <w:rsid w:val="00B05C65"/>
    <w:rsid w:val="00B06A65"/>
    <w:rsid w:val="00B07122"/>
    <w:rsid w:val="00B07705"/>
    <w:rsid w:val="00B07780"/>
    <w:rsid w:val="00B11116"/>
    <w:rsid w:val="00B11797"/>
    <w:rsid w:val="00B15188"/>
    <w:rsid w:val="00B16A1A"/>
    <w:rsid w:val="00B17357"/>
    <w:rsid w:val="00B20B7F"/>
    <w:rsid w:val="00B21123"/>
    <w:rsid w:val="00B2174E"/>
    <w:rsid w:val="00B2198D"/>
    <w:rsid w:val="00B23475"/>
    <w:rsid w:val="00B23836"/>
    <w:rsid w:val="00B24C85"/>
    <w:rsid w:val="00B24D21"/>
    <w:rsid w:val="00B25B49"/>
    <w:rsid w:val="00B25D1B"/>
    <w:rsid w:val="00B25F41"/>
    <w:rsid w:val="00B26ED6"/>
    <w:rsid w:val="00B2731E"/>
    <w:rsid w:val="00B30058"/>
    <w:rsid w:val="00B30E76"/>
    <w:rsid w:val="00B341FE"/>
    <w:rsid w:val="00B35861"/>
    <w:rsid w:val="00B35CEB"/>
    <w:rsid w:val="00B36CD0"/>
    <w:rsid w:val="00B37B85"/>
    <w:rsid w:val="00B41E5E"/>
    <w:rsid w:val="00B43163"/>
    <w:rsid w:val="00B448B2"/>
    <w:rsid w:val="00B4532E"/>
    <w:rsid w:val="00B4559A"/>
    <w:rsid w:val="00B46799"/>
    <w:rsid w:val="00B5282E"/>
    <w:rsid w:val="00B53FB1"/>
    <w:rsid w:val="00B5741F"/>
    <w:rsid w:val="00B576D6"/>
    <w:rsid w:val="00B613D2"/>
    <w:rsid w:val="00B61414"/>
    <w:rsid w:val="00B61F12"/>
    <w:rsid w:val="00B638C8"/>
    <w:rsid w:val="00B64F94"/>
    <w:rsid w:val="00B65633"/>
    <w:rsid w:val="00B663FD"/>
    <w:rsid w:val="00B66B4C"/>
    <w:rsid w:val="00B67938"/>
    <w:rsid w:val="00B70428"/>
    <w:rsid w:val="00B70741"/>
    <w:rsid w:val="00B70973"/>
    <w:rsid w:val="00B7139F"/>
    <w:rsid w:val="00B734CF"/>
    <w:rsid w:val="00B7384C"/>
    <w:rsid w:val="00B7444B"/>
    <w:rsid w:val="00B75E26"/>
    <w:rsid w:val="00B76595"/>
    <w:rsid w:val="00B77050"/>
    <w:rsid w:val="00B77A14"/>
    <w:rsid w:val="00B77D17"/>
    <w:rsid w:val="00B77F70"/>
    <w:rsid w:val="00B80487"/>
    <w:rsid w:val="00B80504"/>
    <w:rsid w:val="00B810CA"/>
    <w:rsid w:val="00B82FCF"/>
    <w:rsid w:val="00B84E97"/>
    <w:rsid w:val="00B85FEF"/>
    <w:rsid w:val="00B86CBE"/>
    <w:rsid w:val="00B86CD6"/>
    <w:rsid w:val="00B87082"/>
    <w:rsid w:val="00B8793E"/>
    <w:rsid w:val="00B905BF"/>
    <w:rsid w:val="00B947DB"/>
    <w:rsid w:val="00B94E70"/>
    <w:rsid w:val="00B959A8"/>
    <w:rsid w:val="00BA04C4"/>
    <w:rsid w:val="00BA08FA"/>
    <w:rsid w:val="00BA1284"/>
    <w:rsid w:val="00BA12CD"/>
    <w:rsid w:val="00BA1D15"/>
    <w:rsid w:val="00BA1F6B"/>
    <w:rsid w:val="00BA251F"/>
    <w:rsid w:val="00BA35E5"/>
    <w:rsid w:val="00BA3CFC"/>
    <w:rsid w:val="00BA3DEB"/>
    <w:rsid w:val="00BA4037"/>
    <w:rsid w:val="00BA4758"/>
    <w:rsid w:val="00BA4D5B"/>
    <w:rsid w:val="00BA58C2"/>
    <w:rsid w:val="00BA5A03"/>
    <w:rsid w:val="00BA5D97"/>
    <w:rsid w:val="00BA62C8"/>
    <w:rsid w:val="00BA64AF"/>
    <w:rsid w:val="00BA7124"/>
    <w:rsid w:val="00BB2F1F"/>
    <w:rsid w:val="00BB44E5"/>
    <w:rsid w:val="00BB4FA5"/>
    <w:rsid w:val="00BB50A6"/>
    <w:rsid w:val="00BB5340"/>
    <w:rsid w:val="00BB540B"/>
    <w:rsid w:val="00BB61AA"/>
    <w:rsid w:val="00BB72D1"/>
    <w:rsid w:val="00BC1682"/>
    <w:rsid w:val="00BC1D8C"/>
    <w:rsid w:val="00BC2409"/>
    <w:rsid w:val="00BC27BA"/>
    <w:rsid w:val="00BC68E9"/>
    <w:rsid w:val="00BD0CB6"/>
    <w:rsid w:val="00BD10F3"/>
    <w:rsid w:val="00BD13CC"/>
    <w:rsid w:val="00BD2353"/>
    <w:rsid w:val="00BD281D"/>
    <w:rsid w:val="00BD36BB"/>
    <w:rsid w:val="00BD57FF"/>
    <w:rsid w:val="00BD5961"/>
    <w:rsid w:val="00BD7B6F"/>
    <w:rsid w:val="00BE01FC"/>
    <w:rsid w:val="00BE0BDF"/>
    <w:rsid w:val="00BE0C1A"/>
    <w:rsid w:val="00BE19CD"/>
    <w:rsid w:val="00BE55A5"/>
    <w:rsid w:val="00BE57A8"/>
    <w:rsid w:val="00BE57EE"/>
    <w:rsid w:val="00BE63F1"/>
    <w:rsid w:val="00BE6535"/>
    <w:rsid w:val="00BE7104"/>
    <w:rsid w:val="00BE7A9C"/>
    <w:rsid w:val="00BF0EC2"/>
    <w:rsid w:val="00BF2440"/>
    <w:rsid w:val="00BF251A"/>
    <w:rsid w:val="00BF2F0F"/>
    <w:rsid w:val="00BF4281"/>
    <w:rsid w:val="00BF435D"/>
    <w:rsid w:val="00BF53CF"/>
    <w:rsid w:val="00BF6216"/>
    <w:rsid w:val="00C00EED"/>
    <w:rsid w:val="00C022A0"/>
    <w:rsid w:val="00C02DB0"/>
    <w:rsid w:val="00C03364"/>
    <w:rsid w:val="00C10CEA"/>
    <w:rsid w:val="00C1119A"/>
    <w:rsid w:val="00C11505"/>
    <w:rsid w:val="00C11A14"/>
    <w:rsid w:val="00C11FFB"/>
    <w:rsid w:val="00C138AE"/>
    <w:rsid w:val="00C15024"/>
    <w:rsid w:val="00C15363"/>
    <w:rsid w:val="00C15AB5"/>
    <w:rsid w:val="00C17EAA"/>
    <w:rsid w:val="00C20855"/>
    <w:rsid w:val="00C21444"/>
    <w:rsid w:val="00C2171E"/>
    <w:rsid w:val="00C2565A"/>
    <w:rsid w:val="00C25991"/>
    <w:rsid w:val="00C25E3B"/>
    <w:rsid w:val="00C2611C"/>
    <w:rsid w:val="00C26ACB"/>
    <w:rsid w:val="00C304F6"/>
    <w:rsid w:val="00C30630"/>
    <w:rsid w:val="00C30826"/>
    <w:rsid w:val="00C30E99"/>
    <w:rsid w:val="00C32811"/>
    <w:rsid w:val="00C33559"/>
    <w:rsid w:val="00C3529B"/>
    <w:rsid w:val="00C35B3B"/>
    <w:rsid w:val="00C36511"/>
    <w:rsid w:val="00C36C17"/>
    <w:rsid w:val="00C36CE2"/>
    <w:rsid w:val="00C4144B"/>
    <w:rsid w:val="00C42E2D"/>
    <w:rsid w:val="00C4378C"/>
    <w:rsid w:val="00C43A08"/>
    <w:rsid w:val="00C44726"/>
    <w:rsid w:val="00C454CD"/>
    <w:rsid w:val="00C466B1"/>
    <w:rsid w:val="00C478D3"/>
    <w:rsid w:val="00C479AA"/>
    <w:rsid w:val="00C501CC"/>
    <w:rsid w:val="00C511D1"/>
    <w:rsid w:val="00C51D8F"/>
    <w:rsid w:val="00C52200"/>
    <w:rsid w:val="00C53C21"/>
    <w:rsid w:val="00C53F26"/>
    <w:rsid w:val="00C55393"/>
    <w:rsid w:val="00C5650C"/>
    <w:rsid w:val="00C565C9"/>
    <w:rsid w:val="00C56839"/>
    <w:rsid w:val="00C56D26"/>
    <w:rsid w:val="00C57991"/>
    <w:rsid w:val="00C60302"/>
    <w:rsid w:val="00C60C78"/>
    <w:rsid w:val="00C61D1D"/>
    <w:rsid w:val="00C62B93"/>
    <w:rsid w:val="00C65576"/>
    <w:rsid w:val="00C67C32"/>
    <w:rsid w:val="00C703EE"/>
    <w:rsid w:val="00C711FD"/>
    <w:rsid w:val="00C718AA"/>
    <w:rsid w:val="00C71FD7"/>
    <w:rsid w:val="00C72024"/>
    <w:rsid w:val="00C73723"/>
    <w:rsid w:val="00C747ED"/>
    <w:rsid w:val="00C7565A"/>
    <w:rsid w:val="00C7567A"/>
    <w:rsid w:val="00C75826"/>
    <w:rsid w:val="00C7708F"/>
    <w:rsid w:val="00C77B9F"/>
    <w:rsid w:val="00C81C9F"/>
    <w:rsid w:val="00C82729"/>
    <w:rsid w:val="00C8423B"/>
    <w:rsid w:val="00C8468B"/>
    <w:rsid w:val="00C84D11"/>
    <w:rsid w:val="00C86FEC"/>
    <w:rsid w:val="00C92361"/>
    <w:rsid w:val="00C93AFD"/>
    <w:rsid w:val="00C95728"/>
    <w:rsid w:val="00C96D1B"/>
    <w:rsid w:val="00C9794A"/>
    <w:rsid w:val="00C97FCA"/>
    <w:rsid w:val="00CA013A"/>
    <w:rsid w:val="00CA09A3"/>
    <w:rsid w:val="00CA3897"/>
    <w:rsid w:val="00CA394C"/>
    <w:rsid w:val="00CA5DB2"/>
    <w:rsid w:val="00CA623C"/>
    <w:rsid w:val="00CB158B"/>
    <w:rsid w:val="00CB21CA"/>
    <w:rsid w:val="00CB4119"/>
    <w:rsid w:val="00CB46FF"/>
    <w:rsid w:val="00CB5381"/>
    <w:rsid w:val="00CB54D7"/>
    <w:rsid w:val="00CB6C63"/>
    <w:rsid w:val="00CB6F9B"/>
    <w:rsid w:val="00CB7F56"/>
    <w:rsid w:val="00CC1069"/>
    <w:rsid w:val="00CC1682"/>
    <w:rsid w:val="00CC28AC"/>
    <w:rsid w:val="00CC2DA7"/>
    <w:rsid w:val="00CC2FD0"/>
    <w:rsid w:val="00CC3A4C"/>
    <w:rsid w:val="00CC4B62"/>
    <w:rsid w:val="00CC5C59"/>
    <w:rsid w:val="00CC5FF8"/>
    <w:rsid w:val="00CC7560"/>
    <w:rsid w:val="00CC77D7"/>
    <w:rsid w:val="00CC7CC2"/>
    <w:rsid w:val="00CD2056"/>
    <w:rsid w:val="00CD4844"/>
    <w:rsid w:val="00CD51F4"/>
    <w:rsid w:val="00CD5496"/>
    <w:rsid w:val="00CD6F88"/>
    <w:rsid w:val="00CE059D"/>
    <w:rsid w:val="00CE1AD7"/>
    <w:rsid w:val="00CE1C3F"/>
    <w:rsid w:val="00CE2813"/>
    <w:rsid w:val="00CE3724"/>
    <w:rsid w:val="00CE50A7"/>
    <w:rsid w:val="00CE5BD4"/>
    <w:rsid w:val="00CE69A5"/>
    <w:rsid w:val="00CE71E6"/>
    <w:rsid w:val="00CF018C"/>
    <w:rsid w:val="00CF2588"/>
    <w:rsid w:val="00CF3394"/>
    <w:rsid w:val="00CF63EE"/>
    <w:rsid w:val="00CF6F5A"/>
    <w:rsid w:val="00CF70C2"/>
    <w:rsid w:val="00D0023B"/>
    <w:rsid w:val="00D00924"/>
    <w:rsid w:val="00D01EC8"/>
    <w:rsid w:val="00D01FB3"/>
    <w:rsid w:val="00D020DE"/>
    <w:rsid w:val="00D0363D"/>
    <w:rsid w:val="00D03C1C"/>
    <w:rsid w:val="00D04613"/>
    <w:rsid w:val="00D06E24"/>
    <w:rsid w:val="00D103E2"/>
    <w:rsid w:val="00D11CC7"/>
    <w:rsid w:val="00D12643"/>
    <w:rsid w:val="00D1387C"/>
    <w:rsid w:val="00D1411B"/>
    <w:rsid w:val="00D15C83"/>
    <w:rsid w:val="00D16AF3"/>
    <w:rsid w:val="00D1759B"/>
    <w:rsid w:val="00D208E1"/>
    <w:rsid w:val="00D20C1E"/>
    <w:rsid w:val="00D212BA"/>
    <w:rsid w:val="00D2168A"/>
    <w:rsid w:val="00D234F5"/>
    <w:rsid w:val="00D25091"/>
    <w:rsid w:val="00D25C09"/>
    <w:rsid w:val="00D260D6"/>
    <w:rsid w:val="00D264B9"/>
    <w:rsid w:val="00D26531"/>
    <w:rsid w:val="00D26C21"/>
    <w:rsid w:val="00D2733B"/>
    <w:rsid w:val="00D27927"/>
    <w:rsid w:val="00D3079B"/>
    <w:rsid w:val="00D307A0"/>
    <w:rsid w:val="00D31542"/>
    <w:rsid w:val="00D32155"/>
    <w:rsid w:val="00D335C8"/>
    <w:rsid w:val="00D338E3"/>
    <w:rsid w:val="00D3460D"/>
    <w:rsid w:val="00D36069"/>
    <w:rsid w:val="00D4028E"/>
    <w:rsid w:val="00D428EA"/>
    <w:rsid w:val="00D452C0"/>
    <w:rsid w:val="00D46947"/>
    <w:rsid w:val="00D47DC5"/>
    <w:rsid w:val="00D57660"/>
    <w:rsid w:val="00D605B7"/>
    <w:rsid w:val="00D60CA4"/>
    <w:rsid w:val="00D6191C"/>
    <w:rsid w:val="00D61E00"/>
    <w:rsid w:val="00D6241D"/>
    <w:rsid w:val="00D62721"/>
    <w:rsid w:val="00D63231"/>
    <w:rsid w:val="00D63317"/>
    <w:rsid w:val="00D63AC0"/>
    <w:rsid w:val="00D6440E"/>
    <w:rsid w:val="00D67932"/>
    <w:rsid w:val="00D67A56"/>
    <w:rsid w:val="00D70A91"/>
    <w:rsid w:val="00D70C8B"/>
    <w:rsid w:val="00D70DB1"/>
    <w:rsid w:val="00D7164A"/>
    <w:rsid w:val="00D72E47"/>
    <w:rsid w:val="00D731EB"/>
    <w:rsid w:val="00D74DFF"/>
    <w:rsid w:val="00D758BB"/>
    <w:rsid w:val="00D764E6"/>
    <w:rsid w:val="00D8013E"/>
    <w:rsid w:val="00D8037D"/>
    <w:rsid w:val="00D810AC"/>
    <w:rsid w:val="00D81861"/>
    <w:rsid w:val="00D81C66"/>
    <w:rsid w:val="00D8229C"/>
    <w:rsid w:val="00D82731"/>
    <w:rsid w:val="00D84734"/>
    <w:rsid w:val="00D85119"/>
    <w:rsid w:val="00D86320"/>
    <w:rsid w:val="00D86EE6"/>
    <w:rsid w:val="00D8758A"/>
    <w:rsid w:val="00D90A2C"/>
    <w:rsid w:val="00D90F8F"/>
    <w:rsid w:val="00D91941"/>
    <w:rsid w:val="00D91E3B"/>
    <w:rsid w:val="00D924B8"/>
    <w:rsid w:val="00D92529"/>
    <w:rsid w:val="00D93365"/>
    <w:rsid w:val="00D93EDD"/>
    <w:rsid w:val="00D9581D"/>
    <w:rsid w:val="00DA1E84"/>
    <w:rsid w:val="00DA525C"/>
    <w:rsid w:val="00DA617A"/>
    <w:rsid w:val="00DA6297"/>
    <w:rsid w:val="00DA7625"/>
    <w:rsid w:val="00DA79D4"/>
    <w:rsid w:val="00DB3A4C"/>
    <w:rsid w:val="00DB5C38"/>
    <w:rsid w:val="00DB5E1F"/>
    <w:rsid w:val="00DB6B39"/>
    <w:rsid w:val="00DB6EB0"/>
    <w:rsid w:val="00DC06BE"/>
    <w:rsid w:val="00DC086E"/>
    <w:rsid w:val="00DC1DE1"/>
    <w:rsid w:val="00DC3536"/>
    <w:rsid w:val="00DC469B"/>
    <w:rsid w:val="00DD1162"/>
    <w:rsid w:val="00DD3C22"/>
    <w:rsid w:val="00DD4BFE"/>
    <w:rsid w:val="00DD6621"/>
    <w:rsid w:val="00DD6A3D"/>
    <w:rsid w:val="00DE025A"/>
    <w:rsid w:val="00DE1427"/>
    <w:rsid w:val="00DE2291"/>
    <w:rsid w:val="00DF02D8"/>
    <w:rsid w:val="00DF1068"/>
    <w:rsid w:val="00DF1ADB"/>
    <w:rsid w:val="00DF2CB1"/>
    <w:rsid w:val="00DF34A3"/>
    <w:rsid w:val="00DF3E48"/>
    <w:rsid w:val="00DF4174"/>
    <w:rsid w:val="00DF592E"/>
    <w:rsid w:val="00DF5F11"/>
    <w:rsid w:val="00DF6A82"/>
    <w:rsid w:val="00E0118A"/>
    <w:rsid w:val="00E024F3"/>
    <w:rsid w:val="00E028C4"/>
    <w:rsid w:val="00E03B1B"/>
    <w:rsid w:val="00E05092"/>
    <w:rsid w:val="00E0514A"/>
    <w:rsid w:val="00E053CC"/>
    <w:rsid w:val="00E05445"/>
    <w:rsid w:val="00E0556B"/>
    <w:rsid w:val="00E068FB"/>
    <w:rsid w:val="00E07665"/>
    <w:rsid w:val="00E07896"/>
    <w:rsid w:val="00E07F81"/>
    <w:rsid w:val="00E10475"/>
    <w:rsid w:val="00E10E78"/>
    <w:rsid w:val="00E11ECA"/>
    <w:rsid w:val="00E12502"/>
    <w:rsid w:val="00E13D09"/>
    <w:rsid w:val="00E1424E"/>
    <w:rsid w:val="00E159C0"/>
    <w:rsid w:val="00E161EC"/>
    <w:rsid w:val="00E17018"/>
    <w:rsid w:val="00E21C85"/>
    <w:rsid w:val="00E22CBF"/>
    <w:rsid w:val="00E22ECD"/>
    <w:rsid w:val="00E235F6"/>
    <w:rsid w:val="00E238C0"/>
    <w:rsid w:val="00E24422"/>
    <w:rsid w:val="00E24ED5"/>
    <w:rsid w:val="00E25795"/>
    <w:rsid w:val="00E271AD"/>
    <w:rsid w:val="00E2726C"/>
    <w:rsid w:val="00E27282"/>
    <w:rsid w:val="00E2742A"/>
    <w:rsid w:val="00E30A9F"/>
    <w:rsid w:val="00E30BAC"/>
    <w:rsid w:val="00E326EA"/>
    <w:rsid w:val="00E331C0"/>
    <w:rsid w:val="00E3455A"/>
    <w:rsid w:val="00E35546"/>
    <w:rsid w:val="00E379EE"/>
    <w:rsid w:val="00E37EED"/>
    <w:rsid w:val="00E422DF"/>
    <w:rsid w:val="00E42701"/>
    <w:rsid w:val="00E434BA"/>
    <w:rsid w:val="00E43F47"/>
    <w:rsid w:val="00E441A6"/>
    <w:rsid w:val="00E4443B"/>
    <w:rsid w:val="00E44A79"/>
    <w:rsid w:val="00E460A0"/>
    <w:rsid w:val="00E46105"/>
    <w:rsid w:val="00E46992"/>
    <w:rsid w:val="00E47004"/>
    <w:rsid w:val="00E51343"/>
    <w:rsid w:val="00E530D7"/>
    <w:rsid w:val="00E544D6"/>
    <w:rsid w:val="00E54EF2"/>
    <w:rsid w:val="00E5513D"/>
    <w:rsid w:val="00E5661C"/>
    <w:rsid w:val="00E5666C"/>
    <w:rsid w:val="00E60373"/>
    <w:rsid w:val="00E60961"/>
    <w:rsid w:val="00E613D8"/>
    <w:rsid w:val="00E6191B"/>
    <w:rsid w:val="00E64036"/>
    <w:rsid w:val="00E66C70"/>
    <w:rsid w:val="00E6774D"/>
    <w:rsid w:val="00E67985"/>
    <w:rsid w:val="00E70698"/>
    <w:rsid w:val="00E70723"/>
    <w:rsid w:val="00E70D21"/>
    <w:rsid w:val="00E71C22"/>
    <w:rsid w:val="00E71EFE"/>
    <w:rsid w:val="00E71F17"/>
    <w:rsid w:val="00E72B3E"/>
    <w:rsid w:val="00E72E91"/>
    <w:rsid w:val="00E7329C"/>
    <w:rsid w:val="00E74BFE"/>
    <w:rsid w:val="00E76221"/>
    <w:rsid w:val="00E82057"/>
    <w:rsid w:val="00E821D4"/>
    <w:rsid w:val="00E821E4"/>
    <w:rsid w:val="00E842C7"/>
    <w:rsid w:val="00E85406"/>
    <w:rsid w:val="00E86D2F"/>
    <w:rsid w:val="00E8732D"/>
    <w:rsid w:val="00E9216F"/>
    <w:rsid w:val="00EA0CF5"/>
    <w:rsid w:val="00EA24A5"/>
    <w:rsid w:val="00EA4A85"/>
    <w:rsid w:val="00EA559F"/>
    <w:rsid w:val="00EA64B5"/>
    <w:rsid w:val="00EB09F7"/>
    <w:rsid w:val="00EB6A9D"/>
    <w:rsid w:val="00EB7BA3"/>
    <w:rsid w:val="00EC07A0"/>
    <w:rsid w:val="00EC1AA8"/>
    <w:rsid w:val="00EC1D9D"/>
    <w:rsid w:val="00EC1F32"/>
    <w:rsid w:val="00EC415D"/>
    <w:rsid w:val="00EC41FF"/>
    <w:rsid w:val="00EC4246"/>
    <w:rsid w:val="00EC48F5"/>
    <w:rsid w:val="00EC5CE5"/>
    <w:rsid w:val="00EC6884"/>
    <w:rsid w:val="00EC6F93"/>
    <w:rsid w:val="00EC7565"/>
    <w:rsid w:val="00EC759D"/>
    <w:rsid w:val="00ED0728"/>
    <w:rsid w:val="00ED08CC"/>
    <w:rsid w:val="00ED1EEF"/>
    <w:rsid w:val="00ED22D5"/>
    <w:rsid w:val="00ED2F05"/>
    <w:rsid w:val="00ED4AF1"/>
    <w:rsid w:val="00ED4B1A"/>
    <w:rsid w:val="00ED57B9"/>
    <w:rsid w:val="00ED5C17"/>
    <w:rsid w:val="00ED69D5"/>
    <w:rsid w:val="00EE0061"/>
    <w:rsid w:val="00EE0AE3"/>
    <w:rsid w:val="00EE0FE4"/>
    <w:rsid w:val="00EE3FB6"/>
    <w:rsid w:val="00EE7C0F"/>
    <w:rsid w:val="00EF0500"/>
    <w:rsid w:val="00EF083A"/>
    <w:rsid w:val="00EF1106"/>
    <w:rsid w:val="00EF18AF"/>
    <w:rsid w:val="00EF1E40"/>
    <w:rsid w:val="00EF2A04"/>
    <w:rsid w:val="00EF3BF2"/>
    <w:rsid w:val="00EF40AA"/>
    <w:rsid w:val="00EF7F71"/>
    <w:rsid w:val="00F01771"/>
    <w:rsid w:val="00F01B94"/>
    <w:rsid w:val="00F02E47"/>
    <w:rsid w:val="00F03AF9"/>
    <w:rsid w:val="00F06666"/>
    <w:rsid w:val="00F06CDF"/>
    <w:rsid w:val="00F077F8"/>
    <w:rsid w:val="00F11510"/>
    <w:rsid w:val="00F119C4"/>
    <w:rsid w:val="00F1320B"/>
    <w:rsid w:val="00F135FE"/>
    <w:rsid w:val="00F153C8"/>
    <w:rsid w:val="00F2022E"/>
    <w:rsid w:val="00F2050B"/>
    <w:rsid w:val="00F2077E"/>
    <w:rsid w:val="00F22147"/>
    <w:rsid w:val="00F222FA"/>
    <w:rsid w:val="00F226FB"/>
    <w:rsid w:val="00F2420D"/>
    <w:rsid w:val="00F24476"/>
    <w:rsid w:val="00F25730"/>
    <w:rsid w:val="00F25783"/>
    <w:rsid w:val="00F26C69"/>
    <w:rsid w:val="00F27C30"/>
    <w:rsid w:val="00F33665"/>
    <w:rsid w:val="00F3402C"/>
    <w:rsid w:val="00F34FA6"/>
    <w:rsid w:val="00F35115"/>
    <w:rsid w:val="00F37D2C"/>
    <w:rsid w:val="00F41305"/>
    <w:rsid w:val="00F4146A"/>
    <w:rsid w:val="00F41ED2"/>
    <w:rsid w:val="00F420BB"/>
    <w:rsid w:val="00F43393"/>
    <w:rsid w:val="00F434A1"/>
    <w:rsid w:val="00F442B5"/>
    <w:rsid w:val="00F44521"/>
    <w:rsid w:val="00F44CF8"/>
    <w:rsid w:val="00F47232"/>
    <w:rsid w:val="00F50F76"/>
    <w:rsid w:val="00F52307"/>
    <w:rsid w:val="00F523BD"/>
    <w:rsid w:val="00F5287D"/>
    <w:rsid w:val="00F52DE6"/>
    <w:rsid w:val="00F533E1"/>
    <w:rsid w:val="00F53A56"/>
    <w:rsid w:val="00F54E24"/>
    <w:rsid w:val="00F55BB6"/>
    <w:rsid w:val="00F56A80"/>
    <w:rsid w:val="00F57CDD"/>
    <w:rsid w:val="00F60465"/>
    <w:rsid w:val="00F63B8D"/>
    <w:rsid w:val="00F6402F"/>
    <w:rsid w:val="00F6457D"/>
    <w:rsid w:val="00F6638C"/>
    <w:rsid w:val="00F66943"/>
    <w:rsid w:val="00F67C7C"/>
    <w:rsid w:val="00F701A5"/>
    <w:rsid w:val="00F7068C"/>
    <w:rsid w:val="00F7097B"/>
    <w:rsid w:val="00F70F90"/>
    <w:rsid w:val="00F72C6D"/>
    <w:rsid w:val="00F731E4"/>
    <w:rsid w:val="00F74CA2"/>
    <w:rsid w:val="00F77749"/>
    <w:rsid w:val="00F7785D"/>
    <w:rsid w:val="00F849C5"/>
    <w:rsid w:val="00F860E1"/>
    <w:rsid w:val="00F87384"/>
    <w:rsid w:val="00F8768F"/>
    <w:rsid w:val="00F87A6D"/>
    <w:rsid w:val="00F9400D"/>
    <w:rsid w:val="00F94669"/>
    <w:rsid w:val="00F9557B"/>
    <w:rsid w:val="00F967A2"/>
    <w:rsid w:val="00FA0F7A"/>
    <w:rsid w:val="00FA1F83"/>
    <w:rsid w:val="00FA3045"/>
    <w:rsid w:val="00FA4681"/>
    <w:rsid w:val="00FA773F"/>
    <w:rsid w:val="00FA77B0"/>
    <w:rsid w:val="00FA7A5A"/>
    <w:rsid w:val="00FB0624"/>
    <w:rsid w:val="00FB2770"/>
    <w:rsid w:val="00FB3628"/>
    <w:rsid w:val="00FB55C1"/>
    <w:rsid w:val="00FB617B"/>
    <w:rsid w:val="00FB7520"/>
    <w:rsid w:val="00FB79EF"/>
    <w:rsid w:val="00FB7C1F"/>
    <w:rsid w:val="00FC2AB9"/>
    <w:rsid w:val="00FC40A7"/>
    <w:rsid w:val="00FC53BE"/>
    <w:rsid w:val="00FC704D"/>
    <w:rsid w:val="00FC7E58"/>
    <w:rsid w:val="00FC7F8C"/>
    <w:rsid w:val="00FD0DEC"/>
    <w:rsid w:val="00FD0F98"/>
    <w:rsid w:val="00FD1528"/>
    <w:rsid w:val="00FD52BC"/>
    <w:rsid w:val="00FD556C"/>
    <w:rsid w:val="00FD56DC"/>
    <w:rsid w:val="00FD5E4D"/>
    <w:rsid w:val="00FD7A37"/>
    <w:rsid w:val="00FD7C95"/>
    <w:rsid w:val="00FE1181"/>
    <w:rsid w:val="00FE2304"/>
    <w:rsid w:val="00FE39DC"/>
    <w:rsid w:val="00FE46A0"/>
    <w:rsid w:val="00FE5649"/>
    <w:rsid w:val="00FE6185"/>
    <w:rsid w:val="00FE6589"/>
    <w:rsid w:val="00FF155F"/>
    <w:rsid w:val="00FF15ED"/>
    <w:rsid w:val="00FF47CA"/>
    <w:rsid w:val="00FF54B9"/>
    <w:rsid w:val="00FF5587"/>
    <w:rsid w:val="00FF5C20"/>
    <w:rsid w:val="00FF68FD"/>
    <w:rsid w:val="00FF7080"/>
    <w:rsid w:val="00FF7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126A967-04EB-42E7-B9F5-5F8BDBF4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40E"/>
    <w:rPr>
      <w:sz w:val="24"/>
      <w:szCs w:val="24"/>
      <w:lang w:eastAsia="en-US"/>
    </w:rPr>
  </w:style>
  <w:style w:type="paragraph" w:styleId="Heading1">
    <w:name w:val="heading 1"/>
    <w:basedOn w:val="Normal"/>
    <w:next w:val="Normal"/>
    <w:qFormat/>
    <w:rsid w:val="00D6440E"/>
    <w:pPr>
      <w:keepNext/>
      <w:jc w:val="center"/>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79B"/>
    <w:pPr>
      <w:ind w:left="720"/>
    </w:pPr>
  </w:style>
  <w:style w:type="paragraph" w:styleId="Header">
    <w:name w:val="header"/>
    <w:basedOn w:val="Normal"/>
    <w:link w:val="HeaderChar"/>
    <w:uiPriority w:val="99"/>
    <w:rsid w:val="00F523BD"/>
    <w:pPr>
      <w:tabs>
        <w:tab w:val="center" w:pos="4153"/>
        <w:tab w:val="right" w:pos="8306"/>
      </w:tabs>
    </w:pPr>
    <w:rPr>
      <w:rFonts w:ascii="Calibri" w:eastAsia="Calibri" w:hAnsi="Calibri"/>
      <w:sz w:val="22"/>
      <w:szCs w:val="22"/>
      <w:lang w:eastAsia="en-GB"/>
    </w:rPr>
  </w:style>
  <w:style w:type="character" w:customStyle="1" w:styleId="HeaderChar">
    <w:name w:val="Header Char"/>
    <w:basedOn w:val="DefaultParagraphFont"/>
    <w:link w:val="Header"/>
    <w:uiPriority w:val="99"/>
    <w:rsid w:val="00F523BD"/>
    <w:rPr>
      <w:rFonts w:ascii="Calibri" w:eastAsia="Calibri" w:hAnsi="Calibri"/>
      <w:sz w:val="22"/>
      <w:szCs w:val="22"/>
    </w:rPr>
  </w:style>
  <w:style w:type="character" w:customStyle="1" w:styleId="legdslegrhslegp2text">
    <w:name w:val="legds legrhs legp2text"/>
    <w:basedOn w:val="DefaultParagraphFont"/>
    <w:rsid w:val="0060517B"/>
  </w:style>
  <w:style w:type="paragraph" w:styleId="BodyText2">
    <w:name w:val="Body Text 2"/>
    <w:basedOn w:val="Normal"/>
    <w:link w:val="BodyText2Char"/>
    <w:rsid w:val="001C5219"/>
    <w:pPr>
      <w:tabs>
        <w:tab w:val="left" w:pos="2250"/>
      </w:tabs>
      <w:jc w:val="both"/>
    </w:pPr>
    <w:rPr>
      <w:rFonts w:ascii="Arial" w:hAnsi="Arial"/>
      <w:b/>
      <w:sz w:val="28"/>
      <w:szCs w:val="20"/>
    </w:rPr>
  </w:style>
  <w:style w:type="character" w:customStyle="1" w:styleId="BodyText2Char">
    <w:name w:val="Body Text 2 Char"/>
    <w:basedOn w:val="DefaultParagraphFont"/>
    <w:link w:val="BodyText2"/>
    <w:rsid w:val="001C5219"/>
    <w:rPr>
      <w:rFonts w:ascii="Arial" w:hAnsi="Arial"/>
      <w:b/>
      <w:sz w:val="28"/>
      <w:lang w:eastAsia="en-US"/>
    </w:rPr>
  </w:style>
  <w:style w:type="paragraph" w:styleId="FootnoteText">
    <w:name w:val="footnote text"/>
    <w:basedOn w:val="Normal"/>
    <w:link w:val="FootnoteTextChar"/>
    <w:rsid w:val="001C5219"/>
    <w:rPr>
      <w:sz w:val="20"/>
      <w:szCs w:val="20"/>
    </w:rPr>
  </w:style>
  <w:style w:type="character" w:customStyle="1" w:styleId="FootnoteTextChar">
    <w:name w:val="Footnote Text Char"/>
    <w:basedOn w:val="DefaultParagraphFont"/>
    <w:link w:val="FootnoteText"/>
    <w:rsid w:val="001C5219"/>
    <w:rPr>
      <w:lang w:eastAsia="en-US"/>
    </w:rPr>
  </w:style>
  <w:style w:type="character" w:styleId="FootnoteReference">
    <w:name w:val="footnote reference"/>
    <w:basedOn w:val="DefaultParagraphFont"/>
    <w:rsid w:val="001C5219"/>
    <w:rPr>
      <w:vertAlign w:val="superscript"/>
    </w:rPr>
  </w:style>
  <w:style w:type="paragraph" w:customStyle="1" w:styleId="Default">
    <w:name w:val="Default"/>
    <w:rsid w:val="001C521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55B5D"/>
    <w:rPr>
      <w:rFonts w:ascii="Tahoma" w:hAnsi="Tahoma" w:cs="Tahoma"/>
      <w:sz w:val="16"/>
      <w:szCs w:val="16"/>
    </w:rPr>
  </w:style>
  <w:style w:type="character" w:customStyle="1" w:styleId="BalloonTextChar">
    <w:name w:val="Balloon Text Char"/>
    <w:basedOn w:val="DefaultParagraphFont"/>
    <w:link w:val="BalloonText"/>
    <w:rsid w:val="00155B5D"/>
    <w:rPr>
      <w:rFonts w:ascii="Tahoma" w:hAnsi="Tahoma" w:cs="Tahoma"/>
      <w:sz w:val="16"/>
      <w:szCs w:val="16"/>
      <w:lang w:eastAsia="en-US"/>
    </w:rPr>
  </w:style>
  <w:style w:type="paragraph" w:styleId="Footer">
    <w:name w:val="footer"/>
    <w:basedOn w:val="Normal"/>
    <w:link w:val="FooterChar"/>
    <w:uiPriority w:val="99"/>
    <w:rsid w:val="00E07F81"/>
    <w:pPr>
      <w:tabs>
        <w:tab w:val="center" w:pos="4513"/>
        <w:tab w:val="right" w:pos="9026"/>
      </w:tabs>
    </w:pPr>
  </w:style>
  <w:style w:type="character" w:customStyle="1" w:styleId="FooterChar">
    <w:name w:val="Footer Char"/>
    <w:basedOn w:val="DefaultParagraphFont"/>
    <w:link w:val="Footer"/>
    <w:uiPriority w:val="99"/>
    <w:rsid w:val="00E07F81"/>
    <w:rPr>
      <w:sz w:val="24"/>
      <w:szCs w:val="24"/>
      <w:lang w:eastAsia="en-US"/>
    </w:rPr>
  </w:style>
  <w:style w:type="paragraph" w:styleId="BodyText">
    <w:name w:val="Body Text"/>
    <w:basedOn w:val="Normal"/>
    <w:link w:val="BodyTextChar"/>
    <w:rsid w:val="009127BA"/>
    <w:pPr>
      <w:spacing w:after="120"/>
      <w:jc w:val="both"/>
    </w:pPr>
    <w:rPr>
      <w:rFonts w:ascii="Arial" w:hAnsi="Arial"/>
      <w:szCs w:val="20"/>
      <w:lang w:eastAsia="en-GB"/>
    </w:rPr>
  </w:style>
  <w:style w:type="character" w:customStyle="1" w:styleId="BodyTextChar">
    <w:name w:val="Body Text Char"/>
    <w:basedOn w:val="DefaultParagraphFont"/>
    <w:link w:val="BodyText"/>
    <w:rsid w:val="009127BA"/>
    <w:rPr>
      <w:rFonts w:ascii="Arial" w:hAnsi="Arial"/>
      <w:sz w:val="24"/>
    </w:rPr>
  </w:style>
  <w:style w:type="paragraph" w:customStyle="1" w:styleId="Conditionhead">
    <w:name w:val="Condition head"/>
    <w:basedOn w:val="Normal"/>
    <w:rsid w:val="009127BA"/>
    <w:pPr>
      <w:tabs>
        <w:tab w:val="left" w:pos="-720"/>
      </w:tabs>
      <w:suppressAutoHyphens/>
      <w:spacing w:line="360" w:lineRule="auto"/>
      <w:jc w:val="both"/>
    </w:pPr>
    <w:rPr>
      <w:b/>
    </w:rPr>
  </w:style>
  <w:style w:type="paragraph" w:customStyle="1" w:styleId="Outline2">
    <w:name w:val="Outline 2"/>
    <w:basedOn w:val="Normal"/>
    <w:rsid w:val="00A957B7"/>
    <w:pPr>
      <w:numPr>
        <w:ilvl w:val="1"/>
        <w:numId w:val="1"/>
      </w:numPr>
      <w:spacing w:after="240"/>
      <w:jc w:val="both"/>
      <w:outlineLvl w:val="1"/>
    </w:pPr>
    <w:rPr>
      <w:rFonts w:ascii="Arial" w:hAnsi="Arial"/>
      <w:sz w:val="22"/>
      <w:szCs w:val="20"/>
    </w:rPr>
  </w:style>
  <w:style w:type="paragraph" w:customStyle="1" w:styleId="OutlinePara">
    <w:name w:val="Outline Para"/>
    <w:basedOn w:val="Normal"/>
    <w:rsid w:val="00A957B7"/>
    <w:pPr>
      <w:spacing w:after="240"/>
      <w:jc w:val="both"/>
    </w:pPr>
    <w:rPr>
      <w:rFonts w:ascii="Arial" w:hAnsi="Arial"/>
      <w:sz w:val="22"/>
      <w:szCs w:val="20"/>
    </w:rPr>
  </w:style>
  <w:style w:type="character" w:styleId="CommentReference">
    <w:name w:val="annotation reference"/>
    <w:basedOn w:val="DefaultParagraphFont"/>
    <w:rsid w:val="00DA7625"/>
    <w:rPr>
      <w:sz w:val="16"/>
      <w:szCs w:val="16"/>
    </w:rPr>
  </w:style>
  <w:style w:type="paragraph" w:styleId="CommentText">
    <w:name w:val="annotation text"/>
    <w:basedOn w:val="Normal"/>
    <w:link w:val="CommentTextChar"/>
    <w:rsid w:val="00DA7625"/>
    <w:rPr>
      <w:sz w:val="20"/>
      <w:szCs w:val="20"/>
    </w:rPr>
  </w:style>
  <w:style w:type="character" w:customStyle="1" w:styleId="CommentTextChar">
    <w:name w:val="Comment Text Char"/>
    <w:basedOn w:val="DefaultParagraphFont"/>
    <w:link w:val="CommentText"/>
    <w:rsid w:val="00DA7625"/>
    <w:rPr>
      <w:lang w:eastAsia="en-US"/>
    </w:rPr>
  </w:style>
  <w:style w:type="paragraph" w:styleId="CommentSubject">
    <w:name w:val="annotation subject"/>
    <w:basedOn w:val="CommentText"/>
    <w:next w:val="CommentText"/>
    <w:link w:val="CommentSubjectChar"/>
    <w:rsid w:val="00DA7625"/>
    <w:rPr>
      <w:b/>
      <w:bCs/>
    </w:rPr>
  </w:style>
  <w:style w:type="character" w:customStyle="1" w:styleId="CommentSubjectChar">
    <w:name w:val="Comment Subject Char"/>
    <w:basedOn w:val="CommentTextChar"/>
    <w:link w:val="CommentSubject"/>
    <w:rsid w:val="00DA7625"/>
    <w:rPr>
      <w:b/>
      <w:bCs/>
      <w:lang w:eastAsia="en-US"/>
    </w:rPr>
  </w:style>
  <w:style w:type="paragraph" w:styleId="Revision">
    <w:name w:val="Revision"/>
    <w:hidden/>
    <w:uiPriority w:val="99"/>
    <w:semiHidden/>
    <w:rsid w:val="00C842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6654">
      <w:bodyDiv w:val="1"/>
      <w:marLeft w:val="0"/>
      <w:marRight w:val="0"/>
      <w:marTop w:val="0"/>
      <w:marBottom w:val="0"/>
      <w:divBdr>
        <w:top w:val="none" w:sz="0" w:space="0" w:color="auto"/>
        <w:left w:val="none" w:sz="0" w:space="0" w:color="auto"/>
        <w:bottom w:val="none" w:sz="0" w:space="0" w:color="auto"/>
        <w:right w:val="none" w:sz="0" w:space="0" w:color="auto"/>
      </w:divBdr>
    </w:div>
    <w:div w:id="133186535">
      <w:bodyDiv w:val="1"/>
      <w:marLeft w:val="0"/>
      <w:marRight w:val="0"/>
      <w:marTop w:val="0"/>
      <w:marBottom w:val="0"/>
      <w:divBdr>
        <w:top w:val="none" w:sz="0" w:space="0" w:color="auto"/>
        <w:left w:val="none" w:sz="0" w:space="0" w:color="auto"/>
        <w:bottom w:val="none" w:sz="0" w:space="0" w:color="auto"/>
        <w:right w:val="none" w:sz="0" w:space="0" w:color="auto"/>
      </w:divBdr>
    </w:div>
    <w:div w:id="146211150">
      <w:bodyDiv w:val="1"/>
      <w:marLeft w:val="0"/>
      <w:marRight w:val="0"/>
      <w:marTop w:val="0"/>
      <w:marBottom w:val="0"/>
      <w:divBdr>
        <w:top w:val="none" w:sz="0" w:space="0" w:color="auto"/>
        <w:left w:val="none" w:sz="0" w:space="0" w:color="auto"/>
        <w:bottom w:val="none" w:sz="0" w:space="0" w:color="auto"/>
        <w:right w:val="none" w:sz="0" w:space="0" w:color="auto"/>
      </w:divBdr>
    </w:div>
    <w:div w:id="152111339">
      <w:bodyDiv w:val="1"/>
      <w:marLeft w:val="0"/>
      <w:marRight w:val="0"/>
      <w:marTop w:val="0"/>
      <w:marBottom w:val="0"/>
      <w:divBdr>
        <w:top w:val="none" w:sz="0" w:space="0" w:color="auto"/>
        <w:left w:val="none" w:sz="0" w:space="0" w:color="auto"/>
        <w:bottom w:val="none" w:sz="0" w:space="0" w:color="auto"/>
        <w:right w:val="none" w:sz="0" w:space="0" w:color="auto"/>
      </w:divBdr>
    </w:div>
    <w:div w:id="184639516">
      <w:bodyDiv w:val="1"/>
      <w:marLeft w:val="0"/>
      <w:marRight w:val="0"/>
      <w:marTop w:val="0"/>
      <w:marBottom w:val="0"/>
      <w:divBdr>
        <w:top w:val="none" w:sz="0" w:space="0" w:color="auto"/>
        <w:left w:val="none" w:sz="0" w:space="0" w:color="auto"/>
        <w:bottom w:val="none" w:sz="0" w:space="0" w:color="auto"/>
        <w:right w:val="none" w:sz="0" w:space="0" w:color="auto"/>
      </w:divBdr>
    </w:div>
    <w:div w:id="239952668">
      <w:bodyDiv w:val="1"/>
      <w:marLeft w:val="0"/>
      <w:marRight w:val="0"/>
      <w:marTop w:val="0"/>
      <w:marBottom w:val="0"/>
      <w:divBdr>
        <w:top w:val="none" w:sz="0" w:space="0" w:color="auto"/>
        <w:left w:val="none" w:sz="0" w:space="0" w:color="auto"/>
        <w:bottom w:val="none" w:sz="0" w:space="0" w:color="auto"/>
        <w:right w:val="none" w:sz="0" w:space="0" w:color="auto"/>
      </w:divBdr>
    </w:div>
    <w:div w:id="240220733">
      <w:bodyDiv w:val="1"/>
      <w:marLeft w:val="0"/>
      <w:marRight w:val="0"/>
      <w:marTop w:val="0"/>
      <w:marBottom w:val="0"/>
      <w:divBdr>
        <w:top w:val="none" w:sz="0" w:space="0" w:color="auto"/>
        <w:left w:val="none" w:sz="0" w:space="0" w:color="auto"/>
        <w:bottom w:val="none" w:sz="0" w:space="0" w:color="auto"/>
        <w:right w:val="none" w:sz="0" w:space="0" w:color="auto"/>
      </w:divBdr>
    </w:div>
    <w:div w:id="247882509">
      <w:bodyDiv w:val="1"/>
      <w:marLeft w:val="0"/>
      <w:marRight w:val="0"/>
      <w:marTop w:val="0"/>
      <w:marBottom w:val="0"/>
      <w:divBdr>
        <w:top w:val="none" w:sz="0" w:space="0" w:color="auto"/>
        <w:left w:val="none" w:sz="0" w:space="0" w:color="auto"/>
        <w:bottom w:val="none" w:sz="0" w:space="0" w:color="auto"/>
        <w:right w:val="none" w:sz="0" w:space="0" w:color="auto"/>
      </w:divBdr>
    </w:div>
    <w:div w:id="265575584">
      <w:bodyDiv w:val="1"/>
      <w:marLeft w:val="0"/>
      <w:marRight w:val="0"/>
      <w:marTop w:val="0"/>
      <w:marBottom w:val="0"/>
      <w:divBdr>
        <w:top w:val="none" w:sz="0" w:space="0" w:color="auto"/>
        <w:left w:val="none" w:sz="0" w:space="0" w:color="auto"/>
        <w:bottom w:val="none" w:sz="0" w:space="0" w:color="auto"/>
        <w:right w:val="none" w:sz="0" w:space="0" w:color="auto"/>
      </w:divBdr>
    </w:div>
    <w:div w:id="311447587">
      <w:bodyDiv w:val="1"/>
      <w:marLeft w:val="0"/>
      <w:marRight w:val="0"/>
      <w:marTop w:val="0"/>
      <w:marBottom w:val="0"/>
      <w:divBdr>
        <w:top w:val="none" w:sz="0" w:space="0" w:color="auto"/>
        <w:left w:val="none" w:sz="0" w:space="0" w:color="auto"/>
        <w:bottom w:val="none" w:sz="0" w:space="0" w:color="auto"/>
        <w:right w:val="none" w:sz="0" w:space="0" w:color="auto"/>
      </w:divBdr>
    </w:div>
    <w:div w:id="312299365">
      <w:bodyDiv w:val="1"/>
      <w:marLeft w:val="0"/>
      <w:marRight w:val="0"/>
      <w:marTop w:val="0"/>
      <w:marBottom w:val="0"/>
      <w:divBdr>
        <w:top w:val="none" w:sz="0" w:space="0" w:color="auto"/>
        <w:left w:val="none" w:sz="0" w:space="0" w:color="auto"/>
        <w:bottom w:val="none" w:sz="0" w:space="0" w:color="auto"/>
        <w:right w:val="none" w:sz="0" w:space="0" w:color="auto"/>
      </w:divBdr>
    </w:div>
    <w:div w:id="321467772">
      <w:bodyDiv w:val="1"/>
      <w:marLeft w:val="0"/>
      <w:marRight w:val="0"/>
      <w:marTop w:val="0"/>
      <w:marBottom w:val="0"/>
      <w:divBdr>
        <w:top w:val="none" w:sz="0" w:space="0" w:color="auto"/>
        <w:left w:val="none" w:sz="0" w:space="0" w:color="auto"/>
        <w:bottom w:val="none" w:sz="0" w:space="0" w:color="auto"/>
        <w:right w:val="none" w:sz="0" w:space="0" w:color="auto"/>
      </w:divBdr>
    </w:div>
    <w:div w:id="441341075">
      <w:bodyDiv w:val="1"/>
      <w:marLeft w:val="0"/>
      <w:marRight w:val="0"/>
      <w:marTop w:val="0"/>
      <w:marBottom w:val="0"/>
      <w:divBdr>
        <w:top w:val="none" w:sz="0" w:space="0" w:color="auto"/>
        <w:left w:val="none" w:sz="0" w:space="0" w:color="auto"/>
        <w:bottom w:val="none" w:sz="0" w:space="0" w:color="auto"/>
        <w:right w:val="none" w:sz="0" w:space="0" w:color="auto"/>
      </w:divBdr>
    </w:div>
    <w:div w:id="447700630">
      <w:bodyDiv w:val="1"/>
      <w:marLeft w:val="0"/>
      <w:marRight w:val="0"/>
      <w:marTop w:val="0"/>
      <w:marBottom w:val="0"/>
      <w:divBdr>
        <w:top w:val="none" w:sz="0" w:space="0" w:color="auto"/>
        <w:left w:val="none" w:sz="0" w:space="0" w:color="auto"/>
        <w:bottom w:val="none" w:sz="0" w:space="0" w:color="auto"/>
        <w:right w:val="none" w:sz="0" w:space="0" w:color="auto"/>
      </w:divBdr>
    </w:div>
    <w:div w:id="575096296">
      <w:bodyDiv w:val="1"/>
      <w:marLeft w:val="0"/>
      <w:marRight w:val="0"/>
      <w:marTop w:val="0"/>
      <w:marBottom w:val="0"/>
      <w:divBdr>
        <w:top w:val="none" w:sz="0" w:space="0" w:color="auto"/>
        <w:left w:val="none" w:sz="0" w:space="0" w:color="auto"/>
        <w:bottom w:val="none" w:sz="0" w:space="0" w:color="auto"/>
        <w:right w:val="none" w:sz="0" w:space="0" w:color="auto"/>
      </w:divBdr>
    </w:div>
    <w:div w:id="577710576">
      <w:bodyDiv w:val="1"/>
      <w:marLeft w:val="0"/>
      <w:marRight w:val="0"/>
      <w:marTop w:val="0"/>
      <w:marBottom w:val="0"/>
      <w:divBdr>
        <w:top w:val="none" w:sz="0" w:space="0" w:color="auto"/>
        <w:left w:val="none" w:sz="0" w:space="0" w:color="auto"/>
        <w:bottom w:val="none" w:sz="0" w:space="0" w:color="auto"/>
        <w:right w:val="none" w:sz="0" w:space="0" w:color="auto"/>
      </w:divBdr>
    </w:div>
    <w:div w:id="590310219">
      <w:bodyDiv w:val="1"/>
      <w:marLeft w:val="0"/>
      <w:marRight w:val="0"/>
      <w:marTop w:val="0"/>
      <w:marBottom w:val="0"/>
      <w:divBdr>
        <w:top w:val="none" w:sz="0" w:space="0" w:color="auto"/>
        <w:left w:val="none" w:sz="0" w:space="0" w:color="auto"/>
        <w:bottom w:val="none" w:sz="0" w:space="0" w:color="auto"/>
        <w:right w:val="none" w:sz="0" w:space="0" w:color="auto"/>
      </w:divBdr>
    </w:div>
    <w:div w:id="620308300">
      <w:bodyDiv w:val="1"/>
      <w:marLeft w:val="0"/>
      <w:marRight w:val="0"/>
      <w:marTop w:val="0"/>
      <w:marBottom w:val="0"/>
      <w:divBdr>
        <w:top w:val="none" w:sz="0" w:space="0" w:color="auto"/>
        <w:left w:val="none" w:sz="0" w:space="0" w:color="auto"/>
        <w:bottom w:val="none" w:sz="0" w:space="0" w:color="auto"/>
        <w:right w:val="none" w:sz="0" w:space="0" w:color="auto"/>
      </w:divBdr>
    </w:div>
    <w:div w:id="724447221">
      <w:bodyDiv w:val="1"/>
      <w:marLeft w:val="0"/>
      <w:marRight w:val="0"/>
      <w:marTop w:val="0"/>
      <w:marBottom w:val="0"/>
      <w:divBdr>
        <w:top w:val="none" w:sz="0" w:space="0" w:color="auto"/>
        <w:left w:val="none" w:sz="0" w:space="0" w:color="auto"/>
        <w:bottom w:val="none" w:sz="0" w:space="0" w:color="auto"/>
        <w:right w:val="none" w:sz="0" w:space="0" w:color="auto"/>
      </w:divBdr>
    </w:div>
    <w:div w:id="740560595">
      <w:bodyDiv w:val="1"/>
      <w:marLeft w:val="0"/>
      <w:marRight w:val="0"/>
      <w:marTop w:val="0"/>
      <w:marBottom w:val="0"/>
      <w:divBdr>
        <w:top w:val="none" w:sz="0" w:space="0" w:color="auto"/>
        <w:left w:val="none" w:sz="0" w:space="0" w:color="auto"/>
        <w:bottom w:val="none" w:sz="0" w:space="0" w:color="auto"/>
        <w:right w:val="none" w:sz="0" w:space="0" w:color="auto"/>
      </w:divBdr>
    </w:div>
    <w:div w:id="758020361">
      <w:bodyDiv w:val="1"/>
      <w:marLeft w:val="0"/>
      <w:marRight w:val="0"/>
      <w:marTop w:val="0"/>
      <w:marBottom w:val="0"/>
      <w:divBdr>
        <w:top w:val="none" w:sz="0" w:space="0" w:color="auto"/>
        <w:left w:val="none" w:sz="0" w:space="0" w:color="auto"/>
        <w:bottom w:val="none" w:sz="0" w:space="0" w:color="auto"/>
        <w:right w:val="none" w:sz="0" w:space="0" w:color="auto"/>
      </w:divBdr>
    </w:div>
    <w:div w:id="766852832">
      <w:bodyDiv w:val="1"/>
      <w:marLeft w:val="0"/>
      <w:marRight w:val="0"/>
      <w:marTop w:val="0"/>
      <w:marBottom w:val="0"/>
      <w:divBdr>
        <w:top w:val="none" w:sz="0" w:space="0" w:color="auto"/>
        <w:left w:val="none" w:sz="0" w:space="0" w:color="auto"/>
        <w:bottom w:val="none" w:sz="0" w:space="0" w:color="auto"/>
        <w:right w:val="none" w:sz="0" w:space="0" w:color="auto"/>
      </w:divBdr>
    </w:div>
    <w:div w:id="768163714">
      <w:bodyDiv w:val="1"/>
      <w:marLeft w:val="0"/>
      <w:marRight w:val="0"/>
      <w:marTop w:val="0"/>
      <w:marBottom w:val="0"/>
      <w:divBdr>
        <w:top w:val="none" w:sz="0" w:space="0" w:color="auto"/>
        <w:left w:val="none" w:sz="0" w:space="0" w:color="auto"/>
        <w:bottom w:val="none" w:sz="0" w:space="0" w:color="auto"/>
        <w:right w:val="none" w:sz="0" w:space="0" w:color="auto"/>
      </w:divBdr>
    </w:div>
    <w:div w:id="781149047">
      <w:bodyDiv w:val="1"/>
      <w:marLeft w:val="0"/>
      <w:marRight w:val="0"/>
      <w:marTop w:val="0"/>
      <w:marBottom w:val="0"/>
      <w:divBdr>
        <w:top w:val="none" w:sz="0" w:space="0" w:color="auto"/>
        <w:left w:val="none" w:sz="0" w:space="0" w:color="auto"/>
        <w:bottom w:val="none" w:sz="0" w:space="0" w:color="auto"/>
        <w:right w:val="none" w:sz="0" w:space="0" w:color="auto"/>
      </w:divBdr>
    </w:div>
    <w:div w:id="811597996">
      <w:bodyDiv w:val="1"/>
      <w:marLeft w:val="0"/>
      <w:marRight w:val="0"/>
      <w:marTop w:val="0"/>
      <w:marBottom w:val="0"/>
      <w:divBdr>
        <w:top w:val="none" w:sz="0" w:space="0" w:color="auto"/>
        <w:left w:val="none" w:sz="0" w:space="0" w:color="auto"/>
        <w:bottom w:val="none" w:sz="0" w:space="0" w:color="auto"/>
        <w:right w:val="none" w:sz="0" w:space="0" w:color="auto"/>
      </w:divBdr>
    </w:div>
    <w:div w:id="830409803">
      <w:bodyDiv w:val="1"/>
      <w:marLeft w:val="0"/>
      <w:marRight w:val="0"/>
      <w:marTop w:val="0"/>
      <w:marBottom w:val="0"/>
      <w:divBdr>
        <w:top w:val="none" w:sz="0" w:space="0" w:color="auto"/>
        <w:left w:val="none" w:sz="0" w:space="0" w:color="auto"/>
        <w:bottom w:val="none" w:sz="0" w:space="0" w:color="auto"/>
        <w:right w:val="none" w:sz="0" w:space="0" w:color="auto"/>
      </w:divBdr>
    </w:div>
    <w:div w:id="859121410">
      <w:bodyDiv w:val="1"/>
      <w:marLeft w:val="0"/>
      <w:marRight w:val="0"/>
      <w:marTop w:val="0"/>
      <w:marBottom w:val="0"/>
      <w:divBdr>
        <w:top w:val="none" w:sz="0" w:space="0" w:color="auto"/>
        <w:left w:val="none" w:sz="0" w:space="0" w:color="auto"/>
        <w:bottom w:val="none" w:sz="0" w:space="0" w:color="auto"/>
        <w:right w:val="none" w:sz="0" w:space="0" w:color="auto"/>
      </w:divBdr>
    </w:div>
    <w:div w:id="911697180">
      <w:bodyDiv w:val="1"/>
      <w:marLeft w:val="0"/>
      <w:marRight w:val="0"/>
      <w:marTop w:val="0"/>
      <w:marBottom w:val="0"/>
      <w:divBdr>
        <w:top w:val="none" w:sz="0" w:space="0" w:color="auto"/>
        <w:left w:val="none" w:sz="0" w:space="0" w:color="auto"/>
        <w:bottom w:val="none" w:sz="0" w:space="0" w:color="auto"/>
        <w:right w:val="none" w:sz="0" w:space="0" w:color="auto"/>
      </w:divBdr>
    </w:div>
    <w:div w:id="949094111">
      <w:bodyDiv w:val="1"/>
      <w:marLeft w:val="0"/>
      <w:marRight w:val="0"/>
      <w:marTop w:val="0"/>
      <w:marBottom w:val="0"/>
      <w:divBdr>
        <w:top w:val="none" w:sz="0" w:space="0" w:color="auto"/>
        <w:left w:val="none" w:sz="0" w:space="0" w:color="auto"/>
        <w:bottom w:val="none" w:sz="0" w:space="0" w:color="auto"/>
        <w:right w:val="none" w:sz="0" w:space="0" w:color="auto"/>
      </w:divBdr>
    </w:div>
    <w:div w:id="998312307">
      <w:bodyDiv w:val="1"/>
      <w:marLeft w:val="0"/>
      <w:marRight w:val="0"/>
      <w:marTop w:val="0"/>
      <w:marBottom w:val="0"/>
      <w:divBdr>
        <w:top w:val="none" w:sz="0" w:space="0" w:color="auto"/>
        <w:left w:val="none" w:sz="0" w:space="0" w:color="auto"/>
        <w:bottom w:val="none" w:sz="0" w:space="0" w:color="auto"/>
        <w:right w:val="none" w:sz="0" w:space="0" w:color="auto"/>
      </w:divBdr>
    </w:div>
    <w:div w:id="1033926065">
      <w:bodyDiv w:val="1"/>
      <w:marLeft w:val="0"/>
      <w:marRight w:val="0"/>
      <w:marTop w:val="0"/>
      <w:marBottom w:val="0"/>
      <w:divBdr>
        <w:top w:val="none" w:sz="0" w:space="0" w:color="auto"/>
        <w:left w:val="none" w:sz="0" w:space="0" w:color="auto"/>
        <w:bottom w:val="none" w:sz="0" w:space="0" w:color="auto"/>
        <w:right w:val="none" w:sz="0" w:space="0" w:color="auto"/>
      </w:divBdr>
    </w:div>
    <w:div w:id="1062480278">
      <w:bodyDiv w:val="1"/>
      <w:marLeft w:val="0"/>
      <w:marRight w:val="0"/>
      <w:marTop w:val="0"/>
      <w:marBottom w:val="0"/>
      <w:divBdr>
        <w:top w:val="none" w:sz="0" w:space="0" w:color="auto"/>
        <w:left w:val="none" w:sz="0" w:space="0" w:color="auto"/>
        <w:bottom w:val="none" w:sz="0" w:space="0" w:color="auto"/>
        <w:right w:val="none" w:sz="0" w:space="0" w:color="auto"/>
      </w:divBdr>
    </w:div>
    <w:div w:id="1071541232">
      <w:bodyDiv w:val="1"/>
      <w:marLeft w:val="0"/>
      <w:marRight w:val="0"/>
      <w:marTop w:val="0"/>
      <w:marBottom w:val="0"/>
      <w:divBdr>
        <w:top w:val="none" w:sz="0" w:space="0" w:color="auto"/>
        <w:left w:val="none" w:sz="0" w:space="0" w:color="auto"/>
        <w:bottom w:val="none" w:sz="0" w:space="0" w:color="auto"/>
        <w:right w:val="none" w:sz="0" w:space="0" w:color="auto"/>
      </w:divBdr>
    </w:div>
    <w:div w:id="1079326438">
      <w:bodyDiv w:val="1"/>
      <w:marLeft w:val="0"/>
      <w:marRight w:val="0"/>
      <w:marTop w:val="0"/>
      <w:marBottom w:val="0"/>
      <w:divBdr>
        <w:top w:val="none" w:sz="0" w:space="0" w:color="auto"/>
        <w:left w:val="none" w:sz="0" w:space="0" w:color="auto"/>
        <w:bottom w:val="none" w:sz="0" w:space="0" w:color="auto"/>
        <w:right w:val="none" w:sz="0" w:space="0" w:color="auto"/>
      </w:divBdr>
    </w:div>
    <w:div w:id="1090004282">
      <w:bodyDiv w:val="1"/>
      <w:marLeft w:val="0"/>
      <w:marRight w:val="0"/>
      <w:marTop w:val="0"/>
      <w:marBottom w:val="0"/>
      <w:divBdr>
        <w:top w:val="none" w:sz="0" w:space="0" w:color="auto"/>
        <w:left w:val="none" w:sz="0" w:space="0" w:color="auto"/>
        <w:bottom w:val="none" w:sz="0" w:space="0" w:color="auto"/>
        <w:right w:val="none" w:sz="0" w:space="0" w:color="auto"/>
      </w:divBdr>
    </w:div>
    <w:div w:id="1091001321">
      <w:bodyDiv w:val="1"/>
      <w:marLeft w:val="0"/>
      <w:marRight w:val="0"/>
      <w:marTop w:val="0"/>
      <w:marBottom w:val="0"/>
      <w:divBdr>
        <w:top w:val="none" w:sz="0" w:space="0" w:color="auto"/>
        <w:left w:val="none" w:sz="0" w:space="0" w:color="auto"/>
        <w:bottom w:val="none" w:sz="0" w:space="0" w:color="auto"/>
        <w:right w:val="none" w:sz="0" w:space="0" w:color="auto"/>
      </w:divBdr>
    </w:div>
    <w:div w:id="1096052353">
      <w:bodyDiv w:val="1"/>
      <w:marLeft w:val="0"/>
      <w:marRight w:val="0"/>
      <w:marTop w:val="0"/>
      <w:marBottom w:val="0"/>
      <w:divBdr>
        <w:top w:val="none" w:sz="0" w:space="0" w:color="auto"/>
        <w:left w:val="none" w:sz="0" w:space="0" w:color="auto"/>
        <w:bottom w:val="none" w:sz="0" w:space="0" w:color="auto"/>
        <w:right w:val="none" w:sz="0" w:space="0" w:color="auto"/>
      </w:divBdr>
    </w:div>
    <w:div w:id="1129936975">
      <w:bodyDiv w:val="1"/>
      <w:marLeft w:val="0"/>
      <w:marRight w:val="0"/>
      <w:marTop w:val="0"/>
      <w:marBottom w:val="0"/>
      <w:divBdr>
        <w:top w:val="none" w:sz="0" w:space="0" w:color="auto"/>
        <w:left w:val="none" w:sz="0" w:space="0" w:color="auto"/>
        <w:bottom w:val="none" w:sz="0" w:space="0" w:color="auto"/>
        <w:right w:val="none" w:sz="0" w:space="0" w:color="auto"/>
      </w:divBdr>
    </w:div>
    <w:div w:id="1182432008">
      <w:bodyDiv w:val="1"/>
      <w:marLeft w:val="0"/>
      <w:marRight w:val="0"/>
      <w:marTop w:val="0"/>
      <w:marBottom w:val="0"/>
      <w:divBdr>
        <w:top w:val="none" w:sz="0" w:space="0" w:color="auto"/>
        <w:left w:val="none" w:sz="0" w:space="0" w:color="auto"/>
        <w:bottom w:val="none" w:sz="0" w:space="0" w:color="auto"/>
        <w:right w:val="none" w:sz="0" w:space="0" w:color="auto"/>
      </w:divBdr>
    </w:div>
    <w:div w:id="1191606411">
      <w:bodyDiv w:val="1"/>
      <w:marLeft w:val="0"/>
      <w:marRight w:val="0"/>
      <w:marTop w:val="0"/>
      <w:marBottom w:val="0"/>
      <w:divBdr>
        <w:top w:val="none" w:sz="0" w:space="0" w:color="auto"/>
        <w:left w:val="none" w:sz="0" w:space="0" w:color="auto"/>
        <w:bottom w:val="none" w:sz="0" w:space="0" w:color="auto"/>
        <w:right w:val="none" w:sz="0" w:space="0" w:color="auto"/>
      </w:divBdr>
    </w:div>
    <w:div w:id="1211959980">
      <w:bodyDiv w:val="1"/>
      <w:marLeft w:val="0"/>
      <w:marRight w:val="0"/>
      <w:marTop w:val="0"/>
      <w:marBottom w:val="0"/>
      <w:divBdr>
        <w:top w:val="none" w:sz="0" w:space="0" w:color="auto"/>
        <w:left w:val="none" w:sz="0" w:space="0" w:color="auto"/>
        <w:bottom w:val="none" w:sz="0" w:space="0" w:color="auto"/>
        <w:right w:val="none" w:sz="0" w:space="0" w:color="auto"/>
      </w:divBdr>
    </w:div>
    <w:div w:id="1224560377">
      <w:bodyDiv w:val="1"/>
      <w:marLeft w:val="0"/>
      <w:marRight w:val="0"/>
      <w:marTop w:val="0"/>
      <w:marBottom w:val="0"/>
      <w:divBdr>
        <w:top w:val="none" w:sz="0" w:space="0" w:color="auto"/>
        <w:left w:val="none" w:sz="0" w:space="0" w:color="auto"/>
        <w:bottom w:val="none" w:sz="0" w:space="0" w:color="auto"/>
        <w:right w:val="none" w:sz="0" w:space="0" w:color="auto"/>
      </w:divBdr>
    </w:div>
    <w:div w:id="1229807601">
      <w:bodyDiv w:val="1"/>
      <w:marLeft w:val="0"/>
      <w:marRight w:val="0"/>
      <w:marTop w:val="0"/>
      <w:marBottom w:val="0"/>
      <w:divBdr>
        <w:top w:val="none" w:sz="0" w:space="0" w:color="auto"/>
        <w:left w:val="none" w:sz="0" w:space="0" w:color="auto"/>
        <w:bottom w:val="none" w:sz="0" w:space="0" w:color="auto"/>
        <w:right w:val="none" w:sz="0" w:space="0" w:color="auto"/>
      </w:divBdr>
    </w:div>
    <w:div w:id="1230387948">
      <w:bodyDiv w:val="1"/>
      <w:marLeft w:val="0"/>
      <w:marRight w:val="0"/>
      <w:marTop w:val="0"/>
      <w:marBottom w:val="0"/>
      <w:divBdr>
        <w:top w:val="none" w:sz="0" w:space="0" w:color="auto"/>
        <w:left w:val="none" w:sz="0" w:space="0" w:color="auto"/>
        <w:bottom w:val="none" w:sz="0" w:space="0" w:color="auto"/>
        <w:right w:val="none" w:sz="0" w:space="0" w:color="auto"/>
      </w:divBdr>
    </w:div>
    <w:div w:id="1233813311">
      <w:bodyDiv w:val="1"/>
      <w:marLeft w:val="0"/>
      <w:marRight w:val="0"/>
      <w:marTop w:val="0"/>
      <w:marBottom w:val="0"/>
      <w:divBdr>
        <w:top w:val="none" w:sz="0" w:space="0" w:color="auto"/>
        <w:left w:val="none" w:sz="0" w:space="0" w:color="auto"/>
        <w:bottom w:val="none" w:sz="0" w:space="0" w:color="auto"/>
        <w:right w:val="none" w:sz="0" w:space="0" w:color="auto"/>
      </w:divBdr>
    </w:div>
    <w:div w:id="1238519631">
      <w:bodyDiv w:val="1"/>
      <w:marLeft w:val="0"/>
      <w:marRight w:val="0"/>
      <w:marTop w:val="0"/>
      <w:marBottom w:val="0"/>
      <w:divBdr>
        <w:top w:val="none" w:sz="0" w:space="0" w:color="auto"/>
        <w:left w:val="none" w:sz="0" w:space="0" w:color="auto"/>
        <w:bottom w:val="none" w:sz="0" w:space="0" w:color="auto"/>
        <w:right w:val="none" w:sz="0" w:space="0" w:color="auto"/>
      </w:divBdr>
    </w:div>
    <w:div w:id="1240406613">
      <w:bodyDiv w:val="1"/>
      <w:marLeft w:val="0"/>
      <w:marRight w:val="0"/>
      <w:marTop w:val="0"/>
      <w:marBottom w:val="0"/>
      <w:divBdr>
        <w:top w:val="none" w:sz="0" w:space="0" w:color="auto"/>
        <w:left w:val="none" w:sz="0" w:space="0" w:color="auto"/>
        <w:bottom w:val="none" w:sz="0" w:space="0" w:color="auto"/>
        <w:right w:val="none" w:sz="0" w:space="0" w:color="auto"/>
      </w:divBdr>
    </w:div>
    <w:div w:id="1313482472">
      <w:bodyDiv w:val="1"/>
      <w:marLeft w:val="0"/>
      <w:marRight w:val="0"/>
      <w:marTop w:val="0"/>
      <w:marBottom w:val="0"/>
      <w:divBdr>
        <w:top w:val="none" w:sz="0" w:space="0" w:color="auto"/>
        <w:left w:val="none" w:sz="0" w:space="0" w:color="auto"/>
        <w:bottom w:val="none" w:sz="0" w:space="0" w:color="auto"/>
        <w:right w:val="none" w:sz="0" w:space="0" w:color="auto"/>
      </w:divBdr>
    </w:div>
    <w:div w:id="1331526409">
      <w:bodyDiv w:val="1"/>
      <w:marLeft w:val="0"/>
      <w:marRight w:val="0"/>
      <w:marTop w:val="0"/>
      <w:marBottom w:val="0"/>
      <w:divBdr>
        <w:top w:val="none" w:sz="0" w:space="0" w:color="auto"/>
        <w:left w:val="none" w:sz="0" w:space="0" w:color="auto"/>
        <w:bottom w:val="none" w:sz="0" w:space="0" w:color="auto"/>
        <w:right w:val="none" w:sz="0" w:space="0" w:color="auto"/>
      </w:divBdr>
    </w:div>
    <w:div w:id="1350718318">
      <w:bodyDiv w:val="1"/>
      <w:marLeft w:val="0"/>
      <w:marRight w:val="0"/>
      <w:marTop w:val="0"/>
      <w:marBottom w:val="0"/>
      <w:divBdr>
        <w:top w:val="none" w:sz="0" w:space="0" w:color="auto"/>
        <w:left w:val="none" w:sz="0" w:space="0" w:color="auto"/>
        <w:bottom w:val="none" w:sz="0" w:space="0" w:color="auto"/>
        <w:right w:val="none" w:sz="0" w:space="0" w:color="auto"/>
      </w:divBdr>
    </w:div>
    <w:div w:id="1429734576">
      <w:bodyDiv w:val="1"/>
      <w:marLeft w:val="0"/>
      <w:marRight w:val="0"/>
      <w:marTop w:val="0"/>
      <w:marBottom w:val="0"/>
      <w:divBdr>
        <w:top w:val="none" w:sz="0" w:space="0" w:color="auto"/>
        <w:left w:val="none" w:sz="0" w:space="0" w:color="auto"/>
        <w:bottom w:val="none" w:sz="0" w:space="0" w:color="auto"/>
        <w:right w:val="none" w:sz="0" w:space="0" w:color="auto"/>
      </w:divBdr>
    </w:div>
    <w:div w:id="1461340690">
      <w:bodyDiv w:val="1"/>
      <w:marLeft w:val="0"/>
      <w:marRight w:val="0"/>
      <w:marTop w:val="0"/>
      <w:marBottom w:val="0"/>
      <w:divBdr>
        <w:top w:val="none" w:sz="0" w:space="0" w:color="auto"/>
        <w:left w:val="none" w:sz="0" w:space="0" w:color="auto"/>
        <w:bottom w:val="none" w:sz="0" w:space="0" w:color="auto"/>
        <w:right w:val="none" w:sz="0" w:space="0" w:color="auto"/>
      </w:divBdr>
    </w:div>
    <w:div w:id="1461730856">
      <w:bodyDiv w:val="1"/>
      <w:marLeft w:val="0"/>
      <w:marRight w:val="0"/>
      <w:marTop w:val="0"/>
      <w:marBottom w:val="0"/>
      <w:divBdr>
        <w:top w:val="none" w:sz="0" w:space="0" w:color="auto"/>
        <w:left w:val="none" w:sz="0" w:space="0" w:color="auto"/>
        <w:bottom w:val="none" w:sz="0" w:space="0" w:color="auto"/>
        <w:right w:val="none" w:sz="0" w:space="0" w:color="auto"/>
      </w:divBdr>
    </w:div>
    <w:div w:id="1561475868">
      <w:bodyDiv w:val="1"/>
      <w:marLeft w:val="0"/>
      <w:marRight w:val="0"/>
      <w:marTop w:val="0"/>
      <w:marBottom w:val="0"/>
      <w:divBdr>
        <w:top w:val="none" w:sz="0" w:space="0" w:color="auto"/>
        <w:left w:val="none" w:sz="0" w:space="0" w:color="auto"/>
        <w:bottom w:val="none" w:sz="0" w:space="0" w:color="auto"/>
        <w:right w:val="none" w:sz="0" w:space="0" w:color="auto"/>
      </w:divBdr>
    </w:div>
    <w:div w:id="1569266075">
      <w:bodyDiv w:val="1"/>
      <w:marLeft w:val="0"/>
      <w:marRight w:val="0"/>
      <w:marTop w:val="0"/>
      <w:marBottom w:val="0"/>
      <w:divBdr>
        <w:top w:val="none" w:sz="0" w:space="0" w:color="auto"/>
        <w:left w:val="none" w:sz="0" w:space="0" w:color="auto"/>
        <w:bottom w:val="none" w:sz="0" w:space="0" w:color="auto"/>
        <w:right w:val="none" w:sz="0" w:space="0" w:color="auto"/>
      </w:divBdr>
    </w:div>
    <w:div w:id="1583493050">
      <w:bodyDiv w:val="1"/>
      <w:marLeft w:val="0"/>
      <w:marRight w:val="0"/>
      <w:marTop w:val="0"/>
      <w:marBottom w:val="0"/>
      <w:divBdr>
        <w:top w:val="none" w:sz="0" w:space="0" w:color="auto"/>
        <w:left w:val="none" w:sz="0" w:space="0" w:color="auto"/>
        <w:bottom w:val="none" w:sz="0" w:space="0" w:color="auto"/>
        <w:right w:val="none" w:sz="0" w:space="0" w:color="auto"/>
      </w:divBdr>
    </w:div>
    <w:div w:id="1592274292">
      <w:bodyDiv w:val="1"/>
      <w:marLeft w:val="0"/>
      <w:marRight w:val="0"/>
      <w:marTop w:val="0"/>
      <w:marBottom w:val="0"/>
      <w:divBdr>
        <w:top w:val="none" w:sz="0" w:space="0" w:color="auto"/>
        <w:left w:val="none" w:sz="0" w:space="0" w:color="auto"/>
        <w:bottom w:val="none" w:sz="0" w:space="0" w:color="auto"/>
        <w:right w:val="none" w:sz="0" w:space="0" w:color="auto"/>
      </w:divBdr>
    </w:div>
    <w:div w:id="1599407612">
      <w:bodyDiv w:val="1"/>
      <w:marLeft w:val="0"/>
      <w:marRight w:val="0"/>
      <w:marTop w:val="0"/>
      <w:marBottom w:val="0"/>
      <w:divBdr>
        <w:top w:val="none" w:sz="0" w:space="0" w:color="auto"/>
        <w:left w:val="none" w:sz="0" w:space="0" w:color="auto"/>
        <w:bottom w:val="none" w:sz="0" w:space="0" w:color="auto"/>
        <w:right w:val="none" w:sz="0" w:space="0" w:color="auto"/>
      </w:divBdr>
    </w:div>
    <w:div w:id="1636250150">
      <w:bodyDiv w:val="1"/>
      <w:marLeft w:val="0"/>
      <w:marRight w:val="0"/>
      <w:marTop w:val="0"/>
      <w:marBottom w:val="0"/>
      <w:divBdr>
        <w:top w:val="none" w:sz="0" w:space="0" w:color="auto"/>
        <w:left w:val="none" w:sz="0" w:space="0" w:color="auto"/>
        <w:bottom w:val="none" w:sz="0" w:space="0" w:color="auto"/>
        <w:right w:val="none" w:sz="0" w:space="0" w:color="auto"/>
      </w:divBdr>
    </w:div>
    <w:div w:id="1643926084">
      <w:bodyDiv w:val="1"/>
      <w:marLeft w:val="0"/>
      <w:marRight w:val="0"/>
      <w:marTop w:val="0"/>
      <w:marBottom w:val="0"/>
      <w:divBdr>
        <w:top w:val="none" w:sz="0" w:space="0" w:color="auto"/>
        <w:left w:val="none" w:sz="0" w:space="0" w:color="auto"/>
        <w:bottom w:val="none" w:sz="0" w:space="0" w:color="auto"/>
        <w:right w:val="none" w:sz="0" w:space="0" w:color="auto"/>
      </w:divBdr>
    </w:div>
    <w:div w:id="1700546655">
      <w:bodyDiv w:val="1"/>
      <w:marLeft w:val="0"/>
      <w:marRight w:val="0"/>
      <w:marTop w:val="0"/>
      <w:marBottom w:val="0"/>
      <w:divBdr>
        <w:top w:val="none" w:sz="0" w:space="0" w:color="auto"/>
        <w:left w:val="none" w:sz="0" w:space="0" w:color="auto"/>
        <w:bottom w:val="none" w:sz="0" w:space="0" w:color="auto"/>
        <w:right w:val="none" w:sz="0" w:space="0" w:color="auto"/>
      </w:divBdr>
    </w:div>
    <w:div w:id="1735348002">
      <w:bodyDiv w:val="1"/>
      <w:marLeft w:val="0"/>
      <w:marRight w:val="0"/>
      <w:marTop w:val="0"/>
      <w:marBottom w:val="0"/>
      <w:divBdr>
        <w:top w:val="none" w:sz="0" w:space="0" w:color="auto"/>
        <w:left w:val="none" w:sz="0" w:space="0" w:color="auto"/>
        <w:bottom w:val="none" w:sz="0" w:space="0" w:color="auto"/>
        <w:right w:val="none" w:sz="0" w:space="0" w:color="auto"/>
      </w:divBdr>
    </w:div>
    <w:div w:id="1743404357">
      <w:bodyDiv w:val="1"/>
      <w:marLeft w:val="0"/>
      <w:marRight w:val="0"/>
      <w:marTop w:val="0"/>
      <w:marBottom w:val="0"/>
      <w:divBdr>
        <w:top w:val="none" w:sz="0" w:space="0" w:color="auto"/>
        <w:left w:val="none" w:sz="0" w:space="0" w:color="auto"/>
        <w:bottom w:val="none" w:sz="0" w:space="0" w:color="auto"/>
        <w:right w:val="none" w:sz="0" w:space="0" w:color="auto"/>
      </w:divBdr>
    </w:div>
    <w:div w:id="1756628383">
      <w:bodyDiv w:val="1"/>
      <w:marLeft w:val="0"/>
      <w:marRight w:val="0"/>
      <w:marTop w:val="0"/>
      <w:marBottom w:val="0"/>
      <w:divBdr>
        <w:top w:val="none" w:sz="0" w:space="0" w:color="auto"/>
        <w:left w:val="none" w:sz="0" w:space="0" w:color="auto"/>
        <w:bottom w:val="none" w:sz="0" w:space="0" w:color="auto"/>
        <w:right w:val="none" w:sz="0" w:space="0" w:color="auto"/>
      </w:divBdr>
    </w:div>
    <w:div w:id="1760520393">
      <w:bodyDiv w:val="1"/>
      <w:marLeft w:val="0"/>
      <w:marRight w:val="0"/>
      <w:marTop w:val="0"/>
      <w:marBottom w:val="0"/>
      <w:divBdr>
        <w:top w:val="none" w:sz="0" w:space="0" w:color="auto"/>
        <w:left w:val="none" w:sz="0" w:space="0" w:color="auto"/>
        <w:bottom w:val="none" w:sz="0" w:space="0" w:color="auto"/>
        <w:right w:val="none" w:sz="0" w:space="0" w:color="auto"/>
      </w:divBdr>
    </w:div>
    <w:div w:id="1771510674">
      <w:bodyDiv w:val="1"/>
      <w:marLeft w:val="0"/>
      <w:marRight w:val="0"/>
      <w:marTop w:val="0"/>
      <w:marBottom w:val="0"/>
      <w:divBdr>
        <w:top w:val="none" w:sz="0" w:space="0" w:color="auto"/>
        <w:left w:val="none" w:sz="0" w:space="0" w:color="auto"/>
        <w:bottom w:val="none" w:sz="0" w:space="0" w:color="auto"/>
        <w:right w:val="none" w:sz="0" w:space="0" w:color="auto"/>
      </w:divBdr>
    </w:div>
    <w:div w:id="1782917328">
      <w:bodyDiv w:val="1"/>
      <w:marLeft w:val="0"/>
      <w:marRight w:val="0"/>
      <w:marTop w:val="0"/>
      <w:marBottom w:val="0"/>
      <w:divBdr>
        <w:top w:val="none" w:sz="0" w:space="0" w:color="auto"/>
        <w:left w:val="none" w:sz="0" w:space="0" w:color="auto"/>
        <w:bottom w:val="none" w:sz="0" w:space="0" w:color="auto"/>
        <w:right w:val="none" w:sz="0" w:space="0" w:color="auto"/>
      </w:divBdr>
    </w:div>
    <w:div w:id="1828934487">
      <w:bodyDiv w:val="1"/>
      <w:marLeft w:val="0"/>
      <w:marRight w:val="0"/>
      <w:marTop w:val="0"/>
      <w:marBottom w:val="0"/>
      <w:divBdr>
        <w:top w:val="none" w:sz="0" w:space="0" w:color="auto"/>
        <w:left w:val="none" w:sz="0" w:space="0" w:color="auto"/>
        <w:bottom w:val="none" w:sz="0" w:space="0" w:color="auto"/>
        <w:right w:val="none" w:sz="0" w:space="0" w:color="auto"/>
      </w:divBdr>
    </w:div>
    <w:div w:id="1854147156">
      <w:bodyDiv w:val="1"/>
      <w:marLeft w:val="0"/>
      <w:marRight w:val="0"/>
      <w:marTop w:val="0"/>
      <w:marBottom w:val="0"/>
      <w:divBdr>
        <w:top w:val="none" w:sz="0" w:space="0" w:color="auto"/>
        <w:left w:val="none" w:sz="0" w:space="0" w:color="auto"/>
        <w:bottom w:val="none" w:sz="0" w:space="0" w:color="auto"/>
        <w:right w:val="none" w:sz="0" w:space="0" w:color="auto"/>
      </w:divBdr>
    </w:div>
    <w:div w:id="1957592244">
      <w:bodyDiv w:val="1"/>
      <w:marLeft w:val="0"/>
      <w:marRight w:val="0"/>
      <w:marTop w:val="0"/>
      <w:marBottom w:val="0"/>
      <w:divBdr>
        <w:top w:val="none" w:sz="0" w:space="0" w:color="auto"/>
        <w:left w:val="none" w:sz="0" w:space="0" w:color="auto"/>
        <w:bottom w:val="none" w:sz="0" w:space="0" w:color="auto"/>
        <w:right w:val="none" w:sz="0" w:space="0" w:color="auto"/>
      </w:divBdr>
    </w:div>
    <w:div w:id="2079859812">
      <w:bodyDiv w:val="1"/>
      <w:marLeft w:val="0"/>
      <w:marRight w:val="0"/>
      <w:marTop w:val="0"/>
      <w:marBottom w:val="0"/>
      <w:divBdr>
        <w:top w:val="none" w:sz="0" w:space="0" w:color="auto"/>
        <w:left w:val="none" w:sz="0" w:space="0" w:color="auto"/>
        <w:bottom w:val="none" w:sz="0" w:space="0" w:color="auto"/>
        <w:right w:val="none" w:sz="0" w:space="0" w:color="auto"/>
      </w:divBdr>
    </w:div>
    <w:div w:id="210626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4CB10-27B7-46B0-8431-B79D1B14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1530</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Report to Hartlepool Schools’ Forum 10th October 2012</vt:lpstr>
    </vt:vector>
  </TitlesOfParts>
  <Company>Sx3</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Hartlepool Schools’ Forum 10th October 2012</dc:title>
  <dc:creator>ceacdw</dc:creator>
  <cp:lastModifiedBy>Eileen Larkin</cp:lastModifiedBy>
  <cp:revision>3</cp:revision>
  <cp:lastPrinted>2018-11-22T15:03:00Z</cp:lastPrinted>
  <dcterms:created xsi:type="dcterms:W3CDTF">2019-11-21T09:05:00Z</dcterms:created>
  <dcterms:modified xsi:type="dcterms:W3CDTF">2019-11-21T09:05:00Z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-852856656</vt:i4>
  </property>
  <property fmtid="{D5CDD505-2E9C-101B-9397-08002B2CF9AE}" pid="3" name="_NewReviewCycle">
    <vt:lpwstr/>
  </property>
  <property fmtid="{D5CDD505-2E9C-101B-9397-08002B2CF9AE}" pid="4" name="_EmailSubject">
    <vt:lpwstr>Schools Forum - 26 November 2019</vt:lpwstr>
  </property>
  <property fmtid="{D5CDD505-2E9C-101B-9397-08002B2CF9AE}" pid="5" name="_AuthorEmail">
    <vt:lpwstr>Eileen.Larkin@hartlepool.gov.uk</vt:lpwstr>
  </property>
  <property fmtid="{D5CDD505-2E9C-101B-9397-08002B2CF9AE}" pid="6" name="_AuthorEmailDisplayName">
    <vt:lpwstr>Eileen Larkin</vt:lpwstr>
  </property>
  <property fmtid="{D5CDD505-2E9C-101B-9397-08002B2CF9AE}" pid="7" name="_PreviousAdHocReviewCycleID">
    <vt:i4>-817326006</vt:i4>
  </property>
</Properties>
</file>