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65" w:rsidRDefault="00B15188" w:rsidP="006468D2">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Report to Hartlepool Schools’ Forum</w:t>
      </w:r>
      <w:r>
        <w:rPr>
          <w:rFonts w:ascii="Arial" w:hAnsi="Arial" w:cs="Arial"/>
          <w:b/>
          <w:bCs/>
        </w:rPr>
        <w:t xml:space="preserve"> </w:t>
      </w:r>
      <w:r w:rsidR="00BE4286">
        <w:rPr>
          <w:rFonts w:ascii="Arial" w:hAnsi="Arial" w:cs="Arial"/>
          <w:b/>
          <w:bCs/>
        </w:rPr>
        <w:t>11 Octo</w:t>
      </w:r>
      <w:r w:rsidR="00BA212A">
        <w:rPr>
          <w:rFonts w:ascii="Arial" w:hAnsi="Arial" w:cs="Arial"/>
          <w:b/>
          <w:bCs/>
        </w:rPr>
        <w:t>ber 2019</w:t>
      </w:r>
    </w:p>
    <w:p w:rsidR="00B05C65" w:rsidRDefault="00B15188" w:rsidP="006468D2">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044223">
        <w:rPr>
          <w:rFonts w:ascii="Arial" w:hAnsi="Arial" w:cs="Arial"/>
          <w:b/>
          <w:bCs/>
        </w:rPr>
        <w:t>Early Years Task and Finish Group</w:t>
      </w:r>
    </w:p>
    <w:p w:rsidR="00476556" w:rsidRPr="001B0FA1" w:rsidRDefault="00476556" w:rsidP="00F7785D">
      <w:pPr>
        <w:rPr>
          <w:rFonts w:ascii="Arial" w:hAnsi="Arial" w:cs="Arial"/>
        </w:rPr>
      </w:pPr>
    </w:p>
    <w:p w:rsidR="00B05C65" w:rsidRDefault="00340CC7" w:rsidP="00483799">
      <w:pPr>
        <w:pStyle w:val="Heading1"/>
      </w:pPr>
      <w:r w:rsidRPr="00BA212A">
        <w:t>Item</w:t>
      </w:r>
      <w:r w:rsidR="00483799" w:rsidRPr="00BA212A">
        <w:t xml:space="preserve"> </w:t>
      </w:r>
      <w:r w:rsidR="003100AE">
        <w:t>6</w:t>
      </w:r>
      <w:bookmarkStart w:id="0" w:name="_GoBack"/>
      <w:bookmarkEnd w:id="0"/>
      <w:r w:rsidRPr="00BA212A">
        <w:t>:</w:t>
      </w:r>
      <w:r w:rsidR="007C79E2" w:rsidRPr="00BA212A">
        <w:t xml:space="preserve"> </w:t>
      </w:r>
      <w:r w:rsidR="00165672" w:rsidRPr="00BA212A">
        <w:t>Dedicated</w:t>
      </w:r>
      <w:r w:rsidR="00165672">
        <w:t xml:space="preserve"> Schools Grant – Early Years Block </w:t>
      </w:r>
      <w:r w:rsidR="00BE4286">
        <w:t>2 Year Old Entitlement Review</w:t>
      </w:r>
    </w:p>
    <w:p w:rsidR="00693131" w:rsidRDefault="00693131" w:rsidP="00F7785D">
      <w:pPr>
        <w:rPr>
          <w:rFonts w:ascii="Arial" w:hAnsi="Arial" w:cs="Arial"/>
        </w:rPr>
      </w:pPr>
    </w:p>
    <w:p w:rsidR="003F18B2" w:rsidRPr="001B0FA1" w:rsidRDefault="003F18B2" w:rsidP="00F7785D">
      <w:pPr>
        <w:rPr>
          <w:rFonts w:ascii="Arial" w:hAnsi="Arial" w:cs="Arial"/>
        </w:rPr>
      </w:pPr>
    </w:p>
    <w:p w:rsidR="00A13C1F" w:rsidRPr="00B15188" w:rsidRDefault="00D6440E" w:rsidP="00F7785D">
      <w:pPr>
        <w:pStyle w:val="ListParagraph"/>
        <w:numPr>
          <w:ilvl w:val="0"/>
          <w:numId w:val="2"/>
        </w:numPr>
        <w:ind w:left="709"/>
        <w:rPr>
          <w:rFonts w:ascii="Arial" w:hAnsi="Arial" w:cs="Arial"/>
          <w:b/>
          <w:u w:val="single"/>
        </w:rPr>
      </w:pPr>
      <w:r w:rsidRPr="00B15188">
        <w:rPr>
          <w:rFonts w:ascii="Arial" w:hAnsi="Arial" w:cs="Arial"/>
          <w:b/>
          <w:u w:val="single"/>
        </w:rPr>
        <w:t xml:space="preserve">Introduction </w:t>
      </w:r>
    </w:p>
    <w:p w:rsidR="00D4028E" w:rsidRPr="00D4028E" w:rsidRDefault="00D4028E" w:rsidP="00F7785D">
      <w:pPr>
        <w:ind w:left="-11"/>
        <w:rPr>
          <w:rFonts w:ascii="Arial" w:hAnsi="Arial" w:cs="Arial"/>
          <w:b/>
        </w:rPr>
      </w:pPr>
    </w:p>
    <w:p w:rsidR="00476556" w:rsidRDefault="00A13C1F" w:rsidP="00F7785D">
      <w:pPr>
        <w:pStyle w:val="ListParagraph"/>
        <w:ind w:left="709" w:hanging="709"/>
        <w:rPr>
          <w:rFonts w:ascii="Arial" w:hAnsi="Arial" w:cs="Arial"/>
        </w:rPr>
      </w:pPr>
      <w:r>
        <w:rPr>
          <w:rFonts w:ascii="Arial" w:hAnsi="Arial" w:cs="Arial"/>
        </w:rPr>
        <w:t>1.1</w:t>
      </w:r>
      <w:r>
        <w:rPr>
          <w:rFonts w:ascii="Arial" w:hAnsi="Arial" w:cs="Arial"/>
        </w:rPr>
        <w:tab/>
      </w:r>
      <w:r w:rsidR="00BE4286">
        <w:rPr>
          <w:rFonts w:ascii="Arial" w:hAnsi="Arial" w:cs="Arial"/>
        </w:rPr>
        <w:t>Schools’ Forum reviewed a report at their meeting on 21 June 2019 that introduced the issue of a funding shortfall against 2 year old entitlement within the Early Years Block.</w:t>
      </w:r>
    </w:p>
    <w:p w:rsidR="00BA212A" w:rsidRDefault="00BA212A" w:rsidP="00F7785D">
      <w:pPr>
        <w:pStyle w:val="ListParagraph"/>
        <w:ind w:left="709" w:hanging="709"/>
        <w:rPr>
          <w:rFonts w:ascii="Arial" w:hAnsi="Arial" w:cs="Arial"/>
        </w:rPr>
      </w:pPr>
    </w:p>
    <w:p w:rsidR="00BA212A" w:rsidRDefault="00BA212A" w:rsidP="00F7785D">
      <w:pPr>
        <w:pStyle w:val="ListParagraph"/>
        <w:ind w:left="709" w:hanging="709"/>
        <w:rPr>
          <w:rFonts w:ascii="Arial" w:hAnsi="Arial" w:cs="Arial"/>
        </w:rPr>
      </w:pPr>
      <w:r>
        <w:rPr>
          <w:rFonts w:ascii="Arial" w:hAnsi="Arial" w:cs="Arial"/>
        </w:rPr>
        <w:t>1.2</w:t>
      </w:r>
      <w:r>
        <w:rPr>
          <w:rFonts w:ascii="Arial" w:hAnsi="Arial" w:cs="Arial"/>
        </w:rPr>
        <w:tab/>
      </w:r>
      <w:r w:rsidR="00BE4286">
        <w:rPr>
          <w:rFonts w:ascii="Arial" w:hAnsi="Arial" w:cs="Arial"/>
        </w:rPr>
        <w:t>Forum Members will recall that a Task and Finish Group was established at the meeting to better understand the reasons for the funding shortfall and to assess options available for dealing with the financial pressure.</w:t>
      </w:r>
    </w:p>
    <w:p w:rsidR="00BE4286" w:rsidRDefault="00BE4286" w:rsidP="00F7785D">
      <w:pPr>
        <w:pStyle w:val="ListParagraph"/>
        <w:ind w:left="709" w:hanging="709"/>
        <w:rPr>
          <w:rFonts w:ascii="Arial" w:hAnsi="Arial" w:cs="Arial"/>
        </w:rPr>
      </w:pPr>
    </w:p>
    <w:p w:rsidR="002110A2" w:rsidRDefault="00BE4286" w:rsidP="00F7785D">
      <w:pPr>
        <w:pStyle w:val="ListParagraph"/>
        <w:ind w:left="709" w:hanging="709"/>
        <w:rPr>
          <w:rFonts w:ascii="Arial" w:hAnsi="Arial" w:cs="Arial"/>
        </w:rPr>
      </w:pPr>
      <w:r>
        <w:rPr>
          <w:rFonts w:ascii="Arial" w:hAnsi="Arial" w:cs="Arial"/>
        </w:rPr>
        <w:t>1.3</w:t>
      </w:r>
      <w:r>
        <w:rPr>
          <w:rFonts w:ascii="Arial" w:hAnsi="Arial" w:cs="Arial"/>
        </w:rPr>
        <w:tab/>
      </w:r>
      <w:r w:rsidR="00362B2A">
        <w:rPr>
          <w:rFonts w:ascii="Arial" w:hAnsi="Arial" w:cs="Arial"/>
        </w:rPr>
        <w:t>Appendix 1 to t</w:t>
      </w:r>
      <w:r>
        <w:rPr>
          <w:rFonts w:ascii="Arial" w:hAnsi="Arial" w:cs="Arial"/>
        </w:rPr>
        <w:t xml:space="preserve">his report </w:t>
      </w:r>
      <w:r w:rsidR="00362B2A">
        <w:rPr>
          <w:rFonts w:ascii="Arial" w:hAnsi="Arial" w:cs="Arial"/>
        </w:rPr>
        <w:t xml:space="preserve">outlines the analysis completed by the </w:t>
      </w:r>
      <w:r>
        <w:rPr>
          <w:rFonts w:ascii="Arial" w:hAnsi="Arial" w:cs="Arial"/>
        </w:rPr>
        <w:t>Task and Finish Group and</w:t>
      </w:r>
      <w:r w:rsidR="002110A2">
        <w:rPr>
          <w:rFonts w:ascii="Arial" w:hAnsi="Arial" w:cs="Arial"/>
        </w:rPr>
        <w:t xml:space="preserve"> their associated findings</w:t>
      </w:r>
      <w:r w:rsidR="0036598A">
        <w:rPr>
          <w:rFonts w:ascii="Arial" w:hAnsi="Arial" w:cs="Arial"/>
        </w:rPr>
        <w:t xml:space="preserve"> to date</w:t>
      </w:r>
      <w:r w:rsidR="002110A2">
        <w:rPr>
          <w:rFonts w:ascii="Arial" w:hAnsi="Arial" w:cs="Arial"/>
        </w:rPr>
        <w:t>.</w:t>
      </w:r>
    </w:p>
    <w:p w:rsidR="002110A2" w:rsidRDefault="002110A2" w:rsidP="00F7785D">
      <w:pPr>
        <w:pStyle w:val="ListParagraph"/>
        <w:ind w:left="709" w:hanging="709"/>
        <w:rPr>
          <w:rFonts w:ascii="Arial" w:hAnsi="Arial" w:cs="Arial"/>
        </w:rPr>
      </w:pPr>
    </w:p>
    <w:p w:rsidR="00BE4286" w:rsidRDefault="0036598A" w:rsidP="00F7785D">
      <w:pPr>
        <w:pStyle w:val="ListParagraph"/>
        <w:ind w:left="709" w:hanging="709"/>
        <w:rPr>
          <w:rFonts w:ascii="Arial" w:hAnsi="Arial" w:cs="Arial"/>
        </w:rPr>
      </w:pPr>
      <w:r>
        <w:rPr>
          <w:rFonts w:ascii="Arial" w:hAnsi="Arial" w:cs="Arial"/>
        </w:rPr>
        <w:t>1.4</w:t>
      </w:r>
      <w:r>
        <w:rPr>
          <w:rFonts w:ascii="Arial" w:hAnsi="Arial" w:cs="Arial"/>
        </w:rPr>
        <w:tab/>
        <w:t>This</w:t>
      </w:r>
      <w:r w:rsidR="002110A2">
        <w:rPr>
          <w:rFonts w:ascii="Arial" w:hAnsi="Arial" w:cs="Arial"/>
        </w:rPr>
        <w:t xml:space="preserve"> report</w:t>
      </w:r>
      <w:r w:rsidR="00BE4286">
        <w:rPr>
          <w:rFonts w:ascii="Arial" w:hAnsi="Arial" w:cs="Arial"/>
        </w:rPr>
        <w:t xml:space="preserve"> presents </w:t>
      </w:r>
      <w:r>
        <w:rPr>
          <w:rFonts w:ascii="Arial" w:hAnsi="Arial" w:cs="Arial"/>
        </w:rPr>
        <w:t xml:space="preserve">initial thinking from the Task and Finish Group on </w:t>
      </w:r>
      <w:r w:rsidR="002110A2">
        <w:rPr>
          <w:rFonts w:ascii="Arial" w:hAnsi="Arial" w:cs="Arial"/>
        </w:rPr>
        <w:t xml:space="preserve">potential </w:t>
      </w:r>
      <w:r w:rsidR="00BE4286">
        <w:rPr>
          <w:rFonts w:ascii="Arial" w:hAnsi="Arial" w:cs="Arial"/>
        </w:rPr>
        <w:t xml:space="preserve">options for </w:t>
      </w:r>
      <w:r w:rsidR="002110A2">
        <w:rPr>
          <w:rFonts w:ascii="Arial" w:hAnsi="Arial" w:cs="Arial"/>
        </w:rPr>
        <w:t xml:space="preserve">dealing with the funding shortfall for </w:t>
      </w:r>
      <w:r w:rsidR="00BE4286">
        <w:rPr>
          <w:rFonts w:ascii="Arial" w:hAnsi="Arial" w:cs="Arial"/>
        </w:rPr>
        <w:t>consideration by Schools’ Forum</w:t>
      </w:r>
      <w:r>
        <w:rPr>
          <w:rFonts w:ascii="Arial" w:hAnsi="Arial" w:cs="Arial"/>
        </w:rPr>
        <w:t>, along with a suggested timeline for any change</w:t>
      </w:r>
      <w:r w:rsidR="00BE4286">
        <w:rPr>
          <w:rFonts w:ascii="Arial" w:hAnsi="Arial" w:cs="Arial"/>
        </w:rPr>
        <w:t>.</w:t>
      </w:r>
      <w:r w:rsidR="002110A2">
        <w:rPr>
          <w:rFonts w:ascii="Arial" w:hAnsi="Arial" w:cs="Arial"/>
        </w:rPr>
        <w:t xml:space="preserve"> </w:t>
      </w:r>
    </w:p>
    <w:p w:rsidR="002110A2" w:rsidRDefault="002110A2" w:rsidP="00F7785D">
      <w:pPr>
        <w:pStyle w:val="ListParagraph"/>
        <w:ind w:left="709" w:hanging="709"/>
        <w:rPr>
          <w:rFonts w:ascii="Arial" w:hAnsi="Arial" w:cs="Arial"/>
        </w:rPr>
      </w:pPr>
    </w:p>
    <w:p w:rsidR="002110A2" w:rsidRDefault="002110A2" w:rsidP="00F7785D">
      <w:pPr>
        <w:pStyle w:val="ListParagraph"/>
        <w:ind w:left="709" w:hanging="709"/>
        <w:rPr>
          <w:rFonts w:ascii="Arial" w:hAnsi="Arial" w:cs="Arial"/>
        </w:rPr>
      </w:pPr>
      <w:r>
        <w:rPr>
          <w:rFonts w:ascii="Arial" w:hAnsi="Arial" w:cs="Arial"/>
        </w:rPr>
        <w:t xml:space="preserve">1.5 </w:t>
      </w:r>
      <w:r>
        <w:rPr>
          <w:rFonts w:ascii="Arial" w:hAnsi="Arial" w:cs="Arial"/>
        </w:rPr>
        <w:tab/>
        <w:t xml:space="preserve">The final decision on how to deal with the funding shortfall rests with Children’s Services Committee who will be fully briefed on the results of this consultation with Schools’ Forum. </w:t>
      </w:r>
    </w:p>
    <w:p w:rsidR="00BA212A" w:rsidRPr="00A13C1F" w:rsidRDefault="00BA212A" w:rsidP="00F7785D">
      <w:pPr>
        <w:pStyle w:val="ListParagraph"/>
        <w:ind w:left="709" w:hanging="709"/>
        <w:rPr>
          <w:rFonts w:ascii="Arial" w:hAnsi="Arial" w:cs="Arial"/>
          <w:b/>
        </w:rPr>
      </w:pPr>
    </w:p>
    <w:p w:rsidR="003F18B2" w:rsidRDefault="003F18B2" w:rsidP="00F7785D">
      <w:pPr>
        <w:rPr>
          <w:rFonts w:ascii="Arial" w:hAnsi="Arial" w:cs="Arial"/>
        </w:rPr>
      </w:pPr>
    </w:p>
    <w:p w:rsidR="0002282D" w:rsidRPr="00A13C1F" w:rsidRDefault="0002282D" w:rsidP="00F7785D">
      <w:pPr>
        <w:rPr>
          <w:rFonts w:ascii="Arial" w:hAnsi="Arial" w:cs="Arial"/>
          <w:b/>
        </w:rPr>
      </w:pPr>
      <w:r>
        <w:rPr>
          <w:rFonts w:ascii="Arial" w:hAnsi="Arial" w:cs="Arial"/>
          <w:b/>
        </w:rPr>
        <w:t>2.</w:t>
      </w:r>
      <w:r>
        <w:rPr>
          <w:rFonts w:ascii="Arial" w:hAnsi="Arial" w:cs="Arial"/>
          <w:b/>
        </w:rPr>
        <w:tab/>
      </w:r>
      <w:r w:rsidRPr="00B15188">
        <w:rPr>
          <w:rFonts w:ascii="Arial" w:hAnsi="Arial" w:cs="Arial"/>
          <w:b/>
          <w:u w:val="single"/>
        </w:rPr>
        <w:t xml:space="preserve">Background </w:t>
      </w:r>
    </w:p>
    <w:p w:rsidR="0002282D" w:rsidRDefault="0002282D" w:rsidP="00F7785D">
      <w:pPr>
        <w:rPr>
          <w:rFonts w:ascii="Arial" w:hAnsi="Arial" w:cs="Arial"/>
        </w:rPr>
      </w:pPr>
    </w:p>
    <w:p w:rsidR="002B4D3E" w:rsidRDefault="0002282D" w:rsidP="00F7785D">
      <w:pPr>
        <w:ind w:left="709" w:hanging="709"/>
        <w:rPr>
          <w:rFonts w:ascii="Arial" w:hAnsi="Arial" w:cs="Arial"/>
        </w:rPr>
      </w:pPr>
      <w:r>
        <w:rPr>
          <w:rFonts w:ascii="Arial" w:hAnsi="Arial" w:cs="Arial"/>
        </w:rPr>
        <w:t>2.1</w:t>
      </w:r>
      <w:r w:rsidR="00D4028E">
        <w:rPr>
          <w:rFonts w:ascii="Arial" w:hAnsi="Arial" w:cs="Arial"/>
        </w:rPr>
        <w:tab/>
      </w:r>
      <w:r w:rsidR="00BE4286">
        <w:rPr>
          <w:rFonts w:ascii="Arial" w:hAnsi="Arial" w:cs="Arial"/>
        </w:rPr>
        <w:t xml:space="preserve">Since 2016/17, spending against the Early Years National Funding </w:t>
      </w:r>
      <w:r w:rsidR="00362B2A">
        <w:rPr>
          <w:rFonts w:ascii="Arial" w:hAnsi="Arial" w:cs="Arial"/>
        </w:rPr>
        <w:t>Formula has returned a year-end underspend that has been taken to DSG reserves.</w:t>
      </w:r>
      <w:r w:rsidR="006E6C15">
        <w:rPr>
          <w:rFonts w:ascii="Arial" w:hAnsi="Arial" w:cs="Arial"/>
        </w:rPr>
        <w:t xml:space="preserve"> </w:t>
      </w:r>
      <w:r w:rsidR="005D71FC">
        <w:rPr>
          <w:rFonts w:ascii="Arial" w:hAnsi="Arial" w:cs="Arial"/>
        </w:rPr>
        <w:t xml:space="preserve"> </w:t>
      </w:r>
      <w:r w:rsidR="00B959A8">
        <w:rPr>
          <w:rFonts w:ascii="Arial" w:hAnsi="Arial" w:cs="Arial"/>
        </w:rPr>
        <w:t xml:space="preserve"> </w:t>
      </w:r>
      <w:r w:rsidR="005D71FC">
        <w:rPr>
          <w:rFonts w:ascii="Arial" w:hAnsi="Arial" w:cs="Arial"/>
        </w:rPr>
        <w:t xml:space="preserve"> </w:t>
      </w:r>
    </w:p>
    <w:p w:rsidR="002B4D3E" w:rsidRDefault="002B4D3E" w:rsidP="00F7785D">
      <w:pPr>
        <w:rPr>
          <w:rFonts w:ascii="Arial" w:hAnsi="Arial" w:cs="Arial"/>
        </w:rPr>
      </w:pPr>
    </w:p>
    <w:p w:rsidR="008E1EA8" w:rsidRDefault="0002282D" w:rsidP="00F7785D">
      <w:pPr>
        <w:ind w:left="720" w:hanging="720"/>
        <w:rPr>
          <w:rFonts w:ascii="Arial" w:hAnsi="Arial" w:cs="Arial"/>
        </w:rPr>
      </w:pPr>
      <w:r>
        <w:rPr>
          <w:rFonts w:ascii="Arial" w:hAnsi="Arial" w:cs="Arial"/>
        </w:rPr>
        <w:t>2.2</w:t>
      </w:r>
      <w:r w:rsidR="00B959A8">
        <w:rPr>
          <w:rFonts w:ascii="Arial" w:hAnsi="Arial" w:cs="Arial"/>
        </w:rPr>
        <w:tab/>
      </w:r>
      <w:r w:rsidR="00362B2A">
        <w:rPr>
          <w:rFonts w:ascii="Arial" w:hAnsi="Arial" w:cs="Arial"/>
        </w:rPr>
        <w:t xml:space="preserve">Although the overall historic position has returned </w:t>
      </w:r>
      <w:proofErr w:type="gramStart"/>
      <w:r w:rsidR="00362B2A">
        <w:rPr>
          <w:rFonts w:ascii="Arial" w:hAnsi="Arial" w:cs="Arial"/>
        </w:rPr>
        <w:t>an underspend</w:t>
      </w:r>
      <w:proofErr w:type="gramEnd"/>
      <w:r w:rsidR="00362B2A">
        <w:rPr>
          <w:rFonts w:ascii="Arial" w:hAnsi="Arial" w:cs="Arial"/>
        </w:rPr>
        <w:t xml:space="preserve">, expenditure against 2 year old entitlements has overspent during the same period. As underspending against 3-4 year old provision has exceeded overspending on 2 year old provision, the overall financial position has resulted in a contribution to DSG reserves at year-end. </w:t>
      </w:r>
    </w:p>
    <w:p w:rsidR="008E1EA8" w:rsidRDefault="008E1EA8" w:rsidP="00F7785D">
      <w:pPr>
        <w:ind w:left="720" w:hanging="720"/>
        <w:rPr>
          <w:rFonts w:ascii="Arial" w:hAnsi="Arial" w:cs="Arial"/>
        </w:rPr>
      </w:pPr>
    </w:p>
    <w:p w:rsidR="00BA212A" w:rsidRDefault="008E1EA8" w:rsidP="00BA212A">
      <w:pPr>
        <w:ind w:left="720" w:hanging="720"/>
        <w:rPr>
          <w:rFonts w:ascii="Arial" w:hAnsi="Arial" w:cs="Arial"/>
        </w:rPr>
      </w:pPr>
      <w:r>
        <w:rPr>
          <w:rFonts w:ascii="Arial" w:hAnsi="Arial" w:cs="Arial"/>
        </w:rPr>
        <w:t>2.3</w:t>
      </w:r>
      <w:r>
        <w:rPr>
          <w:rFonts w:ascii="Arial" w:hAnsi="Arial" w:cs="Arial"/>
        </w:rPr>
        <w:tab/>
      </w:r>
      <w:r w:rsidR="002110A2">
        <w:rPr>
          <w:rFonts w:ascii="Arial" w:hAnsi="Arial" w:cs="Arial"/>
        </w:rPr>
        <w:t>F</w:t>
      </w:r>
      <w:r w:rsidR="00BA212A">
        <w:rPr>
          <w:rFonts w:ascii="Arial" w:hAnsi="Arial" w:cs="Arial"/>
        </w:rPr>
        <w:t>orum Members will recall that the hourly rate</w:t>
      </w:r>
      <w:r w:rsidR="002110A2">
        <w:rPr>
          <w:rFonts w:ascii="Arial" w:hAnsi="Arial" w:cs="Arial"/>
        </w:rPr>
        <w:t xml:space="preserve"> for 3-4 year old provision</w:t>
      </w:r>
      <w:r w:rsidR="00BA212A">
        <w:rPr>
          <w:rFonts w:ascii="Arial" w:hAnsi="Arial" w:cs="Arial"/>
        </w:rPr>
        <w:t xml:space="preserve"> was restructured in 2019/20 to remove discretionary supplements and increase the base rate payable to all providers. The key reason for this decision was to increase the certainty of payments to providers in order meet the 95% pass-through rate required in the regulations.</w:t>
      </w:r>
    </w:p>
    <w:p w:rsidR="00BA212A" w:rsidRDefault="00BA212A" w:rsidP="00BA212A">
      <w:pPr>
        <w:ind w:left="720" w:hanging="720"/>
        <w:rPr>
          <w:rFonts w:ascii="Arial" w:hAnsi="Arial" w:cs="Arial"/>
        </w:rPr>
      </w:pPr>
    </w:p>
    <w:p w:rsidR="00BA212A" w:rsidRDefault="00BA212A" w:rsidP="00BA212A">
      <w:pPr>
        <w:ind w:left="720" w:hanging="720"/>
        <w:rPr>
          <w:rFonts w:ascii="Arial" w:hAnsi="Arial" w:cs="Arial"/>
        </w:rPr>
      </w:pPr>
      <w:r>
        <w:rPr>
          <w:rFonts w:ascii="Arial" w:hAnsi="Arial" w:cs="Arial"/>
        </w:rPr>
        <w:t>2.5</w:t>
      </w:r>
      <w:r>
        <w:rPr>
          <w:rFonts w:ascii="Arial" w:hAnsi="Arial" w:cs="Arial"/>
        </w:rPr>
        <w:tab/>
      </w:r>
      <w:r w:rsidR="002110A2">
        <w:rPr>
          <w:rFonts w:ascii="Arial" w:hAnsi="Arial" w:cs="Arial"/>
        </w:rPr>
        <w:t>As a result of the hourly rate change (effective from 1 April 2019), a significant underspend against 3-4 year old provision is unlikely in 201</w:t>
      </w:r>
      <w:r w:rsidR="006938D1">
        <w:rPr>
          <w:rFonts w:ascii="Arial" w:hAnsi="Arial" w:cs="Arial"/>
        </w:rPr>
        <w:t xml:space="preserve">9/20. Therefore, </w:t>
      </w:r>
      <w:r w:rsidR="006938D1">
        <w:rPr>
          <w:rFonts w:ascii="Arial" w:hAnsi="Arial" w:cs="Arial"/>
        </w:rPr>
        <w:lastRenderedPageBreak/>
        <w:t>covering a 2-year old funding shortfall by underspending against 3-4 year old provision in 2019/20</w:t>
      </w:r>
      <w:r w:rsidR="00646CBB">
        <w:rPr>
          <w:rFonts w:ascii="Arial" w:hAnsi="Arial" w:cs="Arial"/>
        </w:rPr>
        <w:t xml:space="preserve"> is not expected to be feasible.</w:t>
      </w:r>
    </w:p>
    <w:p w:rsidR="00BA212A" w:rsidRDefault="00BA212A" w:rsidP="00BA212A">
      <w:pPr>
        <w:ind w:left="720" w:hanging="720"/>
        <w:rPr>
          <w:rFonts w:ascii="Arial" w:hAnsi="Arial" w:cs="Arial"/>
        </w:rPr>
      </w:pPr>
    </w:p>
    <w:p w:rsidR="00BA212A" w:rsidRDefault="00BA212A" w:rsidP="00BA212A">
      <w:pPr>
        <w:ind w:left="720" w:hanging="720"/>
        <w:rPr>
          <w:rFonts w:ascii="Arial" w:hAnsi="Arial" w:cs="Arial"/>
        </w:rPr>
      </w:pPr>
      <w:r>
        <w:rPr>
          <w:rFonts w:ascii="Arial" w:hAnsi="Arial" w:cs="Arial"/>
        </w:rPr>
        <w:t>2.6</w:t>
      </w:r>
      <w:r>
        <w:rPr>
          <w:rFonts w:ascii="Arial" w:hAnsi="Arial" w:cs="Arial"/>
        </w:rPr>
        <w:tab/>
      </w:r>
      <w:r w:rsidR="00044223">
        <w:rPr>
          <w:rFonts w:ascii="Arial" w:hAnsi="Arial" w:cs="Arial"/>
        </w:rPr>
        <w:t>Based on latest projections for compliance with the 95% pass-through rate</w:t>
      </w:r>
      <w:r w:rsidR="006938D1">
        <w:rPr>
          <w:rFonts w:ascii="Arial" w:hAnsi="Arial" w:cs="Arial"/>
        </w:rPr>
        <w:t>,</w:t>
      </w:r>
      <w:r w:rsidR="00044223">
        <w:rPr>
          <w:rFonts w:ascii="Arial" w:hAnsi="Arial" w:cs="Arial"/>
        </w:rPr>
        <w:t xml:space="preserve"> it is expected that</w:t>
      </w:r>
      <w:r w:rsidR="006938D1">
        <w:rPr>
          <w:rFonts w:ascii="Arial" w:hAnsi="Arial" w:cs="Arial"/>
        </w:rPr>
        <w:t xml:space="preserve"> 2019/20 will be the first year since the introduction of the Early Years National Funding </w:t>
      </w:r>
      <w:r w:rsidR="00646CBB">
        <w:rPr>
          <w:rFonts w:ascii="Arial" w:hAnsi="Arial" w:cs="Arial"/>
        </w:rPr>
        <w:t>Formula that</w:t>
      </w:r>
      <w:r w:rsidR="006938D1">
        <w:rPr>
          <w:rFonts w:ascii="Arial" w:hAnsi="Arial" w:cs="Arial"/>
        </w:rPr>
        <w:t xml:space="preserve"> the Council will overspend and return a deficit against DSG funding.</w:t>
      </w:r>
    </w:p>
    <w:p w:rsidR="00A13C1F" w:rsidRDefault="00A13C1F" w:rsidP="00F7785D">
      <w:pPr>
        <w:rPr>
          <w:rFonts w:ascii="Arial" w:hAnsi="Arial" w:cs="Arial"/>
          <w:b/>
        </w:rPr>
      </w:pPr>
    </w:p>
    <w:p w:rsidR="003F18B2" w:rsidRPr="001B0FA1" w:rsidRDefault="003F18B2" w:rsidP="00F7785D">
      <w:pPr>
        <w:rPr>
          <w:rFonts w:ascii="Arial" w:hAnsi="Arial" w:cs="Arial"/>
          <w:b/>
        </w:rPr>
      </w:pPr>
    </w:p>
    <w:p w:rsidR="0002282D" w:rsidRDefault="00E024F3" w:rsidP="00F7785D">
      <w:pPr>
        <w:ind w:left="709" w:hanging="709"/>
        <w:rPr>
          <w:rFonts w:ascii="Arial" w:hAnsi="Arial" w:cs="Arial"/>
          <w:b/>
          <w:u w:val="single"/>
        </w:rPr>
      </w:pPr>
      <w:r w:rsidRPr="00E024F3">
        <w:rPr>
          <w:rFonts w:ascii="Arial" w:hAnsi="Arial" w:cs="Arial"/>
          <w:b/>
        </w:rPr>
        <w:t>3.</w:t>
      </w:r>
      <w:r w:rsidR="0002282D" w:rsidRPr="00E024F3">
        <w:rPr>
          <w:rFonts w:ascii="Arial" w:hAnsi="Arial" w:cs="Arial"/>
          <w:b/>
        </w:rPr>
        <w:tab/>
      </w:r>
      <w:r w:rsidR="006938D1">
        <w:rPr>
          <w:rFonts w:ascii="Arial" w:hAnsi="Arial" w:cs="Arial"/>
          <w:b/>
          <w:u w:val="single"/>
        </w:rPr>
        <w:t>Summary of Task and Finish Group Findings</w:t>
      </w:r>
      <w:r w:rsidR="007A6F59">
        <w:rPr>
          <w:rFonts w:ascii="Arial" w:hAnsi="Arial" w:cs="Arial"/>
          <w:b/>
          <w:u w:val="single"/>
        </w:rPr>
        <w:t xml:space="preserve"> </w:t>
      </w:r>
      <w:r w:rsidRPr="00E024F3">
        <w:rPr>
          <w:rFonts w:ascii="Arial" w:hAnsi="Arial" w:cs="Arial"/>
          <w:b/>
          <w:u w:val="single"/>
        </w:rPr>
        <w:t xml:space="preserve"> </w:t>
      </w:r>
    </w:p>
    <w:p w:rsidR="00E024F3" w:rsidRPr="00E024F3" w:rsidRDefault="00E024F3" w:rsidP="00F7785D">
      <w:pPr>
        <w:ind w:left="709" w:hanging="709"/>
        <w:rPr>
          <w:rFonts w:ascii="Arial" w:hAnsi="Arial" w:cs="Arial"/>
          <w:b/>
          <w:u w:val="single"/>
        </w:rPr>
      </w:pPr>
    </w:p>
    <w:p w:rsidR="007211E4" w:rsidRDefault="00BA212A" w:rsidP="00F7785D">
      <w:pPr>
        <w:ind w:left="709" w:hanging="709"/>
        <w:rPr>
          <w:rFonts w:ascii="Arial" w:hAnsi="Arial" w:cs="Arial"/>
        </w:rPr>
      </w:pPr>
      <w:r>
        <w:rPr>
          <w:rFonts w:ascii="Arial" w:hAnsi="Arial" w:cs="Arial"/>
        </w:rPr>
        <w:t>3.1</w:t>
      </w:r>
      <w:r>
        <w:rPr>
          <w:rFonts w:ascii="Arial" w:hAnsi="Arial" w:cs="Arial"/>
        </w:rPr>
        <w:tab/>
      </w:r>
      <w:r w:rsidR="006938D1">
        <w:rPr>
          <w:rFonts w:ascii="Arial" w:hAnsi="Arial" w:cs="Arial"/>
        </w:rPr>
        <w:t>Appendix 1 to this report documents the areas of review by the Task and Finish Group, along with work completed to explore possible mitigation of the 2 year old funding shortfall.</w:t>
      </w:r>
    </w:p>
    <w:p w:rsidR="006938D1" w:rsidRDefault="006938D1" w:rsidP="00F7785D">
      <w:pPr>
        <w:ind w:left="709" w:hanging="709"/>
        <w:rPr>
          <w:rFonts w:ascii="Arial" w:hAnsi="Arial" w:cs="Arial"/>
        </w:rPr>
      </w:pPr>
    </w:p>
    <w:p w:rsidR="006938D1" w:rsidRDefault="006938D1" w:rsidP="00F7785D">
      <w:pPr>
        <w:ind w:left="709" w:hanging="709"/>
        <w:rPr>
          <w:rFonts w:ascii="Arial" w:hAnsi="Arial" w:cs="Arial"/>
        </w:rPr>
      </w:pPr>
      <w:r>
        <w:rPr>
          <w:rFonts w:ascii="Arial" w:hAnsi="Arial" w:cs="Arial"/>
        </w:rPr>
        <w:t>3.2</w:t>
      </w:r>
      <w:r>
        <w:rPr>
          <w:rFonts w:ascii="Arial" w:hAnsi="Arial" w:cs="Arial"/>
        </w:rPr>
        <w:tab/>
        <w:t>The key findings of the Task and Finish Group can be summarised as:</w:t>
      </w:r>
    </w:p>
    <w:p w:rsidR="0036598A" w:rsidRDefault="0036598A" w:rsidP="006938D1">
      <w:pPr>
        <w:pStyle w:val="ListParagraph"/>
        <w:numPr>
          <w:ilvl w:val="0"/>
          <w:numId w:val="16"/>
        </w:numPr>
        <w:rPr>
          <w:rFonts w:ascii="Arial" w:hAnsi="Arial" w:cs="Arial"/>
        </w:rPr>
      </w:pPr>
      <w:r>
        <w:rPr>
          <w:rFonts w:ascii="Arial" w:hAnsi="Arial" w:cs="Arial"/>
        </w:rPr>
        <w:t>Unlike the Schools Block, Early Years funding from government is based on 2 census points and is adjusted in-year. Funding for 2019/20 is based on 5/12ths of the January 2019 census volumes and 7/12ths of the January 2020 volumes;</w:t>
      </w:r>
    </w:p>
    <w:p w:rsidR="006938D1" w:rsidRDefault="006938D1" w:rsidP="006938D1">
      <w:pPr>
        <w:pStyle w:val="ListParagraph"/>
        <w:numPr>
          <w:ilvl w:val="0"/>
          <w:numId w:val="16"/>
        </w:numPr>
        <w:rPr>
          <w:rFonts w:ascii="Arial" w:hAnsi="Arial" w:cs="Arial"/>
        </w:rPr>
      </w:pPr>
      <w:r>
        <w:rPr>
          <w:rFonts w:ascii="Arial" w:hAnsi="Arial" w:cs="Arial"/>
        </w:rPr>
        <w:t xml:space="preserve">Hartlepool is within the top-10 </w:t>
      </w:r>
      <w:r w:rsidR="00044223">
        <w:rPr>
          <w:rFonts w:ascii="Arial" w:hAnsi="Arial" w:cs="Arial"/>
        </w:rPr>
        <w:t xml:space="preserve">local authorities </w:t>
      </w:r>
      <w:r>
        <w:rPr>
          <w:rFonts w:ascii="Arial" w:hAnsi="Arial" w:cs="Arial"/>
        </w:rPr>
        <w:t>nationally for early years participation;</w:t>
      </w:r>
    </w:p>
    <w:p w:rsidR="006938D1" w:rsidRDefault="006938D1" w:rsidP="006938D1">
      <w:pPr>
        <w:pStyle w:val="ListParagraph"/>
        <w:numPr>
          <w:ilvl w:val="0"/>
          <w:numId w:val="16"/>
        </w:numPr>
        <w:rPr>
          <w:rFonts w:ascii="Arial" w:hAnsi="Arial" w:cs="Arial"/>
        </w:rPr>
      </w:pPr>
      <w:r>
        <w:rPr>
          <w:rFonts w:ascii="Arial" w:hAnsi="Arial" w:cs="Arial"/>
        </w:rPr>
        <w:t>2 year old provision is largely via Private, Voluntary and Independent Providers (PVIs</w:t>
      </w:r>
      <w:r w:rsidRPr="00233504">
        <w:rPr>
          <w:rFonts w:ascii="Arial" w:hAnsi="Arial" w:cs="Arial"/>
        </w:rPr>
        <w:t xml:space="preserve">) ( </w:t>
      </w:r>
      <w:r w:rsidR="00233504" w:rsidRPr="00233504">
        <w:rPr>
          <w:rFonts w:ascii="Arial" w:hAnsi="Arial" w:cs="Arial"/>
        </w:rPr>
        <w:t>76%</w:t>
      </w:r>
      <w:r w:rsidR="00FC2DA2" w:rsidRPr="00233504">
        <w:rPr>
          <w:rFonts w:ascii="Arial" w:hAnsi="Arial" w:cs="Arial"/>
        </w:rPr>
        <w:t xml:space="preserve"> </w:t>
      </w:r>
      <w:r w:rsidRPr="00233504">
        <w:rPr>
          <w:rFonts w:ascii="Arial" w:hAnsi="Arial" w:cs="Arial"/>
        </w:rPr>
        <w:t xml:space="preserve">of providers and </w:t>
      </w:r>
      <w:r w:rsidR="00233504" w:rsidRPr="00233504">
        <w:rPr>
          <w:rFonts w:ascii="Arial" w:hAnsi="Arial" w:cs="Arial"/>
        </w:rPr>
        <w:t>49%</w:t>
      </w:r>
      <w:r w:rsidRPr="00233504">
        <w:rPr>
          <w:rFonts w:ascii="Arial" w:hAnsi="Arial" w:cs="Arial"/>
        </w:rPr>
        <w:t xml:space="preserve"> of </w:t>
      </w:r>
      <w:r w:rsidR="00233504">
        <w:rPr>
          <w:rFonts w:ascii="Arial" w:hAnsi="Arial" w:cs="Arial"/>
        </w:rPr>
        <w:t xml:space="preserve">2 year old </w:t>
      </w:r>
      <w:r w:rsidRPr="00233504">
        <w:rPr>
          <w:rFonts w:ascii="Arial" w:hAnsi="Arial" w:cs="Arial"/>
        </w:rPr>
        <w:t>headcount</w:t>
      </w:r>
      <w:r>
        <w:rPr>
          <w:rFonts w:ascii="Arial" w:hAnsi="Arial" w:cs="Arial"/>
        </w:rPr>
        <w:t>);</w:t>
      </w:r>
    </w:p>
    <w:p w:rsidR="006938D1" w:rsidRDefault="006938D1" w:rsidP="006938D1">
      <w:pPr>
        <w:pStyle w:val="ListParagraph"/>
        <w:numPr>
          <w:ilvl w:val="0"/>
          <w:numId w:val="16"/>
        </w:numPr>
        <w:rPr>
          <w:rFonts w:ascii="Arial" w:hAnsi="Arial" w:cs="Arial"/>
        </w:rPr>
      </w:pPr>
      <w:r>
        <w:rPr>
          <w:rFonts w:ascii="Arial" w:hAnsi="Arial" w:cs="Arial"/>
        </w:rPr>
        <w:t>Maintained school providers are paid on the basis of 3 census points per annum, whereas Academies and PVIs are paid on the basis of actual attendance</w:t>
      </w:r>
      <w:r w:rsidR="00C22498">
        <w:rPr>
          <w:rFonts w:ascii="Arial" w:hAnsi="Arial" w:cs="Arial"/>
        </w:rPr>
        <w:t xml:space="preserve"> (via registers)</w:t>
      </w:r>
      <w:r w:rsidR="00E2200C">
        <w:rPr>
          <w:rFonts w:ascii="Arial" w:hAnsi="Arial" w:cs="Arial"/>
        </w:rPr>
        <w:t>. Both methods are allowed within the regulations</w:t>
      </w:r>
      <w:r>
        <w:rPr>
          <w:rFonts w:ascii="Arial" w:hAnsi="Arial" w:cs="Arial"/>
        </w:rPr>
        <w:t>;</w:t>
      </w:r>
    </w:p>
    <w:p w:rsidR="006938D1" w:rsidRDefault="00C22498" w:rsidP="006938D1">
      <w:pPr>
        <w:pStyle w:val="ListParagraph"/>
        <w:numPr>
          <w:ilvl w:val="0"/>
          <w:numId w:val="16"/>
        </w:numPr>
        <w:rPr>
          <w:rFonts w:ascii="Arial" w:hAnsi="Arial" w:cs="Arial"/>
        </w:rPr>
      </w:pPr>
      <w:r>
        <w:rPr>
          <w:rFonts w:ascii="Arial" w:hAnsi="Arial" w:cs="Arial"/>
        </w:rPr>
        <w:t>Actual payments to providers in 2018/19 were £104,718 higher than the amount of funding received from government for 2 year old provision;</w:t>
      </w:r>
    </w:p>
    <w:p w:rsidR="00C22498" w:rsidRDefault="00C22498" w:rsidP="006938D1">
      <w:pPr>
        <w:pStyle w:val="ListParagraph"/>
        <w:numPr>
          <w:ilvl w:val="0"/>
          <w:numId w:val="16"/>
        </w:numPr>
        <w:rPr>
          <w:rFonts w:ascii="Arial" w:hAnsi="Arial" w:cs="Arial"/>
        </w:rPr>
      </w:pPr>
      <w:r>
        <w:rPr>
          <w:rFonts w:ascii="Arial" w:hAnsi="Arial" w:cs="Arial"/>
        </w:rPr>
        <w:t>Equivalent analysis for 3-4 year old provision demonstrated that the issue is currently (and historically) restricted to 2 year old provision;</w:t>
      </w:r>
    </w:p>
    <w:p w:rsidR="00C22498" w:rsidRDefault="00C22498" w:rsidP="006938D1">
      <w:pPr>
        <w:pStyle w:val="ListParagraph"/>
        <w:numPr>
          <w:ilvl w:val="0"/>
          <w:numId w:val="16"/>
        </w:numPr>
        <w:rPr>
          <w:rFonts w:ascii="Arial" w:hAnsi="Arial" w:cs="Arial"/>
        </w:rPr>
      </w:pPr>
      <w:r>
        <w:rPr>
          <w:rFonts w:ascii="Arial" w:hAnsi="Arial" w:cs="Arial"/>
        </w:rPr>
        <w:t>Hartlepool is compliant with the early years census regulations and is ensuring that the process is followed to obtain the maximum government funding available;</w:t>
      </w:r>
    </w:p>
    <w:p w:rsidR="00C22498" w:rsidRDefault="00C22498" w:rsidP="006938D1">
      <w:pPr>
        <w:pStyle w:val="ListParagraph"/>
        <w:numPr>
          <w:ilvl w:val="0"/>
          <w:numId w:val="16"/>
        </w:numPr>
        <w:rPr>
          <w:rFonts w:ascii="Arial" w:hAnsi="Arial" w:cs="Arial"/>
        </w:rPr>
      </w:pPr>
      <w:r>
        <w:rPr>
          <w:rFonts w:ascii="Arial" w:hAnsi="Arial" w:cs="Arial"/>
        </w:rPr>
        <w:t>5 of 9 Norther</w:t>
      </w:r>
      <w:r w:rsidR="00E2200C">
        <w:rPr>
          <w:rFonts w:ascii="Arial" w:hAnsi="Arial" w:cs="Arial"/>
        </w:rPr>
        <w:t>n region Councils also overspent</w:t>
      </w:r>
      <w:r>
        <w:rPr>
          <w:rFonts w:ascii="Arial" w:hAnsi="Arial" w:cs="Arial"/>
        </w:rPr>
        <w:t xml:space="preserve"> against 2 year old provision in 2018/19. The funding shortfall </w:t>
      </w:r>
      <w:r w:rsidR="00E2200C">
        <w:rPr>
          <w:rFonts w:ascii="Arial" w:hAnsi="Arial" w:cs="Arial"/>
        </w:rPr>
        <w:t xml:space="preserve">issue </w:t>
      </w:r>
      <w:r>
        <w:rPr>
          <w:rFonts w:ascii="Arial" w:hAnsi="Arial" w:cs="Arial"/>
        </w:rPr>
        <w:t>is not restricted to Hartlepool;</w:t>
      </w:r>
    </w:p>
    <w:p w:rsidR="00C22498" w:rsidRDefault="00E2200C" w:rsidP="006938D1">
      <w:pPr>
        <w:pStyle w:val="ListParagraph"/>
        <w:numPr>
          <w:ilvl w:val="0"/>
          <w:numId w:val="16"/>
        </w:numPr>
        <w:rPr>
          <w:rFonts w:ascii="Arial" w:hAnsi="Arial" w:cs="Arial"/>
        </w:rPr>
      </w:pPr>
      <w:r>
        <w:rPr>
          <w:rFonts w:ascii="Arial" w:hAnsi="Arial" w:cs="Arial"/>
        </w:rPr>
        <w:t>Had payments to all providers been on the basis of the 3 census points as opposed to attendance, spending in 2018/19 would have reduced by £145k, thereby eliminating the overspend;</w:t>
      </w:r>
    </w:p>
    <w:p w:rsidR="00E2200C" w:rsidRDefault="00E2200C" w:rsidP="006938D1">
      <w:pPr>
        <w:pStyle w:val="ListParagraph"/>
        <w:numPr>
          <w:ilvl w:val="0"/>
          <w:numId w:val="16"/>
        </w:numPr>
        <w:rPr>
          <w:rFonts w:ascii="Arial" w:hAnsi="Arial" w:cs="Arial"/>
        </w:rPr>
      </w:pPr>
      <w:r>
        <w:rPr>
          <w:rFonts w:ascii="Arial" w:hAnsi="Arial" w:cs="Arial"/>
        </w:rPr>
        <w:t>Analysis showed a similar position for reduced spend in 2017/18 had payments been based on the 3 census points;</w:t>
      </w:r>
    </w:p>
    <w:p w:rsidR="0036598A" w:rsidRDefault="0036598A" w:rsidP="006938D1">
      <w:pPr>
        <w:pStyle w:val="ListParagraph"/>
        <w:numPr>
          <w:ilvl w:val="0"/>
          <w:numId w:val="16"/>
        </w:numPr>
        <w:rPr>
          <w:rFonts w:ascii="Arial" w:hAnsi="Arial" w:cs="Arial"/>
        </w:rPr>
      </w:pPr>
      <w:r>
        <w:rPr>
          <w:rFonts w:ascii="Arial" w:hAnsi="Arial" w:cs="Arial"/>
        </w:rPr>
        <w:t xml:space="preserve">PVIs are subject to different regulation, </w:t>
      </w:r>
      <w:r w:rsidR="00ED28A5">
        <w:rPr>
          <w:rFonts w:ascii="Arial" w:hAnsi="Arial" w:cs="Arial"/>
        </w:rPr>
        <w:t xml:space="preserve">including </w:t>
      </w:r>
      <w:r>
        <w:rPr>
          <w:rFonts w:ascii="Arial" w:hAnsi="Arial" w:cs="Arial"/>
        </w:rPr>
        <w:t>obligation</w:t>
      </w:r>
      <w:r w:rsidR="00ED28A5">
        <w:rPr>
          <w:rFonts w:ascii="Arial" w:hAnsi="Arial" w:cs="Arial"/>
        </w:rPr>
        <w:t>s</w:t>
      </w:r>
      <w:r>
        <w:rPr>
          <w:rFonts w:ascii="Arial" w:hAnsi="Arial" w:cs="Arial"/>
        </w:rPr>
        <w:t xml:space="preserve"> on staffing ratios and operate in a di</w:t>
      </w:r>
      <w:r w:rsidR="00ED28A5">
        <w:rPr>
          <w:rFonts w:ascii="Arial" w:hAnsi="Arial" w:cs="Arial"/>
        </w:rPr>
        <w:t>fferent financial environment;</w:t>
      </w:r>
    </w:p>
    <w:p w:rsidR="00E2200C" w:rsidRDefault="00E2200C" w:rsidP="006938D1">
      <w:pPr>
        <w:pStyle w:val="ListParagraph"/>
        <w:numPr>
          <w:ilvl w:val="0"/>
          <w:numId w:val="16"/>
        </w:numPr>
        <w:rPr>
          <w:rFonts w:ascii="Arial" w:hAnsi="Arial" w:cs="Arial"/>
        </w:rPr>
      </w:pPr>
      <w:r>
        <w:rPr>
          <w:rFonts w:ascii="Arial" w:hAnsi="Arial" w:cs="Arial"/>
        </w:rPr>
        <w:t>Payments to providers for 2 year old’s eligible for 11.4 hours provision are currently rou</w:t>
      </w:r>
      <w:r w:rsidR="0036598A">
        <w:rPr>
          <w:rFonts w:ascii="Arial" w:hAnsi="Arial" w:cs="Arial"/>
        </w:rPr>
        <w:t>nded up to 11.5 hours per week;</w:t>
      </w:r>
    </w:p>
    <w:p w:rsidR="00E2200C" w:rsidRPr="006938D1" w:rsidRDefault="00D32733" w:rsidP="006938D1">
      <w:pPr>
        <w:pStyle w:val="ListParagraph"/>
        <w:numPr>
          <w:ilvl w:val="0"/>
          <w:numId w:val="16"/>
        </w:numPr>
        <w:rPr>
          <w:rFonts w:ascii="Arial" w:hAnsi="Arial" w:cs="Arial"/>
        </w:rPr>
      </w:pPr>
      <w:r>
        <w:rPr>
          <w:rFonts w:ascii="Arial" w:hAnsi="Arial" w:cs="Arial"/>
        </w:rPr>
        <w:t>Although not significant in volume, certain 2 year olds are “double funded” as a result of starting school nursery provision prior to census date and the Council’s obligation to pay a PVI provider for a 4-week notice period.</w:t>
      </w:r>
    </w:p>
    <w:p w:rsidR="00BD5961" w:rsidRDefault="00BD5961" w:rsidP="00F7785D">
      <w:pPr>
        <w:ind w:left="709" w:hanging="709"/>
        <w:rPr>
          <w:rFonts w:ascii="Arial" w:hAnsi="Arial" w:cs="Arial"/>
        </w:rPr>
      </w:pPr>
    </w:p>
    <w:p w:rsidR="003F18B2" w:rsidRPr="0014304D" w:rsidRDefault="003F18B2" w:rsidP="00F7785D">
      <w:pPr>
        <w:ind w:left="709" w:hanging="709"/>
        <w:rPr>
          <w:rFonts w:ascii="Arial" w:hAnsi="Arial" w:cs="Arial"/>
        </w:rPr>
      </w:pPr>
    </w:p>
    <w:p w:rsidR="006702AB" w:rsidRPr="0014304D" w:rsidRDefault="00351B24" w:rsidP="00F7785D">
      <w:pPr>
        <w:ind w:left="709" w:hanging="709"/>
        <w:rPr>
          <w:rFonts w:ascii="Arial" w:hAnsi="Arial" w:cs="Arial"/>
          <w:b/>
        </w:rPr>
      </w:pPr>
      <w:r>
        <w:rPr>
          <w:rFonts w:ascii="Arial" w:hAnsi="Arial" w:cs="Arial"/>
          <w:b/>
        </w:rPr>
        <w:t>4</w:t>
      </w:r>
      <w:r w:rsidR="00F81392" w:rsidRPr="0014304D">
        <w:rPr>
          <w:rFonts w:ascii="Arial" w:hAnsi="Arial" w:cs="Arial"/>
          <w:b/>
        </w:rPr>
        <w:t>.</w:t>
      </w:r>
      <w:r w:rsidR="00737555" w:rsidRPr="0014304D">
        <w:rPr>
          <w:rFonts w:ascii="Arial" w:hAnsi="Arial" w:cs="Arial"/>
          <w:b/>
        </w:rPr>
        <w:tab/>
      </w:r>
      <w:r w:rsidR="00934AF7">
        <w:rPr>
          <w:rFonts w:ascii="Arial" w:hAnsi="Arial" w:cs="Arial"/>
          <w:b/>
          <w:u w:val="single"/>
        </w:rPr>
        <w:t>Initial Proposals for Change</w:t>
      </w:r>
    </w:p>
    <w:p w:rsidR="003F18B2" w:rsidRDefault="006702AB">
      <w:pPr>
        <w:ind w:left="709" w:hanging="709"/>
        <w:rPr>
          <w:rFonts w:ascii="Arial" w:hAnsi="Arial" w:cs="Arial"/>
        </w:rPr>
      </w:pPr>
      <w:r w:rsidRPr="0014304D">
        <w:rPr>
          <w:rFonts w:ascii="Arial" w:hAnsi="Arial" w:cs="Arial"/>
        </w:rPr>
        <w:tab/>
      </w:r>
    </w:p>
    <w:p w:rsidR="00351B24" w:rsidRDefault="00351B24">
      <w:pPr>
        <w:ind w:left="709" w:hanging="709"/>
        <w:rPr>
          <w:rFonts w:ascii="Arial" w:hAnsi="Arial" w:cs="Arial"/>
        </w:rPr>
      </w:pPr>
      <w:r>
        <w:rPr>
          <w:rFonts w:ascii="Arial" w:hAnsi="Arial" w:cs="Arial"/>
        </w:rPr>
        <w:t>4</w:t>
      </w:r>
      <w:r w:rsidR="003F18B2">
        <w:rPr>
          <w:rFonts w:ascii="Arial" w:hAnsi="Arial" w:cs="Arial"/>
        </w:rPr>
        <w:t>.1</w:t>
      </w:r>
      <w:r w:rsidR="003F18B2">
        <w:rPr>
          <w:rFonts w:ascii="Arial" w:hAnsi="Arial" w:cs="Arial"/>
        </w:rPr>
        <w:tab/>
      </w:r>
      <w:r w:rsidR="00934AF7">
        <w:rPr>
          <w:rFonts w:ascii="Arial" w:hAnsi="Arial" w:cs="Arial"/>
        </w:rPr>
        <w:t>The Task and Finish Group consider that the following changes could be made to the current process as “quick wins”:</w:t>
      </w:r>
    </w:p>
    <w:p w:rsidR="00934AF7" w:rsidRDefault="00934AF7" w:rsidP="00934AF7">
      <w:pPr>
        <w:pStyle w:val="ListParagraph"/>
        <w:numPr>
          <w:ilvl w:val="0"/>
          <w:numId w:val="17"/>
        </w:numPr>
        <w:rPr>
          <w:rFonts w:ascii="Arial" w:hAnsi="Arial" w:cs="Arial"/>
        </w:rPr>
      </w:pPr>
      <w:r>
        <w:rPr>
          <w:rFonts w:ascii="Arial" w:hAnsi="Arial" w:cs="Arial"/>
        </w:rPr>
        <w:t xml:space="preserve">Cease the practice of rounding up 11.4 hour payments to 11.5 hour payments. This has a very minimal impact on providers but would reduce the funding shortfall </w:t>
      </w:r>
      <w:r w:rsidRPr="00DB1D19">
        <w:rPr>
          <w:rFonts w:ascii="Arial" w:hAnsi="Arial" w:cs="Arial"/>
        </w:rPr>
        <w:t xml:space="preserve">by </w:t>
      </w:r>
      <w:r w:rsidR="00DB1D19" w:rsidRPr="00DB1D19">
        <w:rPr>
          <w:rFonts w:ascii="Arial" w:hAnsi="Arial" w:cs="Arial"/>
        </w:rPr>
        <w:t>£2.7k</w:t>
      </w:r>
      <w:r w:rsidRPr="00DB1D19">
        <w:rPr>
          <w:rFonts w:ascii="Arial" w:hAnsi="Arial" w:cs="Arial"/>
        </w:rPr>
        <w:t xml:space="preserve"> per</w:t>
      </w:r>
      <w:r>
        <w:rPr>
          <w:rFonts w:ascii="Arial" w:hAnsi="Arial" w:cs="Arial"/>
        </w:rPr>
        <w:t xml:space="preserve"> annum.</w:t>
      </w:r>
    </w:p>
    <w:p w:rsidR="00934AF7" w:rsidRDefault="00934AF7" w:rsidP="00934AF7">
      <w:pPr>
        <w:pStyle w:val="ListParagraph"/>
        <w:numPr>
          <w:ilvl w:val="0"/>
          <w:numId w:val="17"/>
        </w:numPr>
        <w:rPr>
          <w:rFonts w:ascii="Arial" w:hAnsi="Arial" w:cs="Arial"/>
        </w:rPr>
      </w:pPr>
      <w:r>
        <w:rPr>
          <w:rFonts w:ascii="Arial" w:hAnsi="Arial" w:cs="Arial"/>
        </w:rPr>
        <w:t>Stop t</w:t>
      </w:r>
      <w:r w:rsidR="00DB1D19">
        <w:rPr>
          <w:rFonts w:ascii="Arial" w:hAnsi="Arial" w:cs="Arial"/>
        </w:rPr>
        <w:t>he instances of double funding. This could be achieved by ceasing the current policy for payment of a 4-week notice period to PVIs.</w:t>
      </w:r>
    </w:p>
    <w:p w:rsidR="003F18B2" w:rsidRDefault="003F18B2" w:rsidP="009A6884">
      <w:pPr>
        <w:rPr>
          <w:rFonts w:ascii="Arial" w:hAnsi="Arial" w:cs="Arial"/>
        </w:rPr>
      </w:pPr>
    </w:p>
    <w:p w:rsidR="009A6884" w:rsidRPr="007A0BF2" w:rsidRDefault="009A6884" w:rsidP="009A6884">
      <w:pPr>
        <w:rPr>
          <w:rFonts w:ascii="Arial" w:hAnsi="Arial" w:cs="Arial"/>
        </w:rPr>
      </w:pPr>
      <w:r>
        <w:rPr>
          <w:rFonts w:ascii="Arial" w:hAnsi="Arial" w:cs="Arial"/>
          <w:b/>
        </w:rPr>
        <w:t>5</w:t>
      </w:r>
      <w:r w:rsidRPr="007A0BF2">
        <w:rPr>
          <w:rFonts w:ascii="Arial" w:hAnsi="Arial" w:cs="Arial"/>
          <w:b/>
        </w:rPr>
        <w:t>.</w:t>
      </w:r>
      <w:r w:rsidRPr="007A0BF2">
        <w:rPr>
          <w:rFonts w:ascii="Arial" w:hAnsi="Arial" w:cs="Arial"/>
          <w:b/>
        </w:rPr>
        <w:tab/>
      </w:r>
      <w:r>
        <w:rPr>
          <w:rFonts w:ascii="Arial" w:hAnsi="Arial" w:cs="Arial"/>
          <w:b/>
          <w:u w:val="single"/>
        </w:rPr>
        <w:t>Options for Dealing with the 2 Year Old Funding Shortfall</w:t>
      </w:r>
      <w:r w:rsidRPr="007A0BF2">
        <w:rPr>
          <w:rFonts w:ascii="Arial" w:hAnsi="Arial" w:cs="Arial"/>
          <w:b/>
          <w:u w:val="single"/>
        </w:rPr>
        <w:t xml:space="preserve"> </w:t>
      </w:r>
    </w:p>
    <w:p w:rsidR="009A6884" w:rsidRDefault="009A6884" w:rsidP="009A6884">
      <w:pPr>
        <w:rPr>
          <w:rFonts w:ascii="Arial" w:hAnsi="Arial" w:cs="Arial"/>
        </w:rPr>
      </w:pPr>
    </w:p>
    <w:p w:rsidR="009A6884" w:rsidRDefault="009A6884" w:rsidP="009A6884">
      <w:pPr>
        <w:ind w:left="720" w:hanging="720"/>
        <w:rPr>
          <w:rFonts w:ascii="Arial" w:hAnsi="Arial" w:cs="Arial"/>
        </w:rPr>
      </w:pPr>
      <w:r>
        <w:rPr>
          <w:rFonts w:ascii="Arial" w:hAnsi="Arial" w:cs="Arial"/>
        </w:rPr>
        <w:t>5.1</w:t>
      </w:r>
      <w:r>
        <w:rPr>
          <w:rFonts w:ascii="Arial" w:hAnsi="Arial" w:cs="Arial"/>
        </w:rPr>
        <w:tab/>
        <w:t>If agreed, the proposals listed at section 4 of this report will help to reduce the current financial pressure, however, the amounts involved do not deal with the full issue estimated at £105k per annum</w:t>
      </w:r>
      <w:r w:rsidR="008223AC">
        <w:rPr>
          <w:rFonts w:ascii="Arial" w:hAnsi="Arial" w:cs="Arial"/>
        </w:rPr>
        <w:t xml:space="preserve"> (on the basis of 2018/19 volumes and eligibility)</w:t>
      </w:r>
      <w:r>
        <w:rPr>
          <w:rFonts w:ascii="Arial" w:hAnsi="Arial" w:cs="Arial"/>
        </w:rPr>
        <w:t>.</w:t>
      </w:r>
    </w:p>
    <w:p w:rsidR="009A6884" w:rsidRDefault="009A6884" w:rsidP="009A6884">
      <w:pPr>
        <w:ind w:left="720" w:hanging="720"/>
        <w:rPr>
          <w:rFonts w:ascii="Arial" w:hAnsi="Arial" w:cs="Arial"/>
        </w:rPr>
      </w:pPr>
    </w:p>
    <w:p w:rsidR="009A6884" w:rsidRDefault="009A6884" w:rsidP="009A6884">
      <w:pPr>
        <w:ind w:left="720" w:hanging="720"/>
        <w:rPr>
          <w:rFonts w:ascii="Arial" w:hAnsi="Arial" w:cs="Arial"/>
        </w:rPr>
      </w:pPr>
      <w:r>
        <w:rPr>
          <w:rFonts w:ascii="Arial" w:hAnsi="Arial" w:cs="Arial"/>
        </w:rPr>
        <w:t xml:space="preserve">5.2 </w:t>
      </w:r>
      <w:r>
        <w:rPr>
          <w:rFonts w:ascii="Arial" w:hAnsi="Arial" w:cs="Arial"/>
        </w:rPr>
        <w:tab/>
      </w:r>
      <w:r w:rsidR="00DA6153">
        <w:rPr>
          <w:rFonts w:ascii="Arial" w:hAnsi="Arial" w:cs="Arial"/>
        </w:rPr>
        <w:t>The work completed by the Task and Finish Group suggests there are 3 options available for consideration:</w:t>
      </w:r>
    </w:p>
    <w:p w:rsidR="00DA6153" w:rsidRDefault="00DA6153" w:rsidP="009A6884">
      <w:pPr>
        <w:ind w:left="720" w:hanging="720"/>
        <w:rPr>
          <w:rFonts w:ascii="Arial" w:hAnsi="Arial" w:cs="Arial"/>
        </w:rPr>
      </w:pPr>
    </w:p>
    <w:p w:rsidR="00DA6153" w:rsidRDefault="00044223" w:rsidP="00DA6153">
      <w:pPr>
        <w:pStyle w:val="ListParagraph"/>
        <w:numPr>
          <w:ilvl w:val="0"/>
          <w:numId w:val="18"/>
        </w:numPr>
        <w:rPr>
          <w:rFonts w:ascii="Arial" w:hAnsi="Arial" w:cs="Arial"/>
        </w:rPr>
      </w:pPr>
      <w:r>
        <w:rPr>
          <w:rFonts w:ascii="Arial" w:hAnsi="Arial" w:cs="Arial"/>
        </w:rPr>
        <w:t>Maintain the existing basis for provider payments, resulting in a disapplication request to cover the expected DSG deficit</w:t>
      </w:r>
      <w:r w:rsidR="00DA6153">
        <w:rPr>
          <w:rFonts w:ascii="Arial" w:hAnsi="Arial" w:cs="Arial"/>
        </w:rPr>
        <w:t>;</w:t>
      </w:r>
    </w:p>
    <w:p w:rsidR="00DA6153" w:rsidRDefault="00646CBB" w:rsidP="00DA6153">
      <w:pPr>
        <w:pStyle w:val="ListParagraph"/>
        <w:numPr>
          <w:ilvl w:val="0"/>
          <w:numId w:val="18"/>
        </w:numPr>
        <w:rPr>
          <w:rFonts w:ascii="Arial" w:hAnsi="Arial" w:cs="Arial"/>
        </w:rPr>
      </w:pPr>
      <w:r>
        <w:rPr>
          <w:rFonts w:ascii="Arial" w:hAnsi="Arial" w:cs="Arial"/>
        </w:rPr>
        <w:t xml:space="preserve">Lobby government, whilst </w:t>
      </w:r>
      <w:r w:rsidR="00DA6153">
        <w:rPr>
          <w:rFonts w:ascii="Arial" w:hAnsi="Arial" w:cs="Arial"/>
        </w:rPr>
        <w:t>support</w:t>
      </w:r>
      <w:r>
        <w:rPr>
          <w:rFonts w:ascii="Arial" w:hAnsi="Arial" w:cs="Arial"/>
        </w:rPr>
        <w:t>ing</w:t>
      </w:r>
      <w:r w:rsidR="00DA6153">
        <w:rPr>
          <w:rFonts w:ascii="Arial" w:hAnsi="Arial" w:cs="Arial"/>
        </w:rPr>
        <w:t xml:space="preserve"> in-year spending from the Early Years reserve balanc</w:t>
      </w:r>
      <w:r>
        <w:rPr>
          <w:rFonts w:ascii="Arial" w:hAnsi="Arial" w:cs="Arial"/>
        </w:rPr>
        <w:t>e and continue the work of the Task and Finish Group</w:t>
      </w:r>
      <w:r w:rsidR="00DA6153">
        <w:rPr>
          <w:rFonts w:ascii="Arial" w:hAnsi="Arial" w:cs="Arial"/>
        </w:rPr>
        <w:t>;</w:t>
      </w:r>
    </w:p>
    <w:p w:rsidR="00DA6153" w:rsidRDefault="00DA6153" w:rsidP="00DA6153">
      <w:pPr>
        <w:pStyle w:val="ListParagraph"/>
        <w:numPr>
          <w:ilvl w:val="0"/>
          <w:numId w:val="18"/>
        </w:numPr>
        <w:rPr>
          <w:rFonts w:ascii="Arial" w:hAnsi="Arial" w:cs="Arial"/>
        </w:rPr>
      </w:pPr>
      <w:r>
        <w:rPr>
          <w:rFonts w:ascii="Arial" w:hAnsi="Arial" w:cs="Arial"/>
        </w:rPr>
        <w:t>Move the funding basis for all providers to the 3 census points as opposed to attendance.</w:t>
      </w:r>
    </w:p>
    <w:p w:rsidR="00DA6153" w:rsidRDefault="00DA6153" w:rsidP="00DA6153">
      <w:pPr>
        <w:rPr>
          <w:rFonts w:ascii="Arial" w:hAnsi="Arial" w:cs="Arial"/>
        </w:rPr>
      </w:pPr>
    </w:p>
    <w:p w:rsidR="00DA6153" w:rsidRDefault="00DA6153" w:rsidP="00DA6153">
      <w:pPr>
        <w:rPr>
          <w:rFonts w:ascii="Arial" w:hAnsi="Arial" w:cs="Arial"/>
        </w:rPr>
      </w:pPr>
      <w:r>
        <w:rPr>
          <w:rFonts w:ascii="Arial" w:hAnsi="Arial" w:cs="Arial"/>
        </w:rPr>
        <w:t>5.3</w:t>
      </w:r>
      <w:r>
        <w:rPr>
          <w:rFonts w:ascii="Arial" w:hAnsi="Arial" w:cs="Arial"/>
        </w:rPr>
        <w:tab/>
      </w:r>
      <w:r w:rsidR="00562363">
        <w:rPr>
          <w:rFonts w:ascii="Arial" w:hAnsi="Arial" w:cs="Arial"/>
        </w:rPr>
        <w:t>The table below considers each of the 3 options in more detail.</w:t>
      </w:r>
    </w:p>
    <w:p w:rsidR="00646CBB" w:rsidRDefault="00646CBB" w:rsidP="00DA6153">
      <w:pPr>
        <w:rPr>
          <w:rFonts w:ascii="Arial" w:hAnsi="Arial" w:cs="Arial"/>
        </w:rPr>
      </w:pPr>
    </w:p>
    <w:tbl>
      <w:tblPr>
        <w:tblStyle w:val="TableGrid"/>
        <w:tblW w:w="0" w:type="auto"/>
        <w:tblLook w:val="04A0" w:firstRow="1" w:lastRow="0" w:firstColumn="1" w:lastColumn="0" w:noHBand="0" w:noVBand="1"/>
      </w:tblPr>
      <w:tblGrid>
        <w:gridCol w:w="3218"/>
        <w:gridCol w:w="3219"/>
        <w:gridCol w:w="3219"/>
      </w:tblGrid>
      <w:tr w:rsidR="00562363" w:rsidRPr="00562363" w:rsidTr="00562363">
        <w:tc>
          <w:tcPr>
            <w:tcW w:w="3218" w:type="dxa"/>
            <w:shd w:val="clear" w:color="auto" w:fill="000000" w:themeFill="text1"/>
          </w:tcPr>
          <w:p w:rsidR="00562363" w:rsidRPr="00562363" w:rsidRDefault="00562363" w:rsidP="00562363">
            <w:pPr>
              <w:jc w:val="center"/>
              <w:rPr>
                <w:rFonts w:ascii="Arial" w:hAnsi="Arial" w:cs="Arial"/>
                <w:b/>
                <w:color w:val="FFFFFF" w:themeColor="background1"/>
              </w:rPr>
            </w:pPr>
            <w:r>
              <w:rPr>
                <w:rFonts w:ascii="Arial" w:hAnsi="Arial" w:cs="Arial"/>
              </w:rPr>
              <w:tab/>
            </w:r>
            <w:r w:rsidRPr="00562363">
              <w:rPr>
                <w:rFonts w:ascii="Arial" w:hAnsi="Arial" w:cs="Arial"/>
                <w:b/>
                <w:color w:val="FFFFFF" w:themeColor="background1"/>
              </w:rPr>
              <w:t>Option Description</w:t>
            </w:r>
          </w:p>
        </w:tc>
        <w:tc>
          <w:tcPr>
            <w:tcW w:w="3219" w:type="dxa"/>
            <w:shd w:val="clear" w:color="auto" w:fill="000000" w:themeFill="text1"/>
          </w:tcPr>
          <w:p w:rsidR="00562363" w:rsidRPr="00562363" w:rsidRDefault="00562363" w:rsidP="00562363">
            <w:pPr>
              <w:jc w:val="center"/>
              <w:rPr>
                <w:rFonts w:ascii="Arial" w:hAnsi="Arial" w:cs="Arial"/>
                <w:b/>
                <w:color w:val="FFFFFF" w:themeColor="background1"/>
              </w:rPr>
            </w:pPr>
            <w:r w:rsidRPr="00562363">
              <w:rPr>
                <w:rFonts w:ascii="Arial" w:hAnsi="Arial" w:cs="Arial"/>
                <w:b/>
                <w:color w:val="FFFFFF" w:themeColor="background1"/>
              </w:rPr>
              <w:t>Pro’s</w:t>
            </w:r>
          </w:p>
        </w:tc>
        <w:tc>
          <w:tcPr>
            <w:tcW w:w="3219" w:type="dxa"/>
            <w:shd w:val="clear" w:color="auto" w:fill="000000" w:themeFill="text1"/>
          </w:tcPr>
          <w:p w:rsidR="00562363" w:rsidRPr="00562363" w:rsidRDefault="00562363" w:rsidP="00562363">
            <w:pPr>
              <w:jc w:val="center"/>
              <w:rPr>
                <w:rFonts w:ascii="Arial" w:hAnsi="Arial" w:cs="Arial"/>
                <w:b/>
                <w:color w:val="FFFFFF" w:themeColor="background1"/>
              </w:rPr>
            </w:pPr>
            <w:r w:rsidRPr="00562363">
              <w:rPr>
                <w:rFonts w:ascii="Arial" w:hAnsi="Arial" w:cs="Arial"/>
                <w:b/>
                <w:color w:val="FFFFFF" w:themeColor="background1"/>
              </w:rPr>
              <w:t>Con’s</w:t>
            </w:r>
          </w:p>
        </w:tc>
      </w:tr>
      <w:tr w:rsidR="00562363" w:rsidTr="00562363">
        <w:tc>
          <w:tcPr>
            <w:tcW w:w="3218" w:type="dxa"/>
          </w:tcPr>
          <w:p w:rsidR="00562363" w:rsidRDefault="00562363" w:rsidP="00044223">
            <w:pPr>
              <w:rPr>
                <w:rFonts w:ascii="Arial" w:hAnsi="Arial" w:cs="Arial"/>
              </w:rPr>
            </w:pPr>
            <w:r>
              <w:rPr>
                <w:rFonts w:ascii="Arial" w:hAnsi="Arial" w:cs="Arial"/>
              </w:rPr>
              <w:t xml:space="preserve">Option 1: </w:t>
            </w:r>
            <w:r w:rsidR="00044223">
              <w:rPr>
                <w:rFonts w:ascii="Arial" w:hAnsi="Arial" w:cs="Arial"/>
              </w:rPr>
              <w:t>Maintain the existing basis for provider payments, resulting in a disapplication request to cover the expected DSG deficit</w:t>
            </w:r>
          </w:p>
        </w:tc>
        <w:tc>
          <w:tcPr>
            <w:tcW w:w="3219" w:type="dxa"/>
          </w:tcPr>
          <w:p w:rsidR="00562363" w:rsidRDefault="00562363" w:rsidP="00562363">
            <w:pPr>
              <w:pStyle w:val="ListParagraph"/>
              <w:numPr>
                <w:ilvl w:val="0"/>
                <w:numId w:val="19"/>
              </w:numPr>
              <w:rPr>
                <w:rFonts w:ascii="Arial" w:hAnsi="Arial" w:cs="Arial"/>
              </w:rPr>
            </w:pPr>
            <w:r w:rsidRPr="00562363">
              <w:rPr>
                <w:rFonts w:ascii="Arial" w:hAnsi="Arial" w:cs="Arial"/>
              </w:rPr>
              <w:t>Financial viability of PVIs is not placed at further risk</w:t>
            </w:r>
            <w:r>
              <w:rPr>
                <w:rFonts w:ascii="Arial" w:hAnsi="Arial" w:cs="Arial"/>
              </w:rPr>
              <w:t>;</w:t>
            </w:r>
          </w:p>
          <w:p w:rsidR="00562363" w:rsidRDefault="0051011C" w:rsidP="00562363">
            <w:pPr>
              <w:pStyle w:val="ListParagraph"/>
              <w:numPr>
                <w:ilvl w:val="0"/>
                <w:numId w:val="19"/>
              </w:numPr>
              <w:rPr>
                <w:rFonts w:ascii="Arial" w:hAnsi="Arial" w:cs="Arial"/>
              </w:rPr>
            </w:pPr>
            <w:r>
              <w:rPr>
                <w:rFonts w:ascii="Arial" w:hAnsi="Arial" w:cs="Arial"/>
              </w:rPr>
              <w:t>Existing capacity for 2 year olds is not compromised</w:t>
            </w:r>
          </w:p>
          <w:p w:rsidR="00BD6184" w:rsidRPr="00562363" w:rsidRDefault="00BD6184" w:rsidP="00562363">
            <w:pPr>
              <w:pStyle w:val="ListParagraph"/>
              <w:numPr>
                <w:ilvl w:val="0"/>
                <w:numId w:val="19"/>
              </w:numPr>
              <w:rPr>
                <w:rFonts w:ascii="Arial" w:hAnsi="Arial" w:cs="Arial"/>
              </w:rPr>
            </w:pPr>
            <w:r>
              <w:rPr>
                <w:rFonts w:ascii="Arial" w:hAnsi="Arial" w:cs="Arial"/>
              </w:rPr>
              <w:t>Participation rates likely to remain in top-10 nationally</w:t>
            </w:r>
          </w:p>
        </w:tc>
        <w:tc>
          <w:tcPr>
            <w:tcW w:w="3219" w:type="dxa"/>
          </w:tcPr>
          <w:p w:rsidR="0051011C" w:rsidRPr="00646CBB" w:rsidRDefault="00646CBB" w:rsidP="00646CBB">
            <w:pPr>
              <w:pStyle w:val="ListParagraph"/>
              <w:numPr>
                <w:ilvl w:val="0"/>
                <w:numId w:val="19"/>
              </w:numPr>
              <w:rPr>
                <w:rFonts w:ascii="Arial" w:hAnsi="Arial" w:cs="Arial"/>
              </w:rPr>
            </w:pPr>
            <w:r>
              <w:rPr>
                <w:rFonts w:ascii="Arial" w:hAnsi="Arial" w:cs="Arial"/>
              </w:rPr>
              <w:t>Local authority</w:t>
            </w:r>
            <w:r w:rsidR="0051011C">
              <w:rPr>
                <w:rFonts w:ascii="Arial" w:hAnsi="Arial" w:cs="Arial"/>
              </w:rPr>
              <w:t xml:space="preserve"> would need to act to avoid a planned DSG deficit through disapplication for a school’s block transfer</w:t>
            </w:r>
          </w:p>
        </w:tc>
      </w:tr>
      <w:tr w:rsidR="00562363" w:rsidTr="00562363">
        <w:tc>
          <w:tcPr>
            <w:tcW w:w="3218" w:type="dxa"/>
          </w:tcPr>
          <w:p w:rsidR="00562363" w:rsidRDefault="00BD6184" w:rsidP="00DA6153">
            <w:pPr>
              <w:rPr>
                <w:rFonts w:ascii="Arial" w:hAnsi="Arial" w:cs="Arial"/>
              </w:rPr>
            </w:pPr>
            <w:r>
              <w:rPr>
                <w:rFonts w:ascii="Arial" w:hAnsi="Arial" w:cs="Arial"/>
              </w:rPr>
              <w:t>Option 2: Lobby government and support in-year spending from the Early Years reserve until funding changes can be implemented</w:t>
            </w:r>
          </w:p>
        </w:tc>
        <w:tc>
          <w:tcPr>
            <w:tcW w:w="3219" w:type="dxa"/>
          </w:tcPr>
          <w:p w:rsidR="00BD6184" w:rsidRDefault="00BD6184" w:rsidP="00BD6184">
            <w:pPr>
              <w:pStyle w:val="ListParagraph"/>
              <w:numPr>
                <w:ilvl w:val="0"/>
                <w:numId w:val="20"/>
              </w:numPr>
              <w:rPr>
                <w:rFonts w:ascii="Arial" w:hAnsi="Arial" w:cs="Arial"/>
              </w:rPr>
            </w:pPr>
            <w:r>
              <w:rPr>
                <w:rFonts w:ascii="Arial" w:hAnsi="Arial" w:cs="Arial"/>
              </w:rPr>
              <w:t>The funding shortfall issue is made visible and becomes a government issue to tackle;</w:t>
            </w:r>
          </w:p>
          <w:p w:rsidR="00C604C2" w:rsidRDefault="00BD6184" w:rsidP="00355FF4">
            <w:pPr>
              <w:pStyle w:val="ListParagraph"/>
              <w:numPr>
                <w:ilvl w:val="0"/>
                <w:numId w:val="20"/>
              </w:numPr>
              <w:rPr>
                <w:rFonts w:ascii="Arial" w:hAnsi="Arial" w:cs="Arial"/>
              </w:rPr>
            </w:pPr>
            <w:r w:rsidRPr="00C604C2">
              <w:rPr>
                <w:rFonts w:ascii="Arial" w:hAnsi="Arial" w:cs="Arial"/>
              </w:rPr>
              <w:t xml:space="preserve">If lobbying is successful, a resolution may be </w:t>
            </w:r>
            <w:r w:rsidRPr="00C604C2">
              <w:rPr>
                <w:rFonts w:ascii="Arial" w:hAnsi="Arial" w:cs="Arial"/>
              </w:rPr>
              <w:lastRenderedPageBreak/>
              <w:t>found through</w:t>
            </w:r>
            <w:r w:rsidR="007C0116">
              <w:rPr>
                <w:rFonts w:ascii="Arial" w:hAnsi="Arial" w:cs="Arial"/>
              </w:rPr>
              <w:t xml:space="preserve"> funding changes in the system;</w:t>
            </w:r>
          </w:p>
          <w:p w:rsidR="007C0116" w:rsidRDefault="007C0116" w:rsidP="00355FF4">
            <w:pPr>
              <w:pStyle w:val="ListParagraph"/>
              <w:numPr>
                <w:ilvl w:val="0"/>
                <w:numId w:val="20"/>
              </w:numPr>
              <w:rPr>
                <w:rFonts w:ascii="Arial" w:hAnsi="Arial" w:cs="Arial"/>
              </w:rPr>
            </w:pPr>
            <w:r>
              <w:rPr>
                <w:rFonts w:ascii="Arial" w:hAnsi="Arial" w:cs="Arial"/>
              </w:rPr>
              <w:t>Using reserves in the short-term allows time for the Task and Finish Group to consider a further year of data (2019/20) to ensure an informed decision;</w:t>
            </w:r>
          </w:p>
          <w:p w:rsidR="007C0116" w:rsidRDefault="007C0116" w:rsidP="00355FF4">
            <w:pPr>
              <w:pStyle w:val="ListParagraph"/>
              <w:numPr>
                <w:ilvl w:val="0"/>
                <w:numId w:val="20"/>
              </w:numPr>
              <w:rPr>
                <w:rFonts w:ascii="Arial" w:hAnsi="Arial" w:cs="Arial"/>
              </w:rPr>
            </w:pPr>
            <w:r>
              <w:rPr>
                <w:rFonts w:ascii="Arial" w:hAnsi="Arial" w:cs="Arial"/>
              </w:rPr>
              <w:t>Using reserves in the short-term allows time for the Task and Finish Group membership to be extended and for completion of a fuller impact assessment;</w:t>
            </w:r>
          </w:p>
          <w:p w:rsidR="00BD6184" w:rsidRPr="00C604C2" w:rsidRDefault="00BD6184" w:rsidP="00355FF4">
            <w:pPr>
              <w:pStyle w:val="ListParagraph"/>
              <w:numPr>
                <w:ilvl w:val="0"/>
                <w:numId w:val="20"/>
              </w:numPr>
              <w:rPr>
                <w:rFonts w:ascii="Arial" w:hAnsi="Arial" w:cs="Arial"/>
              </w:rPr>
            </w:pPr>
            <w:r w:rsidRPr="00C604C2">
              <w:rPr>
                <w:rFonts w:ascii="Arial" w:hAnsi="Arial" w:cs="Arial"/>
              </w:rPr>
              <w:t>Financial viability of PVIs is not placed at further risk;</w:t>
            </w:r>
          </w:p>
          <w:p w:rsidR="00BD6184" w:rsidRDefault="00BD6184" w:rsidP="00BD6184">
            <w:pPr>
              <w:pStyle w:val="ListParagraph"/>
              <w:numPr>
                <w:ilvl w:val="0"/>
                <w:numId w:val="20"/>
              </w:numPr>
              <w:rPr>
                <w:rFonts w:ascii="Arial" w:hAnsi="Arial" w:cs="Arial"/>
              </w:rPr>
            </w:pPr>
            <w:r>
              <w:rPr>
                <w:rFonts w:ascii="Arial" w:hAnsi="Arial" w:cs="Arial"/>
              </w:rPr>
              <w:t>Existing capacity for 2 year olds is not compromised</w:t>
            </w:r>
            <w:r w:rsidR="00646CBB">
              <w:rPr>
                <w:rFonts w:ascii="Arial" w:hAnsi="Arial" w:cs="Arial"/>
              </w:rPr>
              <w:t>;</w:t>
            </w:r>
          </w:p>
          <w:p w:rsidR="00BD6184" w:rsidRPr="00BD6184" w:rsidRDefault="00BD6184" w:rsidP="00BD6184">
            <w:pPr>
              <w:pStyle w:val="ListParagraph"/>
              <w:numPr>
                <w:ilvl w:val="0"/>
                <w:numId w:val="20"/>
              </w:numPr>
              <w:rPr>
                <w:rFonts w:ascii="Arial" w:hAnsi="Arial" w:cs="Arial"/>
              </w:rPr>
            </w:pPr>
            <w:r>
              <w:rPr>
                <w:rFonts w:ascii="Arial" w:hAnsi="Arial" w:cs="Arial"/>
              </w:rPr>
              <w:t>Participation rates likely to remain in top-10 nationally</w:t>
            </w:r>
          </w:p>
        </w:tc>
        <w:tc>
          <w:tcPr>
            <w:tcW w:w="3219" w:type="dxa"/>
          </w:tcPr>
          <w:p w:rsidR="00562363" w:rsidRDefault="00BD6184" w:rsidP="00BD6184">
            <w:pPr>
              <w:pStyle w:val="ListParagraph"/>
              <w:numPr>
                <w:ilvl w:val="0"/>
                <w:numId w:val="20"/>
              </w:numPr>
              <w:rPr>
                <w:rFonts w:ascii="Arial" w:hAnsi="Arial" w:cs="Arial"/>
              </w:rPr>
            </w:pPr>
            <w:r>
              <w:rPr>
                <w:rFonts w:ascii="Arial" w:hAnsi="Arial" w:cs="Arial"/>
              </w:rPr>
              <w:lastRenderedPageBreak/>
              <w:t>The timing of any funding changes is uncertain. Such changes</w:t>
            </w:r>
            <w:r w:rsidR="00646CBB">
              <w:rPr>
                <w:rFonts w:ascii="Arial" w:hAnsi="Arial" w:cs="Arial"/>
              </w:rPr>
              <w:t>, if successful,</w:t>
            </w:r>
            <w:r>
              <w:rPr>
                <w:rFonts w:ascii="Arial" w:hAnsi="Arial" w:cs="Arial"/>
              </w:rPr>
              <w:t xml:space="preserve"> usually carry a significant lead time;</w:t>
            </w:r>
          </w:p>
          <w:p w:rsidR="00BD6184" w:rsidRPr="00BD6184" w:rsidRDefault="00BD6184" w:rsidP="00BD6184">
            <w:pPr>
              <w:pStyle w:val="ListParagraph"/>
              <w:numPr>
                <w:ilvl w:val="0"/>
                <w:numId w:val="20"/>
              </w:numPr>
              <w:rPr>
                <w:rFonts w:ascii="Arial" w:hAnsi="Arial" w:cs="Arial"/>
              </w:rPr>
            </w:pPr>
            <w:r>
              <w:rPr>
                <w:rFonts w:ascii="Arial" w:hAnsi="Arial" w:cs="Arial"/>
              </w:rPr>
              <w:lastRenderedPageBreak/>
              <w:t xml:space="preserve">The current early years </w:t>
            </w:r>
            <w:r w:rsidR="00044223">
              <w:rPr>
                <w:rFonts w:ascii="Arial" w:hAnsi="Arial" w:cs="Arial"/>
              </w:rPr>
              <w:t>reserve balance stands at £0.284</w:t>
            </w:r>
            <w:r>
              <w:rPr>
                <w:rFonts w:ascii="Arial" w:hAnsi="Arial" w:cs="Arial"/>
              </w:rPr>
              <w:t>m. The annual call on reserves would be circa £0.105m per annum so reserves would cover 2 full financial year shortfalls only (2019/20 and 2020/21)</w:t>
            </w:r>
          </w:p>
        </w:tc>
      </w:tr>
      <w:tr w:rsidR="00562363" w:rsidTr="00562363">
        <w:tc>
          <w:tcPr>
            <w:tcW w:w="3218" w:type="dxa"/>
          </w:tcPr>
          <w:p w:rsidR="00562363" w:rsidRDefault="00C604C2" w:rsidP="00DA6153">
            <w:pPr>
              <w:rPr>
                <w:rFonts w:ascii="Arial" w:hAnsi="Arial" w:cs="Arial"/>
              </w:rPr>
            </w:pPr>
            <w:r>
              <w:rPr>
                <w:rFonts w:ascii="Arial" w:hAnsi="Arial" w:cs="Arial"/>
              </w:rPr>
              <w:lastRenderedPageBreak/>
              <w:t>Option 3: Move the funding basis for all providers to the 3 census points as opposed to attendance</w:t>
            </w:r>
          </w:p>
        </w:tc>
        <w:tc>
          <w:tcPr>
            <w:tcW w:w="3219" w:type="dxa"/>
          </w:tcPr>
          <w:p w:rsidR="00562363" w:rsidRDefault="00857D46" w:rsidP="00857D46">
            <w:pPr>
              <w:pStyle w:val="ListParagraph"/>
              <w:numPr>
                <w:ilvl w:val="0"/>
                <w:numId w:val="21"/>
              </w:numPr>
              <w:rPr>
                <w:rFonts w:ascii="Arial" w:hAnsi="Arial" w:cs="Arial"/>
              </w:rPr>
            </w:pPr>
            <w:r>
              <w:rPr>
                <w:rFonts w:ascii="Arial" w:hAnsi="Arial" w:cs="Arial"/>
              </w:rPr>
              <w:t>Overspend position likely to be reversed from 2020/21 onwards;</w:t>
            </w:r>
          </w:p>
          <w:p w:rsidR="00857D46" w:rsidRPr="00857D46" w:rsidRDefault="00857D46" w:rsidP="00857D46">
            <w:pPr>
              <w:pStyle w:val="ListParagraph"/>
              <w:numPr>
                <w:ilvl w:val="0"/>
                <w:numId w:val="21"/>
              </w:numPr>
              <w:rPr>
                <w:rFonts w:ascii="Arial" w:hAnsi="Arial" w:cs="Arial"/>
              </w:rPr>
            </w:pPr>
            <w:r>
              <w:rPr>
                <w:rFonts w:ascii="Arial" w:hAnsi="Arial" w:cs="Arial"/>
              </w:rPr>
              <w:t>Current administration and billing to fund PVI and academy providers based on attendance is simplified</w:t>
            </w:r>
          </w:p>
        </w:tc>
        <w:tc>
          <w:tcPr>
            <w:tcW w:w="3219" w:type="dxa"/>
          </w:tcPr>
          <w:p w:rsidR="00857D46" w:rsidRDefault="00857D46" w:rsidP="00857D46">
            <w:pPr>
              <w:pStyle w:val="ListParagraph"/>
              <w:numPr>
                <w:ilvl w:val="0"/>
                <w:numId w:val="21"/>
              </w:numPr>
              <w:rPr>
                <w:rFonts w:ascii="Arial" w:hAnsi="Arial" w:cs="Arial"/>
              </w:rPr>
            </w:pPr>
            <w:r>
              <w:rPr>
                <w:rFonts w:ascii="Arial" w:hAnsi="Arial" w:cs="Arial"/>
              </w:rPr>
              <w:t>The financial viability of PVI providers is placed at serious risk;</w:t>
            </w:r>
          </w:p>
          <w:p w:rsidR="00857D46" w:rsidRDefault="00857D46" w:rsidP="00857D46">
            <w:pPr>
              <w:pStyle w:val="ListParagraph"/>
              <w:numPr>
                <w:ilvl w:val="0"/>
                <w:numId w:val="21"/>
              </w:numPr>
              <w:rPr>
                <w:rFonts w:ascii="Arial" w:hAnsi="Arial" w:cs="Arial"/>
              </w:rPr>
            </w:pPr>
            <w:r>
              <w:rPr>
                <w:rFonts w:ascii="Arial" w:hAnsi="Arial" w:cs="Arial"/>
              </w:rPr>
              <w:t>PVI providers may refuse to accept eligible 2 year olds above their census point volumes;</w:t>
            </w:r>
          </w:p>
          <w:p w:rsidR="00857D46" w:rsidRDefault="00857D46" w:rsidP="00857D46">
            <w:pPr>
              <w:pStyle w:val="ListParagraph"/>
              <w:numPr>
                <w:ilvl w:val="0"/>
                <w:numId w:val="21"/>
              </w:numPr>
              <w:rPr>
                <w:rFonts w:ascii="Arial" w:hAnsi="Arial" w:cs="Arial"/>
              </w:rPr>
            </w:pPr>
            <w:r>
              <w:rPr>
                <w:rFonts w:ascii="Arial" w:hAnsi="Arial" w:cs="Arial"/>
              </w:rPr>
              <w:t>Council is unable to place all eligible 2 year-olds as capacity becomes restricted;</w:t>
            </w:r>
          </w:p>
          <w:p w:rsidR="00562363" w:rsidRDefault="00857D46" w:rsidP="00857D46">
            <w:pPr>
              <w:pStyle w:val="ListParagraph"/>
              <w:numPr>
                <w:ilvl w:val="0"/>
                <w:numId w:val="21"/>
              </w:numPr>
              <w:rPr>
                <w:rFonts w:ascii="Arial" w:hAnsi="Arial" w:cs="Arial"/>
              </w:rPr>
            </w:pPr>
            <w:r>
              <w:rPr>
                <w:rFonts w:ascii="Arial" w:hAnsi="Arial" w:cs="Arial"/>
              </w:rPr>
              <w:t>Early Years participation rates reduce significantly, which may in turn risk future education outcomes for Hartlepool children</w:t>
            </w:r>
            <w:r w:rsidR="00233504">
              <w:rPr>
                <w:rFonts w:ascii="Arial" w:hAnsi="Arial" w:cs="Arial"/>
              </w:rPr>
              <w:t>;</w:t>
            </w:r>
            <w:r>
              <w:rPr>
                <w:rFonts w:ascii="Arial" w:hAnsi="Arial" w:cs="Arial"/>
              </w:rPr>
              <w:t xml:space="preserve"> </w:t>
            </w:r>
          </w:p>
          <w:p w:rsidR="00233504" w:rsidRPr="00857D46" w:rsidRDefault="00233504" w:rsidP="00857D46">
            <w:pPr>
              <w:pStyle w:val="ListParagraph"/>
              <w:numPr>
                <w:ilvl w:val="0"/>
                <w:numId w:val="21"/>
              </w:numPr>
              <w:rPr>
                <w:rFonts w:ascii="Arial" w:hAnsi="Arial" w:cs="Arial"/>
              </w:rPr>
            </w:pPr>
            <w:r>
              <w:rPr>
                <w:rFonts w:ascii="Arial" w:hAnsi="Arial" w:cs="Arial"/>
              </w:rPr>
              <w:t>The full effect of such a change is not yet understood in sufficient detail owing to the lack of a fuller impact assessment</w:t>
            </w:r>
          </w:p>
        </w:tc>
      </w:tr>
    </w:tbl>
    <w:p w:rsidR="00562363" w:rsidRDefault="00562363" w:rsidP="00DA6153">
      <w:pPr>
        <w:rPr>
          <w:rFonts w:ascii="Arial" w:hAnsi="Arial" w:cs="Arial"/>
        </w:rPr>
      </w:pPr>
    </w:p>
    <w:p w:rsidR="007C0116" w:rsidRDefault="007C0116" w:rsidP="007C0116">
      <w:pPr>
        <w:ind w:left="720" w:hanging="720"/>
        <w:rPr>
          <w:rFonts w:ascii="Arial" w:hAnsi="Arial" w:cs="Arial"/>
        </w:rPr>
      </w:pPr>
      <w:r>
        <w:rPr>
          <w:rFonts w:ascii="Arial" w:hAnsi="Arial" w:cs="Arial"/>
        </w:rPr>
        <w:t>5.4</w:t>
      </w:r>
      <w:r>
        <w:rPr>
          <w:rFonts w:ascii="Arial" w:hAnsi="Arial" w:cs="Arial"/>
        </w:rPr>
        <w:tab/>
        <w:t>The preferred option from the Task and Finish Group, supported by the local authority, is option 2. Although the Group has been able to consider data in detail from 2018/19 and 2017/18, a further complete year of data for 2019/20 would be extremely helpful to confirm:</w:t>
      </w:r>
    </w:p>
    <w:p w:rsidR="00A13EED" w:rsidRDefault="00A13EED" w:rsidP="007C0116">
      <w:pPr>
        <w:ind w:left="720" w:hanging="720"/>
        <w:rPr>
          <w:rFonts w:ascii="Arial" w:hAnsi="Arial" w:cs="Arial"/>
        </w:rPr>
      </w:pPr>
    </w:p>
    <w:p w:rsidR="00F12BF9" w:rsidRPr="00A13EED" w:rsidRDefault="007C0116" w:rsidP="00A13EED">
      <w:pPr>
        <w:pStyle w:val="ListParagraph"/>
        <w:numPr>
          <w:ilvl w:val="0"/>
          <w:numId w:val="23"/>
        </w:numPr>
        <w:rPr>
          <w:rFonts w:ascii="Arial" w:hAnsi="Arial" w:cs="Arial"/>
        </w:rPr>
      </w:pPr>
      <w:r w:rsidRPr="00A13EED">
        <w:rPr>
          <w:rFonts w:ascii="Arial" w:hAnsi="Arial" w:cs="Arial"/>
        </w:rPr>
        <w:t xml:space="preserve">The </w:t>
      </w:r>
      <w:r w:rsidR="00F12BF9" w:rsidRPr="00A13EED">
        <w:rPr>
          <w:rFonts w:ascii="Arial" w:hAnsi="Arial" w:cs="Arial"/>
        </w:rPr>
        <w:t xml:space="preserve">actual </w:t>
      </w:r>
      <w:r w:rsidRPr="00A13EED">
        <w:rPr>
          <w:rFonts w:ascii="Arial" w:hAnsi="Arial" w:cs="Arial"/>
        </w:rPr>
        <w:t>position at 2019/20 year-end for expenditure on 3-4 year old entitlement</w:t>
      </w:r>
      <w:r w:rsidR="00F12BF9" w:rsidRPr="00A13EED">
        <w:rPr>
          <w:rFonts w:ascii="Arial" w:hAnsi="Arial" w:cs="Arial"/>
        </w:rPr>
        <w:t>, including whether the 95% pass-through rate has been reached for the first time linked to the hourly rate change;</w:t>
      </w:r>
    </w:p>
    <w:p w:rsidR="007C0116" w:rsidRPr="007C0116" w:rsidRDefault="00F12BF9" w:rsidP="00A13EED">
      <w:pPr>
        <w:pStyle w:val="ListParagraph"/>
        <w:numPr>
          <w:ilvl w:val="0"/>
          <w:numId w:val="23"/>
        </w:numPr>
        <w:rPr>
          <w:rFonts w:ascii="Arial" w:hAnsi="Arial" w:cs="Arial"/>
        </w:rPr>
      </w:pPr>
      <w:r>
        <w:rPr>
          <w:rFonts w:ascii="Arial" w:hAnsi="Arial" w:cs="Arial"/>
        </w:rPr>
        <w:t>Whether the analysis relating to a move of payment basis to 3 census points for PVIs and academies for 2017/18 and 2018/19 is replicated for a third year in 2019/20.</w:t>
      </w:r>
      <w:r w:rsidR="007C0116">
        <w:rPr>
          <w:rFonts w:ascii="Arial" w:hAnsi="Arial" w:cs="Arial"/>
        </w:rPr>
        <w:t xml:space="preserve"> </w:t>
      </w:r>
      <w:r>
        <w:rPr>
          <w:rFonts w:ascii="Arial" w:hAnsi="Arial" w:cs="Arial"/>
        </w:rPr>
        <w:t>As volumes of 2-year olds vary both on census days and during the year, a third year of data for analysis would help to ensure an informed decision.</w:t>
      </w:r>
    </w:p>
    <w:p w:rsidR="007C0116" w:rsidRDefault="007C0116" w:rsidP="00DA6153">
      <w:pPr>
        <w:rPr>
          <w:rFonts w:ascii="Arial" w:hAnsi="Arial" w:cs="Arial"/>
        </w:rPr>
      </w:pPr>
    </w:p>
    <w:p w:rsidR="007C0116" w:rsidRDefault="001E2C6D" w:rsidP="00DA6153">
      <w:pPr>
        <w:rPr>
          <w:rFonts w:ascii="Arial" w:hAnsi="Arial" w:cs="Arial"/>
        </w:rPr>
      </w:pPr>
      <w:r>
        <w:rPr>
          <w:rFonts w:ascii="Arial" w:hAnsi="Arial" w:cs="Arial"/>
        </w:rPr>
        <w:t>5.5</w:t>
      </w:r>
      <w:r>
        <w:rPr>
          <w:rFonts w:ascii="Arial" w:hAnsi="Arial" w:cs="Arial"/>
        </w:rPr>
        <w:tab/>
        <w:t xml:space="preserve">In addition to the benefits from a further year of data for 2019/20, use of reserves in </w:t>
      </w:r>
      <w:r>
        <w:rPr>
          <w:rFonts w:ascii="Arial" w:hAnsi="Arial" w:cs="Arial"/>
        </w:rPr>
        <w:tab/>
        <w:t>short-term, would enable:</w:t>
      </w:r>
    </w:p>
    <w:p w:rsidR="001E2C6D" w:rsidRDefault="001E2C6D" w:rsidP="00DA6153">
      <w:pPr>
        <w:rPr>
          <w:rFonts w:ascii="Arial" w:hAnsi="Arial" w:cs="Arial"/>
        </w:rPr>
      </w:pPr>
    </w:p>
    <w:p w:rsidR="001E2C6D" w:rsidRDefault="001E2C6D" w:rsidP="001E2C6D">
      <w:pPr>
        <w:pStyle w:val="ListParagraph"/>
        <w:numPr>
          <w:ilvl w:val="0"/>
          <w:numId w:val="22"/>
        </w:numPr>
        <w:rPr>
          <w:rFonts w:ascii="Arial" w:hAnsi="Arial" w:cs="Arial"/>
        </w:rPr>
      </w:pPr>
      <w:r>
        <w:rPr>
          <w:rFonts w:ascii="Arial" w:hAnsi="Arial" w:cs="Arial"/>
        </w:rPr>
        <w:t xml:space="preserve">Time to lobby government </w:t>
      </w:r>
      <w:r w:rsidR="00A13EED">
        <w:rPr>
          <w:rFonts w:ascii="Arial" w:hAnsi="Arial" w:cs="Arial"/>
        </w:rPr>
        <w:t xml:space="preserve">for review of funding arrangements </w:t>
      </w:r>
      <w:r>
        <w:rPr>
          <w:rFonts w:ascii="Arial" w:hAnsi="Arial" w:cs="Arial"/>
        </w:rPr>
        <w:t xml:space="preserve">and preferably gain support from neighbouring authorities. </w:t>
      </w:r>
      <w:r w:rsidR="00A13EED">
        <w:rPr>
          <w:rFonts w:ascii="Arial" w:hAnsi="Arial" w:cs="Arial"/>
        </w:rPr>
        <w:t>The Task and Finish Group have found that 5 of 9 neighbouring authorities overspent against 2 year old entitlement in 2018/19;</w:t>
      </w:r>
    </w:p>
    <w:p w:rsidR="00A13EED" w:rsidRDefault="00A13EED" w:rsidP="001E2C6D">
      <w:pPr>
        <w:pStyle w:val="ListParagraph"/>
        <w:numPr>
          <w:ilvl w:val="0"/>
          <w:numId w:val="22"/>
        </w:numPr>
        <w:rPr>
          <w:rFonts w:ascii="Arial" w:hAnsi="Arial" w:cs="Arial"/>
        </w:rPr>
      </w:pPr>
      <w:r>
        <w:rPr>
          <w:rFonts w:ascii="Arial" w:hAnsi="Arial" w:cs="Arial"/>
        </w:rPr>
        <w:t>Extending membership of the Task and Finish Group and ensuring that there is appropriate representation or consultation across Early Years providers;</w:t>
      </w:r>
    </w:p>
    <w:p w:rsidR="00A13EED" w:rsidRPr="001E2C6D" w:rsidRDefault="00A13EED" w:rsidP="001E2C6D">
      <w:pPr>
        <w:pStyle w:val="ListParagraph"/>
        <w:numPr>
          <w:ilvl w:val="0"/>
          <w:numId w:val="22"/>
        </w:numPr>
        <w:rPr>
          <w:rFonts w:ascii="Arial" w:hAnsi="Arial" w:cs="Arial"/>
        </w:rPr>
      </w:pPr>
      <w:r>
        <w:rPr>
          <w:rFonts w:ascii="Arial" w:hAnsi="Arial" w:cs="Arial"/>
        </w:rPr>
        <w:t>Completion of a fuller impact assessment to ensure the impact on providers from any payment basis change is sufficiently understood and planned for. The impact assessment would have particular regard to the distinction of PVI provision because of the differing regulatory and financial environment.</w:t>
      </w:r>
    </w:p>
    <w:p w:rsidR="007C0116" w:rsidRPr="00DA6153" w:rsidRDefault="007C0116" w:rsidP="00DA6153">
      <w:pPr>
        <w:rPr>
          <w:rFonts w:ascii="Arial" w:hAnsi="Arial" w:cs="Arial"/>
        </w:rPr>
      </w:pPr>
    </w:p>
    <w:p w:rsidR="008507B7" w:rsidRPr="007A0BF2" w:rsidRDefault="009A6884" w:rsidP="007A0BF2">
      <w:pPr>
        <w:rPr>
          <w:rFonts w:ascii="Arial" w:hAnsi="Arial" w:cs="Arial"/>
        </w:rPr>
      </w:pPr>
      <w:r>
        <w:rPr>
          <w:rFonts w:ascii="Arial" w:hAnsi="Arial" w:cs="Arial"/>
          <w:b/>
        </w:rPr>
        <w:t>6</w:t>
      </w:r>
      <w:r w:rsidR="00BA5A03" w:rsidRPr="007A0BF2">
        <w:rPr>
          <w:rFonts w:ascii="Arial" w:hAnsi="Arial" w:cs="Arial"/>
          <w:b/>
        </w:rPr>
        <w:t>.</w:t>
      </w:r>
      <w:r w:rsidR="00BA5A03" w:rsidRPr="007A0BF2">
        <w:rPr>
          <w:rFonts w:ascii="Arial" w:hAnsi="Arial" w:cs="Arial"/>
          <w:b/>
        </w:rPr>
        <w:tab/>
      </w:r>
      <w:r w:rsidR="0089402F" w:rsidRPr="007A0BF2">
        <w:rPr>
          <w:rFonts w:ascii="Arial" w:hAnsi="Arial" w:cs="Arial"/>
          <w:b/>
          <w:u w:val="single"/>
        </w:rPr>
        <w:t>Recommendation</w:t>
      </w:r>
      <w:r>
        <w:rPr>
          <w:rFonts w:ascii="Arial" w:hAnsi="Arial" w:cs="Arial"/>
          <w:b/>
          <w:u w:val="single"/>
        </w:rPr>
        <w:t>s</w:t>
      </w:r>
    </w:p>
    <w:p w:rsidR="008507B7" w:rsidRDefault="008507B7" w:rsidP="00F7785D">
      <w:pPr>
        <w:rPr>
          <w:rFonts w:ascii="Arial" w:hAnsi="Arial" w:cs="Arial"/>
        </w:rPr>
      </w:pPr>
    </w:p>
    <w:p w:rsidR="003F18B2" w:rsidRPr="001B0FA1" w:rsidRDefault="009A6884" w:rsidP="00F7785D">
      <w:pPr>
        <w:rPr>
          <w:rFonts w:ascii="Arial" w:hAnsi="Arial" w:cs="Arial"/>
        </w:rPr>
      </w:pPr>
      <w:r>
        <w:rPr>
          <w:rFonts w:ascii="Arial" w:hAnsi="Arial" w:cs="Arial"/>
        </w:rPr>
        <w:t>6</w:t>
      </w:r>
      <w:r w:rsidR="003F18B2">
        <w:rPr>
          <w:rFonts w:ascii="Arial" w:hAnsi="Arial" w:cs="Arial"/>
        </w:rPr>
        <w:t>.1</w:t>
      </w:r>
      <w:r w:rsidR="003F18B2">
        <w:rPr>
          <w:rFonts w:ascii="Arial" w:hAnsi="Arial" w:cs="Arial"/>
        </w:rPr>
        <w:tab/>
        <w:t>Forum is recommended to:</w:t>
      </w:r>
    </w:p>
    <w:p w:rsidR="00B05C65" w:rsidRPr="0089402F" w:rsidRDefault="003509AB" w:rsidP="0089402F">
      <w:pPr>
        <w:pStyle w:val="ListParagraph"/>
        <w:numPr>
          <w:ilvl w:val="0"/>
          <w:numId w:val="15"/>
        </w:numPr>
        <w:tabs>
          <w:tab w:val="left" w:pos="1134"/>
        </w:tabs>
        <w:rPr>
          <w:rFonts w:ascii="Arial" w:hAnsi="Arial" w:cs="Arial"/>
        </w:rPr>
      </w:pPr>
      <w:r w:rsidRPr="0089402F">
        <w:rPr>
          <w:rFonts w:ascii="Arial" w:hAnsi="Arial" w:cs="Arial"/>
        </w:rPr>
        <w:t>note the contents of the report</w:t>
      </w:r>
      <w:r w:rsidR="009A6884">
        <w:rPr>
          <w:rFonts w:ascii="Arial" w:hAnsi="Arial" w:cs="Arial"/>
        </w:rPr>
        <w:t>;</w:t>
      </w:r>
    </w:p>
    <w:p w:rsidR="0089402F" w:rsidRPr="0089402F" w:rsidRDefault="0089402F" w:rsidP="0089402F">
      <w:pPr>
        <w:pStyle w:val="ListParagraph"/>
        <w:tabs>
          <w:tab w:val="left" w:pos="1134"/>
        </w:tabs>
        <w:ind w:left="1129"/>
        <w:rPr>
          <w:rFonts w:ascii="Arial" w:hAnsi="Arial" w:cs="Arial"/>
        </w:rPr>
      </w:pPr>
    </w:p>
    <w:p w:rsidR="00B05C65" w:rsidRPr="009A6884" w:rsidRDefault="00A709F1" w:rsidP="009A6884">
      <w:pPr>
        <w:pStyle w:val="ListParagraph"/>
        <w:numPr>
          <w:ilvl w:val="0"/>
          <w:numId w:val="15"/>
        </w:numPr>
        <w:tabs>
          <w:tab w:val="left" w:pos="1134"/>
        </w:tabs>
        <w:rPr>
          <w:rFonts w:ascii="Arial" w:hAnsi="Arial" w:cs="Arial"/>
        </w:rPr>
      </w:pPr>
      <w:r>
        <w:rPr>
          <w:rFonts w:ascii="Arial" w:hAnsi="Arial" w:cs="Arial"/>
        </w:rPr>
        <w:t>consider the 2</w:t>
      </w:r>
      <w:r w:rsidR="009A6884" w:rsidRPr="009A6884">
        <w:rPr>
          <w:rFonts w:ascii="Arial" w:hAnsi="Arial" w:cs="Arial"/>
        </w:rPr>
        <w:t xml:space="preserve"> initial proposals for change outlined at section 4 of this report and decide if each proposal should be </w:t>
      </w:r>
      <w:r w:rsidR="00646CBB">
        <w:rPr>
          <w:rFonts w:ascii="Arial" w:hAnsi="Arial" w:cs="Arial"/>
        </w:rPr>
        <w:t>submitted to Children’s Services Committee for decision</w:t>
      </w:r>
      <w:r w:rsidR="009A6884" w:rsidRPr="009A6884">
        <w:rPr>
          <w:rFonts w:ascii="Arial" w:hAnsi="Arial" w:cs="Arial"/>
        </w:rPr>
        <w:t>;</w:t>
      </w:r>
    </w:p>
    <w:p w:rsidR="009A6884" w:rsidRPr="009A6884" w:rsidRDefault="009A6884" w:rsidP="009A6884">
      <w:pPr>
        <w:pStyle w:val="ListParagraph"/>
        <w:rPr>
          <w:rFonts w:ascii="Arial" w:hAnsi="Arial" w:cs="Arial"/>
        </w:rPr>
      </w:pPr>
    </w:p>
    <w:p w:rsidR="009A6884" w:rsidRPr="009A6884" w:rsidRDefault="009A6884" w:rsidP="009A6884">
      <w:pPr>
        <w:pStyle w:val="ListParagraph"/>
        <w:numPr>
          <w:ilvl w:val="0"/>
          <w:numId w:val="15"/>
        </w:numPr>
        <w:tabs>
          <w:tab w:val="left" w:pos="1134"/>
        </w:tabs>
        <w:rPr>
          <w:rFonts w:ascii="Arial" w:hAnsi="Arial" w:cs="Arial"/>
        </w:rPr>
      </w:pPr>
      <w:proofErr w:type="gramStart"/>
      <w:r>
        <w:rPr>
          <w:rFonts w:ascii="Arial" w:hAnsi="Arial" w:cs="Arial"/>
        </w:rPr>
        <w:t>consider</w:t>
      </w:r>
      <w:proofErr w:type="gramEnd"/>
      <w:r>
        <w:rPr>
          <w:rFonts w:ascii="Arial" w:hAnsi="Arial" w:cs="Arial"/>
        </w:rPr>
        <w:t xml:space="preserve"> the</w:t>
      </w:r>
      <w:r w:rsidR="00C604C2">
        <w:rPr>
          <w:rFonts w:ascii="Arial" w:hAnsi="Arial" w:cs="Arial"/>
        </w:rPr>
        <w:t xml:space="preserve"> 3</w:t>
      </w:r>
      <w:r>
        <w:rPr>
          <w:rFonts w:ascii="Arial" w:hAnsi="Arial" w:cs="Arial"/>
        </w:rPr>
        <w:t xml:space="preserve"> options outlined at section 5 of this report</w:t>
      </w:r>
      <w:r w:rsidR="00A709F1">
        <w:rPr>
          <w:rFonts w:ascii="Arial" w:hAnsi="Arial" w:cs="Arial"/>
        </w:rPr>
        <w:t>, noting the preferred Task and Finish Group option,</w:t>
      </w:r>
      <w:r>
        <w:rPr>
          <w:rFonts w:ascii="Arial" w:hAnsi="Arial" w:cs="Arial"/>
        </w:rPr>
        <w:t xml:space="preserve"> and decide which would reflect the preferred option</w:t>
      </w:r>
      <w:r w:rsidR="00C604C2">
        <w:rPr>
          <w:rFonts w:ascii="Arial" w:hAnsi="Arial" w:cs="Arial"/>
        </w:rPr>
        <w:t xml:space="preserve"> for Schools’ Forum</w:t>
      </w:r>
      <w:r>
        <w:rPr>
          <w:rFonts w:ascii="Arial" w:hAnsi="Arial" w:cs="Arial"/>
        </w:rPr>
        <w:t>. Children’s Services Committee will be briefed on the results of this vote when they are asked to make a final decision.</w:t>
      </w:r>
    </w:p>
    <w:p w:rsidR="00D0023B" w:rsidRDefault="00D0023B" w:rsidP="00F7785D">
      <w:pPr>
        <w:rPr>
          <w:rFonts w:ascii="Arial" w:hAnsi="Arial" w:cs="Arial"/>
        </w:rPr>
      </w:pPr>
    </w:p>
    <w:p w:rsidR="00D0023B" w:rsidRPr="00D0023B" w:rsidRDefault="00D0023B" w:rsidP="00F7785D">
      <w:pPr>
        <w:ind w:firstLine="720"/>
        <w:rPr>
          <w:rFonts w:ascii="Arial" w:hAnsi="Arial" w:cs="Arial"/>
          <w:b/>
        </w:rPr>
      </w:pPr>
      <w:r w:rsidRPr="00A772DF">
        <w:rPr>
          <w:rFonts w:ascii="Arial" w:hAnsi="Arial" w:cs="Arial"/>
          <w:b/>
        </w:rPr>
        <w:t>A vote is required and A</w:t>
      </w:r>
      <w:r w:rsidR="001471D4">
        <w:rPr>
          <w:rFonts w:ascii="Arial" w:hAnsi="Arial" w:cs="Arial"/>
          <w:b/>
        </w:rPr>
        <w:t>LL S</w:t>
      </w:r>
      <w:r w:rsidR="00D90F8F">
        <w:rPr>
          <w:rFonts w:ascii="Arial" w:hAnsi="Arial" w:cs="Arial"/>
          <w:b/>
        </w:rPr>
        <w:t>chools</w:t>
      </w:r>
      <w:r w:rsidR="001471D4">
        <w:rPr>
          <w:rFonts w:ascii="Arial" w:hAnsi="Arial" w:cs="Arial"/>
          <w:b/>
        </w:rPr>
        <w:t>’</w:t>
      </w:r>
      <w:r w:rsidR="00D90F8F">
        <w:rPr>
          <w:rFonts w:ascii="Arial" w:hAnsi="Arial" w:cs="Arial"/>
          <w:b/>
        </w:rPr>
        <w:t xml:space="preserve"> </w:t>
      </w:r>
      <w:r w:rsidRPr="00A772DF">
        <w:rPr>
          <w:rFonts w:ascii="Arial" w:hAnsi="Arial" w:cs="Arial"/>
          <w:b/>
        </w:rPr>
        <w:t>Forum members are eligible</w:t>
      </w:r>
      <w:r w:rsidR="003509AB">
        <w:rPr>
          <w:rFonts w:ascii="Arial" w:hAnsi="Arial" w:cs="Arial"/>
          <w:b/>
        </w:rPr>
        <w:t xml:space="preserve"> </w:t>
      </w:r>
      <w:r w:rsidRPr="00A772DF">
        <w:rPr>
          <w:rFonts w:ascii="Arial" w:hAnsi="Arial" w:cs="Arial"/>
          <w:b/>
        </w:rPr>
        <w:t>to vote.</w:t>
      </w:r>
    </w:p>
    <w:sectPr w:rsidR="00D0023B" w:rsidRPr="00D0023B" w:rsidSect="0053426F">
      <w:footerReference w:type="default" r:id="rId8"/>
      <w:pgSz w:w="12240" w:h="15840"/>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C06" w:rsidRDefault="00C35C06" w:rsidP="00B61414">
      <w:r>
        <w:separator/>
      </w:r>
    </w:p>
  </w:endnote>
  <w:endnote w:type="continuationSeparator" w:id="0">
    <w:p w:rsidR="00C35C06" w:rsidRDefault="00C35C06" w:rsidP="00B6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4611"/>
      <w:docPartObj>
        <w:docPartGallery w:val="Page Numbers (Bottom of Page)"/>
        <w:docPartUnique/>
      </w:docPartObj>
    </w:sdtPr>
    <w:sdtEndPr>
      <w:rPr>
        <w:rFonts w:ascii="Arial" w:hAnsi="Arial"/>
      </w:rPr>
    </w:sdtEndPr>
    <w:sdtContent>
      <w:p w:rsidR="00C56839" w:rsidRPr="00806551" w:rsidRDefault="00862481">
        <w:pPr>
          <w:pStyle w:val="Footer"/>
          <w:jc w:val="center"/>
          <w:rPr>
            <w:rFonts w:ascii="Arial" w:hAnsi="Arial"/>
          </w:rPr>
        </w:pPr>
        <w:r w:rsidRPr="00806551">
          <w:rPr>
            <w:rFonts w:ascii="Arial" w:hAnsi="Arial"/>
          </w:rPr>
          <w:fldChar w:fldCharType="begin"/>
        </w:r>
        <w:r w:rsidR="00C56839" w:rsidRPr="00806551">
          <w:rPr>
            <w:rFonts w:ascii="Arial" w:hAnsi="Arial"/>
          </w:rPr>
          <w:instrText xml:space="preserve"> PAGE   \* MERGEFORMAT </w:instrText>
        </w:r>
        <w:r w:rsidRPr="00806551">
          <w:rPr>
            <w:rFonts w:ascii="Arial" w:hAnsi="Arial"/>
          </w:rPr>
          <w:fldChar w:fldCharType="separate"/>
        </w:r>
        <w:r w:rsidR="003100AE">
          <w:rPr>
            <w:rFonts w:ascii="Arial" w:hAnsi="Arial"/>
            <w:noProof/>
          </w:rPr>
          <w:t>1</w:t>
        </w:r>
        <w:r w:rsidRPr="00806551">
          <w:rPr>
            <w:rFonts w:ascii="Arial" w:hAnsi="Arial"/>
          </w:rPr>
          <w:fldChar w:fldCharType="end"/>
        </w:r>
      </w:p>
    </w:sdtContent>
  </w:sdt>
  <w:p w:rsidR="00C56839" w:rsidRDefault="00C56839" w:rsidP="00B6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C06" w:rsidRDefault="00C35C06" w:rsidP="00B61414">
      <w:r>
        <w:separator/>
      </w:r>
    </w:p>
  </w:footnote>
  <w:footnote w:type="continuationSeparator" w:id="0">
    <w:p w:rsidR="00C35C06" w:rsidRDefault="00C35C06" w:rsidP="00B61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D34"/>
    <w:multiLevelType w:val="hybridMultilevel"/>
    <w:tmpl w:val="4836B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5F3414"/>
    <w:multiLevelType w:val="hybridMultilevel"/>
    <w:tmpl w:val="4BC4F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F23E1F"/>
    <w:multiLevelType w:val="hybridMultilevel"/>
    <w:tmpl w:val="22B04654"/>
    <w:lvl w:ilvl="0" w:tplc="D1BC8EC8">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C535D0C"/>
    <w:multiLevelType w:val="hybridMultilevel"/>
    <w:tmpl w:val="9D9843E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 w15:restartNumberingAfterBreak="0">
    <w:nsid w:val="22AC633D"/>
    <w:multiLevelType w:val="hybridMultilevel"/>
    <w:tmpl w:val="CF3820F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25143516"/>
    <w:multiLevelType w:val="hybridMultilevel"/>
    <w:tmpl w:val="B886A4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7662B93"/>
    <w:multiLevelType w:val="hybridMultilevel"/>
    <w:tmpl w:val="DA3CF36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7" w15:restartNumberingAfterBreak="0">
    <w:nsid w:val="308D4698"/>
    <w:multiLevelType w:val="multilevel"/>
    <w:tmpl w:val="2B5A68D6"/>
    <w:lvl w:ilvl="0">
      <w:start w:val="1"/>
      <w:numFmt w:val="decimal"/>
      <w:lvlText w:val="%1."/>
      <w:lvlJc w:val="left"/>
      <w:pPr>
        <w:ind w:left="360" w:hanging="360"/>
      </w:pPr>
      <w:rPr>
        <w:b/>
      </w:rPr>
    </w:lvl>
    <w:lvl w:ilvl="1">
      <w:start w:val="1"/>
      <w:numFmt w:val="decimal"/>
      <w:pStyle w:val="Outline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5E0447"/>
    <w:multiLevelType w:val="hybridMultilevel"/>
    <w:tmpl w:val="849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86D46"/>
    <w:multiLevelType w:val="multilevel"/>
    <w:tmpl w:val="727C94AE"/>
    <w:lvl w:ilvl="0">
      <w:start w:val="1"/>
      <w:numFmt w:val="decimal"/>
      <w:lvlText w:val="%1."/>
      <w:lvlJc w:val="left"/>
      <w:pPr>
        <w:ind w:left="1080" w:hanging="72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B847A6"/>
    <w:multiLevelType w:val="hybridMultilevel"/>
    <w:tmpl w:val="48543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7068"/>
    <w:multiLevelType w:val="hybridMultilevel"/>
    <w:tmpl w:val="15FA675A"/>
    <w:lvl w:ilvl="0" w:tplc="08090019">
      <w:start w:val="1"/>
      <w:numFmt w:val="lowerLetter"/>
      <w:lvlText w:val="%1."/>
      <w:lvlJc w:val="left"/>
      <w:pPr>
        <w:ind w:left="1281" w:hanging="360"/>
      </w:pPr>
      <w:rPr>
        <w:rFonts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2" w15:restartNumberingAfterBreak="0">
    <w:nsid w:val="467A7CDC"/>
    <w:multiLevelType w:val="hybridMultilevel"/>
    <w:tmpl w:val="972877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817945"/>
    <w:multiLevelType w:val="hybridMultilevel"/>
    <w:tmpl w:val="1A30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935AB"/>
    <w:multiLevelType w:val="multilevel"/>
    <w:tmpl w:val="4F2229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E670D8"/>
    <w:multiLevelType w:val="hybridMultilevel"/>
    <w:tmpl w:val="96D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63F91"/>
    <w:multiLevelType w:val="hybridMultilevel"/>
    <w:tmpl w:val="5868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4B5E52"/>
    <w:multiLevelType w:val="multilevel"/>
    <w:tmpl w:val="8EDE7458"/>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A27E95"/>
    <w:multiLevelType w:val="hybridMultilevel"/>
    <w:tmpl w:val="EBE08640"/>
    <w:lvl w:ilvl="0" w:tplc="0809000F">
      <w:start w:val="1"/>
      <w:numFmt w:val="decimal"/>
      <w:lvlText w:val="%1."/>
      <w:lvlJc w:val="left"/>
      <w:pPr>
        <w:ind w:left="1283" w:hanging="360"/>
      </w:pPr>
    </w:lvl>
    <w:lvl w:ilvl="1" w:tplc="08090019" w:tentative="1">
      <w:start w:val="1"/>
      <w:numFmt w:val="lowerLetter"/>
      <w:lvlText w:val="%2."/>
      <w:lvlJc w:val="left"/>
      <w:pPr>
        <w:ind w:left="2003" w:hanging="360"/>
      </w:pPr>
    </w:lvl>
    <w:lvl w:ilvl="2" w:tplc="0809001B" w:tentative="1">
      <w:start w:val="1"/>
      <w:numFmt w:val="lowerRoman"/>
      <w:lvlText w:val="%3."/>
      <w:lvlJc w:val="right"/>
      <w:pPr>
        <w:ind w:left="2723" w:hanging="180"/>
      </w:pPr>
    </w:lvl>
    <w:lvl w:ilvl="3" w:tplc="0809000F" w:tentative="1">
      <w:start w:val="1"/>
      <w:numFmt w:val="decimal"/>
      <w:lvlText w:val="%4."/>
      <w:lvlJc w:val="left"/>
      <w:pPr>
        <w:ind w:left="3443" w:hanging="360"/>
      </w:pPr>
    </w:lvl>
    <w:lvl w:ilvl="4" w:tplc="08090019" w:tentative="1">
      <w:start w:val="1"/>
      <w:numFmt w:val="lowerLetter"/>
      <w:lvlText w:val="%5."/>
      <w:lvlJc w:val="left"/>
      <w:pPr>
        <w:ind w:left="4163" w:hanging="360"/>
      </w:pPr>
    </w:lvl>
    <w:lvl w:ilvl="5" w:tplc="0809001B" w:tentative="1">
      <w:start w:val="1"/>
      <w:numFmt w:val="lowerRoman"/>
      <w:lvlText w:val="%6."/>
      <w:lvlJc w:val="right"/>
      <w:pPr>
        <w:ind w:left="4883" w:hanging="180"/>
      </w:pPr>
    </w:lvl>
    <w:lvl w:ilvl="6" w:tplc="0809000F" w:tentative="1">
      <w:start w:val="1"/>
      <w:numFmt w:val="decimal"/>
      <w:lvlText w:val="%7."/>
      <w:lvlJc w:val="left"/>
      <w:pPr>
        <w:ind w:left="5603" w:hanging="360"/>
      </w:pPr>
    </w:lvl>
    <w:lvl w:ilvl="7" w:tplc="08090019" w:tentative="1">
      <w:start w:val="1"/>
      <w:numFmt w:val="lowerLetter"/>
      <w:lvlText w:val="%8."/>
      <w:lvlJc w:val="left"/>
      <w:pPr>
        <w:ind w:left="6323" w:hanging="360"/>
      </w:pPr>
    </w:lvl>
    <w:lvl w:ilvl="8" w:tplc="0809001B" w:tentative="1">
      <w:start w:val="1"/>
      <w:numFmt w:val="lowerRoman"/>
      <w:lvlText w:val="%9."/>
      <w:lvlJc w:val="right"/>
      <w:pPr>
        <w:ind w:left="7043" w:hanging="180"/>
      </w:pPr>
    </w:lvl>
  </w:abstractNum>
  <w:abstractNum w:abstractNumId="19" w15:restartNumberingAfterBreak="0">
    <w:nsid w:val="6601095E"/>
    <w:multiLevelType w:val="hybridMultilevel"/>
    <w:tmpl w:val="35C8C276"/>
    <w:lvl w:ilvl="0" w:tplc="5B3EDD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9F0CAA"/>
    <w:multiLevelType w:val="hybridMultilevel"/>
    <w:tmpl w:val="2DEE67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B15BAA"/>
    <w:multiLevelType w:val="hybridMultilevel"/>
    <w:tmpl w:val="9C74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21266"/>
    <w:multiLevelType w:val="hybridMultilevel"/>
    <w:tmpl w:val="23FE398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7"/>
  </w:num>
  <w:num w:numId="2">
    <w:abstractNumId w:val="9"/>
  </w:num>
  <w:num w:numId="3">
    <w:abstractNumId w:val="8"/>
  </w:num>
  <w:num w:numId="4">
    <w:abstractNumId w:val="16"/>
  </w:num>
  <w:num w:numId="5">
    <w:abstractNumId w:val="15"/>
  </w:num>
  <w:num w:numId="6">
    <w:abstractNumId w:val="18"/>
  </w:num>
  <w:num w:numId="7">
    <w:abstractNumId w:val="1"/>
  </w:num>
  <w:num w:numId="8">
    <w:abstractNumId w:val="6"/>
  </w:num>
  <w:num w:numId="9">
    <w:abstractNumId w:val="22"/>
  </w:num>
  <w:num w:numId="10">
    <w:abstractNumId w:val="11"/>
  </w:num>
  <w:num w:numId="11">
    <w:abstractNumId w:val="5"/>
  </w:num>
  <w:num w:numId="12">
    <w:abstractNumId w:val="17"/>
  </w:num>
  <w:num w:numId="13">
    <w:abstractNumId w:val="14"/>
  </w:num>
  <w:num w:numId="14">
    <w:abstractNumId w:val="12"/>
  </w:num>
  <w:num w:numId="15">
    <w:abstractNumId w:val="2"/>
  </w:num>
  <w:num w:numId="16">
    <w:abstractNumId w:val="4"/>
  </w:num>
  <w:num w:numId="17">
    <w:abstractNumId w:val="3"/>
  </w:num>
  <w:num w:numId="18">
    <w:abstractNumId w:val="19"/>
  </w:num>
  <w:num w:numId="19">
    <w:abstractNumId w:val="21"/>
  </w:num>
  <w:num w:numId="20">
    <w:abstractNumId w:val="13"/>
  </w:num>
  <w:num w:numId="21">
    <w:abstractNumId w:val="10"/>
  </w:num>
  <w:num w:numId="22">
    <w:abstractNumId w:val="0"/>
  </w:num>
  <w:num w:numId="2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D87"/>
    <w:rsid w:val="00001556"/>
    <w:rsid w:val="0000249A"/>
    <w:rsid w:val="00002721"/>
    <w:rsid w:val="00007475"/>
    <w:rsid w:val="00011F3A"/>
    <w:rsid w:val="000127D9"/>
    <w:rsid w:val="000131D4"/>
    <w:rsid w:val="00013F84"/>
    <w:rsid w:val="000145BD"/>
    <w:rsid w:val="00015182"/>
    <w:rsid w:val="000168DD"/>
    <w:rsid w:val="0001724D"/>
    <w:rsid w:val="00017DE5"/>
    <w:rsid w:val="00020122"/>
    <w:rsid w:val="0002078A"/>
    <w:rsid w:val="00020A06"/>
    <w:rsid w:val="00021A80"/>
    <w:rsid w:val="0002282D"/>
    <w:rsid w:val="000245D6"/>
    <w:rsid w:val="00025930"/>
    <w:rsid w:val="000273D4"/>
    <w:rsid w:val="00027F6A"/>
    <w:rsid w:val="00030623"/>
    <w:rsid w:val="00034D30"/>
    <w:rsid w:val="0003557D"/>
    <w:rsid w:val="0003565F"/>
    <w:rsid w:val="00035761"/>
    <w:rsid w:val="00035A1E"/>
    <w:rsid w:val="00037393"/>
    <w:rsid w:val="00041B1E"/>
    <w:rsid w:val="00041B48"/>
    <w:rsid w:val="00041C9B"/>
    <w:rsid w:val="000424E2"/>
    <w:rsid w:val="00043984"/>
    <w:rsid w:val="00044223"/>
    <w:rsid w:val="00045D28"/>
    <w:rsid w:val="000474A0"/>
    <w:rsid w:val="00047960"/>
    <w:rsid w:val="00050952"/>
    <w:rsid w:val="000512D6"/>
    <w:rsid w:val="00054270"/>
    <w:rsid w:val="00056907"/>
    <w:rsid w:val="00057F6B"/>
    <w:rsid w:val="000603C3"/>
    <w:rsid w:val="00061821"/>
    <w:rsid w:val="000623EF"/>
    <w:rsid w:val="000626CE"/>
    <w:rsid w:val="000631E6"/>
    <w:rsid w:val="00064743"/>
    <w:rsid w:val="00065C36"/>
    <w:rsid w:val="0007006B"/>
    <w:rsid w:val="00071755"/>
    <w:rsid w:val="000717D7"/>
    <w:rsid w:val="00071DA1"/>
    <w:rsid w:val="00072087"/>
    <w:rsid w:val="000723B3"/>
    <w:rsid w:val="000723B4"/>
    <w:rsid w:val="000725EA"/>
    <w:rsid w:val="00076162"/>
    <w:rsid w:val="00076F19"/>
    <w:rsid w:val="000771B2"/>
    <w:rsid w:val="0008087A"/>
    <w:rsid w:val="00080D21"/>
    <w:rsid w:val="00080ED6"/>
    <w:rsid w:val="00081B7F"/>
    <w:rsid w:val="00082526"/>
    <w:rsid w:val="00083680"/>
    <w:rsid w:val="000841D9"/>
    <w:rsid w:val="000854CA"/>
    <w:rsid w:val="000866DB"/>
    <w:rsid w:val="00087768"/>
    <w:rsid w:val="00090D73"/>
    <w:rsid w:val="00092357"/>
    <w:rsid w:val="00092B2B"/>
    <w:rsid w:val="0009468E"/>
    <w:rsid w:val="00096CDC"/>
    <w:rsid w:val="00096FF1"/>
    <w:rsid w:val="00097556"/>
    <w:rsid w:val="000A2E84"/>
    <w:rsid w:val="000A415D"/>
    <w:rsid w:val="000A65C2"/>
    <w:rsid w:val="000B12F2"/>
    <w:rsid w:val="000B2CE0"/>
    <w:rsid w:val="000B409A"/>
    <w:rsid w:val="000B6049"/>
    <w:rsid w:val="000B783A"/>
    <w:rsid w:val="000B7C9D"/>
    <w:rsid w:val="000C08CB"/>
    <w:rsid w:val="000C315A"/>
    <w:rsid w:val="000C40B6"/>
    <w:rsid w:val="000C4DB0"/>
    <w:rsid w:val="000C55D5"/>
    <w:rsid w:val="000C56E7"/>
    <w:rsid w:val="000C66E8"/>
    <w:rsid w:val="000C7789"/>
    <w:rsid w:val="000D1BD4"/>
    <w:rsid w:val="000D2B4E"/>
    <w:rsid w:val="000D2FDA"/>
    <w:rsid w:val="000D3D86"/>
    <w:rsid w:val="000D41C6"/>
    <w:rsid w:val="000D7BCB"/>
    <w:rsid w:val="000E0C99"/>
    <w:rsid w:val="000E348A"/>
    <w:rsid w:val="000E35F6"/>
    <w:rsid w:val="000E3861"/>
    <w:rsid w:val="000E42EE"/>
    <w:rsid w:val="000E48FE"/>
    <w:rsid w:val="000E4A8F"/>
    <w:rsid w:val="000E55C6"/>
    <w:rsid w:val="000E576F"/>
    <w:rsid w:val="000E593B"/>
    <w:rsid w:val="000E5CC1"/>
    <w:rsid w:val="000E75D5"/>
    <w:rsid w:val="000E7D04"/>
    <w:rsid w:val="000F097F"/>
    <w:rsid w:val="000F0B10"/>
    <w:rsid w:val="000F3967"/>
    <w:rsid w:val="000F5754"/>
    <w:rsid w:val="000F6B0D"/>
    <w:rsid w:val="000F7035"/>
    <w:rsid w:val="0010001F"/>
    <w:rsid w:val="0010083E"/>
    <w:rsid w:val="001023DA"/>
    <w:rsid w:val="00103852"/>
    <w:rsid w:val="00103A2C"/>
    <w:rsid w:val="00104172"/>
    <w:rsid w:val="00105439"/>
    <w:rsid w:val="001105F1"/>
    <w:rsid w:val="0011308A"/>
    <w:rsid w:val="00114EEF"/>
    <w:rsid w:val="001150C8"/>
    <w:rsid w:val="00116951"/>
    <w:rsid w:val="0011726D"/>
    <w:rsid w:val="00117F8A"/>
    <w:rsid w:val="001201E8"/>
    <w:rsid w:val="00122240"/>
    <w:rsid w:val="00123710"/>
    <w:rsid w:val="001257F5"/>
    <w:rsid w:val="001274EB"/>
    <w:rsid w:val="00130786"/>
    <w:rsid w:val="00133C66"/>
    <w:rsid w:val="001350FB"/>
    <w:rsid w:val="00135A38"/>
    <w:rsid w:val="00137BC6"/>
    <w:rsid w:val="00140954"/>
    <w:rsid w:val="0014304D"/>
    <w:rsid w:val="00144BE2"/>
    <w:rsid w:val="001459E7"/>
    <w:rsid w:val="00146BE4"/>
    <w:rsid w:val="001471D4"/>
    <w:rsid w:val="00150DE8"/>
    <w:rsid w:val="00151005"/>
    <w:rsid w:val="00152371"/>
    <w:rsid w:val="00152C15"/>
    <w:rsid w:val="001543BE"/>
    <w:rsid w:val="00155B5D"/>
    <w:rsid w:val="001561C3"/>
    <w:rsid w:val="00156A05"/>
    <w:rsid w:val="00156FA5"/>
    <w:rsid w:val="001601E0"/>
    <w:rsid w:val="001605D3"/>
    <w:rsid w:val="00160852"/>
    <w:rsid w:val="00161991"/>
    <w:rsid w:val="00163B4B"/>
    <w:rsid w:val="00163DE5"/>
    <w:rsid w:val="00165672"/>
    <w:rsid w:val="001671A3"/>
    <w:rsid w:val="00167352"/>
    <w:rsid w:val="00170D2A"/>
    <w:rsid w:val="00170EDD"/>
    <w:rsid w:val="00171617"/>
    <w:rsid w:val="0017240C"/>
    <w:rsid w:val="001733C7"/>
    <w:rsid w:val="00173A9D"/>
    <w:rsid w:val="0017401D"/>
    <w:rsid w:val="00176589"/>
    <w:rsid w:val="001778D2"/>
    <w:rsid w:val="00177CE7"/>
    <w:rsid w:val="00182794"/>
    <w:rsid w:val="0018313E"/>
    <w:rsid w:val="00183A38"/>
    <w:rsid w:val="00185619"/>
    <w:rsid w:val="001872DA"/>
    <w:rsid w:val="0018740E"/>
    <w:rsid w:val="00192868"/>
    <w:rsid w:val="0019452A"/>
    <w:rsid w:val="00196432"/>
    <w:rsid w:val="0019698C"/>
    <w:rsid w:val="001A3743"/>
    <w:rsid w:val="001A516A"/>
    <w:rsid w:val="001B0CB0"/>
    <w:rsid w:val="001B0FA1"/>
    <w:rsid w:val="001B26C3"/>
    <w:rsid w:val="001B2D3C"/>
    <w:rsid w:val="001B6433"/>
    <w:rsid w:val="001B6513"/>
    <w:rsid w:val="001B6842"/>
    <w:rsid w:val="001C0230"/>
    <w:rsid w:val="001C08B1"/>
    <w:rsid w:val="001C1344"/>
    <w:rsid w:val="001C314B"/>
    <w:rsid w:val="001C4125"/>
    <w:rsid w:val="001C4B34"/>
    <w:rsid w:val="001C5219"/>
    <w:rsid w:val="001C5788"/>
    <w:rsid w:val="001C58B6"/>
    <w:rsid w:val="001D033C"/>
    <w:rsid w:val="001D0CD4"/>
    <w:rsid w:val="001D14C1"/>
    <w:rsid w:val="001D1A4F"/>
    <w:rsid w:val="001D1F97"/>
    <w:rsid w:val="001D2130"/>
    <w:rsid w:val="001D4064"/>
    <w:rsid w:val="001D443C"/>
    <w:rsid w:val="001D4923"/>
    <w:rsid w:val="001D5962"/>
    <w:rsid w:val="001D5C1C"/>
    <w:rsid w:val="001D7719"/>
    <w:rsid w:val="001D7777"/>
    <w:rsid w:val="001E0292"/>
    <w:rsid w:val="001E1577"/>
    <w:rsid w:val="001E1A7E"/>
    <w:rsid w:val="001E2067"/>
    <w:rsid w:val="001E2C6D"/>
    <w:rsid w:val="001E2F6A"/>
    <w:rsid w:val="001E4E24"/>
    <w:rsid w:val="001E6048"/>
    <w:rsid w:val="001E73D6"/>
    <w:rsid w:val="001F05DF"/>
    <w:rsid w:val="001F2BD6"/>
    <w:rsid w:val="001F37B5"/>
    <w:rsid w:val="001F5030"/>
    <w:rsid w:val="001F5AB5"/>
    <w:rsid w:val="001F6798"/>
    <w:rsid w:val="001F766B"/>
    <w:rsid w:val="00200446"/>
    <w:rsid w:val="00200B05"/>
    <w:rsid w:val="0020279E"/>
    <w:rsid w:val="0020341C"/>
    <w:rsid w:val="00203BEA"/>
    <w:rsid w:val="00204E1A"/>
    <w:rsid w:val="00205626"/>
    <w:rsid w:val="0020617C"/>
    <w:rsid w:val="0020787C"/>
    <w:rsid w:val="00207F6C"/>
    <w:rsid w:val="002108DC"/>
    <w:rsid w:val="002110A2"/>
    <w:rsid w:val="00211D3C"/>
    <w:rsid w:val="00212031"/>
    <w:rsid w:val="002120AB"/>
    <w:rsid w:val="002129C2"/>
    <w:rsid w:val="002165C9"/>
    <w:rsid w:val="00217829"/>
    <w:rsid w:val="0022148C"/>
    <w:rsid w:val="00223A15"/>
    <w:rsid w:val="00223D32"/>
    <w:rsid w:val="0022480A"/>
    <w:rsid w:val="00224DE2"/>
    <w:rsid w:val="0022554F"/>
    <w:rsid w:val="00225CCF"/>
    <w:rsid w:val="00226527"/>
    <w:rsid w:val="0022753E"/>
    <w:rsid w:val="00227FB4"/>
    <w:rsid w:val="00230123"/>
    <w:rsid w:val="00230ADC"/>
    <w:rsid w:val="00233301"/>
    <w:rsid w:val="00233504"/>
    <w:rsid w:val="002339D5"/>
    <w:rsid w:val="00233AF6"/>
    <w:rsid w:val="0023468B"/>
    <w:rsid w:val="002350F0"/>
    <w:rsid w:val="00235489"/>
    <w:rsid w:val="002355FB"/>
    <w:rsid w:val="00236BA4"/>
    <w:rsid w:val="00237FF4"/>
    <w:rsid w:val="0024529C"/>
    <w:rsid w:val="00246312"/>
    <w:rsid w:val="0025045A"/>
    <w:rsid w:val="00252D4E"/>
    <w:rsid w:val="00252E09"/>
    <w:rsid w:val="00254CD6"/>
    <w:rsid w:val="00256FD2"/>
    <w:rsid w:val="002620AD"/>
    <w:rsid w:val="00262BE3"/>
    <w:rsid w:val="00263863"/>
    <w:rsid w:val="00265372"/>
    <w:rsid w:val="002654A9"/>
    <w:rsid w:val="00266A80"/>
    <w:rsid w:val="00267CB0"/>
    <w:rsid w:val="00270B51"/>
    <w:rsid w:val="00271089"/>
    <w:rsid w:val="00271460"/>
    <w:rsid w:val="00272235"/>
    <w:rsid w:val="0027292C"/>
    <w:rsid w:val="0027590D"/>
    <w:rsid w:val="00275C46"/>
    <w:rsid w:val="00282823"/>
    <w:rsid w:val="002841D1"/>
    <w:rsid w:val="00286CE7"/>
    <w:rsid w:val="002913C8"/>
    <w:rsid w:val="0029145B"/>
    <w:rsid w:val="002925DA"/>
    <w:rsid w:val="00293201"/>
    <w:rsid w:val="00293208"/>
    <w:rsid w:val="002956D8"/>
    <w:rsid w:val="00295736"/>
    <w:rsid w:val="002957C3"/>
    <w:rsid w:val="00296674"/>
    <w:rsid w:val="002970CA"/>
    <w:rsid w:val="002A110A"/>
    <w:rsid w:val="002A1718"/>
    <w:rsid w:val="002A202B"/>
    <w:rsid w:val="002A2FED"/>
    <w:rsid w:val="002A5110"/>
    <w:rsid w:val="002A5801"/>
    <w:rsid w:val="002B09D0"/>
    <w:rsid w:val="002B165E"/>
    <w:rsid w:val="002B1BE4"/>
    <w:rsid w:val="002B2501"/>
    <w:rsid w:val="002B3F05"/>
    <w:rsid w:val="002B4175"/>
    <w:rsid w:val="002B4606"/>
    <w:rsid w:val="002B47D8"/>
    <w:rsid w:val="002B4D3E"/>
    <w:rsid w:val="002B633A"/>
    <w:rsid w:val="002B6BA7"/>
    <w:rsid w:val="002B6EE7"/>
    <w:rsid w:val="002C0248"/>
    <w:rsid w:val="002C1611"/>
    <w:rsid w:val="002C31B0"/>
    <w:rsid w:val="002C341C"/>
    <w:rsid w:val="002C3841"/>
    <w:rsid w:val="002C3FC3"/>
    <w:rsid w:val="002C5D1D"/>
    <w:rsid w:val="002C64EC"/>
    <w:rsid w:val="002C6E8A"/>
    <w:rsid w:val="002C72C3"/>
    <w:rsid w:val="002D094D"/>
    <w:rsid w:val="002D2336"/>
    <w:rsid w:val="002D79A1"/>
    <w:rsid w:val="002E0AE1"/>
    <w:rsid w:val="002E2439"/>
    <w:rsid w:val="002E255E"/>
    <w:rsid w:val="002E2A30"/>
    <w:rsid w:val="002E5E6D"/>
    <w:rsid w:val="002E6847"/>
    <w:rsid w:val="002E6B65"/>
    <w:rsid w:val="002E6EA3"/>
    <w:rsid w:val="002E7150"/>
    <w:rsid w:val="002E7745"/>
    <w:rsid w:val="002F3664"/>
    <w:rsid w:val="002F4231"/>
    <w:rsid w:val="002F4361"/>
    <w:rsid w:val="002F5A9E"/>
    <w:rsid w:val="002F5B5C"/>
    <w:rsid w:val="002F62B0"/>
    <w:rsid w:val="002F6756"/>
    <w:rsid w:val="00300271"/>
    <w:rsid w:val="003007B1"/>
    <w:rsid w:val="00305B08"/>
    <w:rsid w:val="00305DE5"/>
    <w:rsid w:val="00306B55"/>
    <w:rsid w:val="003100AE"/>
    <w:rsid w:val="00310B95"/>
    <w:rsid w:val="00311553"/>
    <w:rsid w:val="00311D25"/>
    <w:rsid w:val="00312A54"/>
    <w:rsid w:val="00313252"/>
    <w:rsid w:val="00314C4F"/>
    <w:rsid w:val="00315A4C"/>
    <w:rsid w:val="00316464"/>
    <w:rsid w:val="003166BF"/>
    <w:rsid w:val="00316B8E"/>
    <w:rsid w:val="00316DDD"/>
    <w:rsid w:val="00316FC6"/>
    <w:rsid w:val="0031718B"/>
    <w:rsid w:val="003173E0"/>
    <w:rsid w:val="003207AA"/>
    <w:rsid w:val="00320D09"/>
    <w:rsid w:val="00322249"/>
    <w:rsid w:val="00322C21"/>
    <w:rsid w:val="00325006"/>
    <w:rsid w:val="00325271"/>
    <w:rsid w:val="00331C0C"/>
    <w:rsid w:val="00332906"/>
    <w:rsid w:val="0033309C"/>
    <w:rsid w:val="00334092"/>
    <w:rsid w:val="003359B9"/>
    <w:rsid w:val="00335A8D"/>
    <w:rsid w:val="00336ACD"/>
    <w:rsid w:val="0033779D"/>
    <w:rsid w:val="003406E1"/>
    <w:rsid w:val="00340CC7"/>
    <w:rsid w:val="00342525"/>
    <w:rsid w:val="003429E5"/>
    <w:rsid w:val="003429EB"/>
    <w:rsid w:val="00344574"/>
    <w:rsid w:val="00344F56"/>
    <w:rsid w:val="00345CB1"/>
    <w:rsid w:val="00346AE1"/>
    <w:rsid w:val="003479C1"/>
    <w:rsid w:val="003509AB"/>
    <w:rsid w:val="00350EF1"/>
    <w:rsid w:val="00351B24"/>
    <w:rsid w:val="00352A18"/>
    <w:rsid w:val="00353D01"/>
    <w:rsid w:val="00355681"/>
    <w:rsid w:val="0035581C"/>
    <w:rsid w:val="003572EF"/>
    <w:rsid w:val="00360EEA"/>
    <w:rsid w:val="00361847"/>
    <w:rsid w:val="00362B2A"/>
    <w:rsid w:val="003642D3"/>
    <w:rsid w:val="0036598A"/>
    <w:rsid w:val="00365A44"/>
    <w:rsid w:val="00365A71"/>
    <w:rsid w:val="00365EB4"/>
    <w:rsid w:val="00366E11"/>
    <w:rsid w:val="003674D6"/>
    <w:rsid w:val="00367A47"/>
    <w:rsid w:val="00370BB6"/>
    <w:rsid w:val="003712BB"/>
    <w:rsid w:val="003735BF"/>
    <w:rsid w:val="0037578A"/>
    <w:rsid w:val="003812A4"/>
    <w:rsid w:val="003833E9"/>
    <w:rsid w:val="00383BD7"/>
    <w:rsid w:val="00384134"/>
    <w:rsid w:val="00387D19"/>
    <w:rsid w:val="00391867"/>
    <w:rsid w:val="00395713"/>
    <w:rsid w:val="00397966"/>
    <w:rsid w:val="00397BDD"/>
    <w:rsid w:val="003A181E"/>
    <w:rsid w:val="003A6994"/>
    <w:rsid w:val="003A7190"/>
    <w:rsid w:val="003A751C"/>
    <w:rsid w:val="003A7CE6"/>
    <w:rsid w:val="003B0600"/>
    <w:rsid w:val="003B212F"/>
    <w:rsid w:val="003B26B4"/>
    <w:rsid w:val="003B361B"/>
    <w:rsid w:val="003B494F"/>
    <w:rsid w:val="003B58CA"/>
    <w:rsid w:val="003B7B45"/>
    <w:rsid w:val="003C00A7"/>
    <w:rsid w:val="003C1D8C"/>
    <w:rsid w:val="003C28EB"/>
    <w:rsid w:val="003C327F"/>
    <w:rsid w:val="003C33A4"/>
    <w:rsid w:val="003C5BC8"/>
    <w:rsid w:val="003C68AE"/>
    <w:rsid w:val="003C73F9"/>
    <w:rsid w:val="003D04BF"/>
    <w:rsid w:val="003D07B8"/>
    <w:rsid w:val="003D31C6"/>
    <w:rsid w:val="003D40DF"/>
    <w:rsid w:val="003D4271"/>
    <w:rsid w:val="003D648E"/>
    <w:rsid w:val="003D66F5"/>
    <w:rsid w:val="003D6DF3"/>
    <w:rsid w:val="003D7C2A"/>
    <w:rsid w:val="003E0F5E"/>
    <w:rsid w:val="003E1E7B"/>
    <w:rsid w:val="003E2EB9"/>
    <w:rsid w:val="003E3591"/>
    <w:rsid w:val="003E3DD2"/>
    <w:rsid w:val="003E452A"/>
    <w:rsid w:val="003E48C6"/>
    <w:rsid w:val="003E4B53"/>
    <w:rsid w:val="003E6A01"/>
    <w:rsid w:val="003E7351"/>
    <w:rsid w:val="003E74A1"/>
    <w:rsid w:val="003E7D20"/>
    <w:rsid w:val="003F0084"/>
    <w:rsid w:val="003F0D57"/>
    <w:rsid w:val="003F0F11"/>
    <w:rsid w:val="003F18B2"/>
    <w:rsid w:val="003F2E96"/>
    <w:rsid w:val="003F3DCE"/>
    <w:rsid w:val="003F60CD"/>
    <w:rsid w:val="003F693A"/>
    <w:rsid w:val="003F695A"/>
    <w:rsid w:val="00400110"/>
    <w:rsid w:val="00403634"/>
    <w:rsid w:val="00405D19"/>
    <w:rsid w:val="004064EC"/>
    <w:rsid w:val="004065CB"/>
    <w:rsid w:val="004076D8"/>
    <w:rsid w:val="00407984"/>
    <w:rsid w:val="00410497"/>
    <w:rsid w:val="0041084A"/>
    <w:rsid w:val="004112EA"/>
    <w:rsid w:val="00411405"/>
    <w:rsid w:val="00411962"/>
    <w:rsid w:val="00411E73"/>
    <w:rsid w:val="0041261A"/>
    <w:rsid w:val="00413015"/>
    <w:rsid w:val="00413DFA"/>
    <w:rsid w:val="004140C0"/>
    <w:rsid w:val="00414537"/>
    <w:rsid w:val="00414694"/>
    <w:rsid w:val="00415C24"/>
    <w:rsid w:val="0041657E"/>
    <w:rsid w:val="004210A9"/>
    <w:rsid w:val="00422944"/>
    <w:rsid w:val="00422FA5"/>
    <w:rsid w:val="0042312B"/>
    <w:rsid w:val="004237F8"/>
    <w:rsid w:val="004247E9"/>
    <w:rsid w:val="004259DA"/>
    <w:rsid w:val="00425A9F"/>
    <w:rsid w:val="00425C6E"/>
    <w:rsid w:val="00426733"/>
    <w:rsid w:val="00427D24"/>
    <w:rsid w:val="00427DE1"/>
    <w:rsid w:val="00431C27"/>
    <w:rsid w:val="0043236B"/>
    <w:rsid w:val="00433FCD"/>
    <w:rsid w:val="004348AA"/>
    <w:rsid w:val="00435145"/>
    <w:rsid w:val="004351EC"/>
    <w:rsid w:val="004367D0"/>
    <w:rsid w:val="00436CF0"/>
    <w:rsid w:val="00436EBA"/>
    <w:rsid w:val="00437B1B"/>
    <w:rsid w:val="00441DDA"/>
    <w:rsid w:val="00443C7E"/>
    <w:rsid w:val="00445957"/>
    <w:rsid w:val="00445A5C"/>
    <w:rsid w:val="0044655D"/>
    <w:rsid w:val="004507E1"/>
    <w:rsid w:val="00452826"/>
    <w:rsid w:val="00452CBC"/>
    <w:rsid w:val="00453927"/>
    <w:rsid w:val="00453C04"/>
    <w:rsid w:val="00454A87"/>
    <w:rsid w:val="00454DA6"/>
    <w:rsid w:val="00456C3E"/>
    <w:rsid w:val="0045756D"/>
    <w:rsid w:val="004606C4"/>
    <w:rsid w:val="00461A38"/>
    <w:rsid w:val="00461FD6"/>
    <w:rsid w:val="004645F2"/>
    <w:rsid w:val="00464925"/>
    <w:rsid w:val="0046562A"/>
    <w:rsid w:val="004666BB"/>
    <w:rsid w:val="00472223"/>
    <w:rsid w:val="00472B33"/>
    <w:rsid w:val="00472CEC"/>
    <w:rsid w:val="0047360B"/>
    <w:rsid w:val="00474155"/>
    <w:rsid w:val="004753E2"/>
    <w:rsid w:val="00475CE7"/>
    <w:rsid w:val="00476236"/>
    <w:rsid w:val="00476556"/>
    <w:rsid w:val="00480609"/>
    <w:rsid w:val="00480A17"/>
    <w:rsid w:val="00481313"/>
    <w:rsid w:val="00481538"/>
    <w:rsid w:val="004817E4"/>
    <w:rsid w:val="004822A8"/>
    <w:rsid w:val="0048271F"/>
    <w:rsid w:val="00482E0E"/>
    <w:rsid w:val="00483789"/>
    <w:rsid w:val="00483799"/>
    <w:rsid w:val="004838A8"/>
    <w:rsid w:val="00483E95"/>
    <w:rsid w:val="00484E56"/>
    <w:rsid w:val="00485384"/>
    <w:rsid w:val="004858AD"/>
    <w:rsid w:val="00485A9F"/>
    <w:rsid w:val="00486A30"/>
    <w:rsid w:val="00487561"/>
    <w:rsid w:val="00487643"/>
    <w:rsid w:val="00487CA5"/>
    <w:rsid w:val="00491403"/>
    <w:rsid w:val="004917F8"/>
    <w:rsid w:val="00491E38"/>
    <w:rsid w:val="0049217C"/>
    <w:rsid w:val="00494219"/>
    <w:rsid w:val="00495955"/>
    <w:rsid w:val="00497032"/>
    <w:rsid w:val="00497C25"/>
    <w:rsid w:val="004A018E"/>
    <w:rsid w:val="004A0618"/>
    <w:rsid w:val="004A0EA5"/>
    <w:rsid w:val="004A1471"/>
    <w:rsid w:val="004A1705"/>
    <w:rsid w:val="004A1C0E"/>
    <w:rsid w:val="004A2D53"/>
    <w:rsid w:val="004A44F6"/>
    <w:rsid w:val="004A5987"/>
    <w:rsid w:val="004A6630"/>
    <w:rsid w:val="004A73B6"/>
    <w:rsid w:val="004B1606"/>
    <w:rsid w:val="004B2564"/>
    <w:rsid w:val="004B4044"/>
    <w:rsid w:val="004B5FB3"/>
    <w:rsid w:val="004B6959"/>
    <w:rsid w:val="004B69A1"/>
    <w:rsid w:val="004B772F"/>
    <w:rsid w:val="004C0674"/>
    <w:rsid w:val="004C39ED"/>
    <w:rsid w:val="004C3EC8"/>
    <w:rsid w:val="004C5453"/>
    <w:rsid w:val="004C64FC"/>
    <w:rsid w:val="004D03A9"/>
    <w:rsid w:val="004D0A77"/>
    <w:rsid w:val="004D0B9E"/>
    <w:rsid w:val="004D0E1A"/>
    <w:rsid w:val="004D12C4"/>
    <w:rsid w:val="004D181C"/>
    <w:rsid w:val="004D3335"/>
    <w:rsid w:val="004D396A"/>
    <w:rsid w:val="004E05B2"/>
    <w:rsid w:val="004E0BCD"/>
    <w:rsid w:val="004E3D35"/>
    <w:rsid w:val="004E4756"/>
    <w:rsid w:val="004E54ED"/>
    <w:rsid w:val="004E5E58"/>
    <w:rsid w:val="004E6004"/>
    <w:rsid w:val="004E6AC3"/>
    <w:rsid w:val="004E6F83"/>
    <w:rsid w:val="004E7092"/>
    <w:rsid w:val="004E7572"/>
    <w:rsid w:val="004E7A5A"/>
    <w:rsid w:val="004E7F36"/>
    <w:rsid w:val="004F0206"/>
    <w:rsid w:val="004F42C0"/>
    <w:rsid w:val="004F49E1"/>
    <w:rsid w:val="004F52C3"/>
    <w:rsid w:val="004F56FE"/>
    <w:rsid w:val="004F76CF"/>
    <w:rsid w:val="0050206A"/>
    <w:rsid w:val="00502323"/>
    <w:rsid w:val="00502D18"/>
    <w:rsid w:val="00503AEA"/>
    <w:rsid w:val="0050466C"/>
    <w:rsid w:val="00504B2D"/>
    <w:rsid w:val="00504C09"/>
    <w:rsid w:val="005051D3"/>
    <w:rsid w:val="00505794"/>
    <w:rsid w:val="00506878"/>
    <w:rsid w:val="00506C63"/>
    <w:rsid w:val="00507AFF"/>
    <w:rsid w:val="00507D3C"/>
    <w:rsid w:val="0051011C"/>
    <w:rsid w:val="00510598"/>
    <w:rsid w:val="0051084E"/>
    <w:rsid w:val="005129C2"/>
    <w:rsid w:val="005154C0"/>
    <w:rsid w:val="005154CB"/>
    <w:rsid w:val="005216ED"/>
    <w:rsid w:val="00522F39"/>
    <w:rsid w:val="005231D9"/>
    <w:rsid w:val="005237D4"/>
    <w:rsid w:val="00523F03"/>
    <w:rsid w:val="005241B9"/>
    <w:rsid w:val="00524376"/>
    <w:rsid w:val="00526CBB"/>
    <w:rsid w:val="00527885"/>
    <w:rsid w:val="005304F3"/>
    <w:rsid w:val="005306FF"/>
    <w:rsid w:val="00530DC7"/>
    <w:rsid w:val="00531883"/>
    <w:rsid w:val="00531EFE"/>
    <w:rsid w:val="005320A3"/>
    <w:rsid w:val="005322A2"/>
    <w:rsid w:val="00533330"/>
    <w:rsid w:val="00533F33"/>
    <w:rsid w:val="0053426F"/>
    <w:rsid w:val="00534BAB"/>
    <w:rsid w:val="00536ACD"/>
    <w:rsid w:val="00540153"/>
    <w:rsid w:val="005404E0"/>
    <w:rsid w:val="00540974"/>
    <w:rsid w:val="0054200E"/>
    <w:rsid w:val="00542031"/>
    <w:rsid w:val="00542708"/>
    <w:rsid w:val="00543B8A"/>
    <w:rsid w:val="00544804"/>
    <w:rsid w:val="00544FBD"/>
    <w:rsid w:val="00545268"/>
    <w:rsid w:val="005460F9"/>
    <w:rsid w:val="00546630"/>
    <w:rsid w:val="00547499"/>
    <w:rsid w:val="0054796B"/>
    <w:rsid w:val="00547AE3"/>
    <w:rsid w:val="005510B5"/>
    <w:rsid w:val="00551270"/>
    <w:rsid w:val="005517F2"/>
    <w:rsid w:val="005522E7"/>
    <w:rsid w:val="005523EB"/>
    <w:rsid w:val="00553D88"/>
    <w:rsid w:val="005612D5"/>
    <w:rsid w:val="005617D8"/>
    <w:rsid w:val="00561AC0"/>
    <w:rsid w:val="00562363"/>
    <w:rsid w:val="0056448A"/>
    <w:rsid w:val="00565AB0"/>
    <w:rsid w:val="00565AFE"/>
    <w:rsid w:val="00565B06"/>
    <w:rsid w:val="00566892"/>
    <w:rsid w:val="005670A7"/>
    <w:rsid w:val="005675DD"/>
    <w:rsid w:val="0056782D"/>
    <w:rsid w:val="005707CF"/>
    <w:rsid w:val="00574B67"/>
    <w:rsid w:val="00575DBD"/>
    <w:rsid w:val="00576C4C"/>
    <w:rsid w:val="005774DF"/>
    <w:rsid w:val="00577DD9"/>
    <w:rsid w:val="00581FBD"/>
    <w:rsid w:val="00583B69"/>
    <w:rsid w:val="00583C5C"/>
    <w:rsid w:val="005854EE"/>
    <w:rsid w:val="00586548"/>
    <w:rsid w:val="00587703"/>
    <w:rsid w:val="0059217F"/>
    <w:rsid w:val="005936D8"/>
    <w:rsid w:val="00593A6B"/>
    <w:rsid w:val="0059401F"/>
    <w:rsid w:val="005957D0"/>
    <w:rsid w:val="0059645D"/>
    <w:rsid w:val="00597F4B"/>
    <w:rsid w:val="005A0874"/>
    <w:rsid w:val="005A30C7"/>
    <w:rsid w:val="005A3541"/>
    <w:rsid w:val="005A3F1F"/>
    <w:rsid w:val="005A43E5"/>
    <w:rsid w:val="005A64C4"/>
    <w:rsid w:val="005A6833"/>
    <w:rsid w:val="005A7239"/>
    <w:rsid w:val="005A7C41"/>
    <w:rsid w:val="005B0D0D"/>
    <w:rsid w:val="005B1831"/>
    <w:rsid w:val="005B22F2"/>
    <w:rsid w:val="005B3A5D"/>
    <w:rsid w:val="005B3F17"/>
    <w:rsid w:val="005B4576"/>
    <w:rsid w:val="005B52AA"/>
    <w:rsid w:val="005B5FBF"/>
    <w:rsid w:val="005C1666"/>
    <w:rsid w:val="005C3276"/>
    <w:rsid w:val="005C4F88"/>
    <w:rsid w:val="005C585B"/>
    <w:rsid w:val="005C5934"/>
    <w:rsid w:val="005C628F"/>
    <w:rsid w:val="005C637B"/>
    <w:rsid w:val="005D1E0A"/>
    <w:rsid w:val="005D69F3"/>
    <w:rsid w:val="005D6D7E"/>
    <w:rsid w:val="005D71FC"/>
    <w:rsid w:val="005D7D42"/>
    <w:rsid w:val="005E107C"/>
    <w:rsid w:val="005E1A54"/>
    <w:rsid w:val="005E2FE0"/>
    <w:rsid w:val="005E5ADB"/>
    <w:rsid w:val="005E67EE"/>
    <w:rsid w:val="005F022F"/>
    <w:rsid w:val="005F1EDA"/>
    <w:rsid w:val="005F2BF5"/>
    <w:rsid w:val="005F47FA"/>
    <w:rsid w:val="005F4BA8"/>
    <w:rsid w:val="005F565C"/>
    <w:rsid w:val="005F57C3"/>
    <w:rsid w:val="005F787B"/>
    <w:rsid w:val="006010C0"/>
    <w:rsid w:val="00602987"/>
    <w:rsid w:val="00602E96"/>
    <w:rsid w:val="0060380A"/>
    <w:rsid w:val="00603A1A"/>
    <w:rsid w:val="00603AC9"/>
    <w:rsid w:val="0060517B"/>
    <w:rsid w:val="0060694A"/>
    <w:rsid w:val="0060766C"/>
    <w:rsid w:val="00607DEA"/>
    <w:rsid w:val="00610861"/>
    <w:rsid w:val="00610A9E"/>
    <w:rsid w:val="00610EFB"/>
    <w:rsid w:val="00611BC5"/>
    <w:rsid w:val="00611E7D"/>
    <w:rsid w:val="0061360B"/>
    <w:rsid w:val="006151BE"/>
    <w:rsid w:val="00617662"/>
    <w:rsid w:val="00620F12"/>
    <w:rsid w:val="00623B8D"/>
    <w:rsid w:val="00624633"/>
    <w:rsid w:val="006251C4"/>
    <w:rsid w:val="0062616D"/>
    <w:rsid w:val="006276B0"/>
    <w:rsid w:val="00630A88"/>
    <w:rsid w:val="00630B1A"/>
    <w:rsid w:val="00632345"/>
    <w:rsid w:val="0063312F"/>
    <w:rsid w:val="00633504"/>
    <w:rsid w:val="006341E3"/>
    <w:rsid w:val="0063580F"/>
    <w:rsid w:val="00635A39"/>
    <w:rsid w:val="006361C7"/>
    <w:rsid w:val="0064110F"/>
    <w:rsid w:val="00643940"/>
    <w:rsid w:val="006440B9"/>
    <w:rsid w:val="006454E6"/>
    <w:rsid w:val="006468D2"/>
    <w:rsid w:val="006469FD"/>
    <w:rsid w:val="00646CBB"/>
    <w:rsid w:val="00650B68"/>
    <w:rsid w:val="0065203C"/>
    <w:rsid w:val="00653034"/>
    <w:rsid w:val="00653B63"/>
    <w:rsid w:val="006547D7"/>
    <w:rsid w:val="006553FB"/>
    <w:rsid w:val="00655EAF"/>
    <w:rsid w:val="006564F0"/>
    <w:rsid w:val="00656F1B"/>
    <w:rsid w:val="00660603"/>
    <w:rsid w:val="00660802"/>
    <w:rsid w:val="0066125A"/>
    <w:rsid w:val="00661DC8"/>
    <w:rsid w:val="00662BE8"/>
    <w:rsid w:val="00662E60"/>
    <w:rsid w:val="006644E2"/>
    <w:rsid w:val="006645F4"/>
    <w:rsid w:val="00664D69"/>
    <w:rsid w:val="006655F7"/>
    <w:rsid w:val="00665804"/>
    <w:rsid w:val="006678F8"/>
    <w:rsid w:val="006702AB"/>
    <w:rsid w:val="00671723"/>
    <w:rsid w:val="00674DBD"/>
    <w:rsid w:val="00674F17"/>
    <w:rsid w:val="006750EC"/>
    <w:rsid w:val="00675713"/>
    <w:rsid w:val="00675CC0"/>
    <w:rsid w:val="00676DD6"/>
    <w:rsid w:val="006801F3"/>
    <w:rsid w:val="006806AE"/>
    <w:rsid w:val="00680E54"/>
    <w:rsid w:val="00681F25"/>
    <w:rsid w:val="0068205F"/>
    <w:rsid w:val="006827E4"/>
    <w:rsid w:val="006828AE"/>
    <w:rsid w:val="00684FE5"/>
    <w:rsid w:val="006861FC"/>
    <w:rsid w:val="006862E6"/>
    <w:rsid w:val="0068666C"/>
    <w:rsid w:val="00686F64"/>
    <w:rsid w:val="00687D7C"/>
    <w:rsid w:val="006920CD"/>
    <w:rsid w:val="00692B87"/>
    <w:rsid w:val="00693131"/>
    <w:rsid w:val="006933BE"/>
    <w:rsid w:val="006938D1"/>
    <w:rsid w:val="0069498D"/>
    <w:rsid w:val="006954B4"/>
    <w:rsid w:val="00695AF0"/>
    <w:rsid w:val="00696FFA"/>
    <w:rsid w:val="00697CB2"/>
    <w:rsid w:val="006A3C98"/>
    <w:rsid w:val="006A4327"/>
    <w:rsid w:val="006A5B61"/>
    <w:rsid w:val="006A6F38"/>
    <w:rsid w:val="006B18B3"/>
    <w:rsid w:val="006B2626"/>
    <w:rsid w:val="006B2D61"/>
    <w:rsid w:val="006B3981"/>
    <w:rsid w:val="006B3DF8"/>
    <w:rsid w:val="006B4E62"/>
    <w:rsid w:val="006B50F9"/>
    <w:rsid w:val="006B5532"/>
    <w:rsid w:val="006B64F0"/>
    <w:rsid w:val="006B7354"/>
    <w:rsid w:val="006B73FC"/>
    <w:rsid w:val="006C1AFD"/>
    <w:rsid w:val="006C3D20"/>
    <w:rsid w:val="006C5277"/>
    <w:rsid w:val="006C54CE"/>
    <w:rsid w:val="006C5F5F"/>
    <w:rsid w:val="006C6639"/>
    <w:rsid w:val="006D0D61"/>
    <w:rsid w:val="006D0FBE"/>
    <w:rsid w:val="006D16AE"/>
    <w:rsid w:val="006D29B1"/>
    <w:rsid w:val="006D4460"/>
    <w:rsid w:val="006D5FC8"/>
    <w:rsid w:val="006D6B2F"/>
    <w:rsid w:val="006D6FA2"/>
    <w:rsid w:val="006D7C02"/>
    <w:rsid w:val="006E02E8"/>
    <w:rsid w:val="006E0B2B"/>
    <w:rsid w:val="006E1BC2"/>
    <w:rsid w:val="006E2EFB"/>
    <w:rsid w:val="006E32FE"/>
    <w:rsid w:val="006E3D4E"/>
    <w:rsid w:val="006E3F83"/>
    <w:rsid w:val="006E40E5"/>
    <w:rsid w:val="006E4899"/>
    <w:rsid w:val="006E4CFE"/>
    <w:rsid w:val="006E51F5"/>
    <w:rsid w:val="006E5CF7"/>
    <w:rsid w:val="006E606C"/>
    <w:rsid w:val="006E6C15"/>
    <w:rsid w:val="006E6C1B"/>
    <w:rsid w:val="006E7418"/>
    <w:rsid w:val="006F0069"/>
    <w:rsid w:val="006F074F"/>
    <w:rsid w:val="006F0B1C"/>
    <w:rsid w:val="006F0F87"/>
    <w:rsid w:val="006F1139"/>
    <w:rsid w:val="006F14A2"/>
    <w:rsid w:val="006F2D1E"/>
    <w:rsid w:val="006F49B1"/>
    <w:rsid w:val="006F5882"/>
    <w:rsid w:val="006F5C36"/>
    <w:rsid w:val="006F6A06"/>
    <w:rsid w:val="006F6C81"/>
    <w:rsid w:val="006F7196"/>
    <w:rsid w:val="00701118"/>
    <w:rsid w:val="00703CAF"/>
    <w:rsid w:val="00703CE6"/>
    <w:rsid w:val="0070510C"/>
    <w:rsid w:val="00705C6C"/>
    <w:rsid w:val="007065C6"/>
    <w:rsid w:val="00706B51"/>
    <w:rsid w:val="00706F54"/>
    <w:rsid w:val="007070F7"/>
    <w:rsid w:val="00707B97"/>
    <w:rsid w:val="00707C02"/>
    <w:rsid w:val="00713958"/>
    <w:rsid w:val="007139EF"/>
    <w:rsid w:val="00715365"/>
    <w:rsid w:val="00717360"/>
    <w:rsid w:val="00717463"/>
    <w:rsid w:val="007211E4"/>
    <w:rsid w:val="0072185B"/>
    <w:rsid w:val="007220F2"/>
    <w:rsid w:val="00722468"/>
    <w:rsid w:val="00722D05"/>
    <w:rsid w:val="007235B8"/>
    <w:rsid w:val="00723791"/>
    <w:rsid w:val="00725F2B"/>
    <w:rsid w:val="00726A91"/>
    <w:rsid w:val="007308A6"/>
    <w:rsid w:val="00731716"/>
    <w:rsid w:val="0073205F"/>
    <w:rsid w:val="00732194"/>
    <w:rsid w:val="00732256"/>
    <w:rsid w:val="00733119"/>
    <w:rsid w:val="0073316C"/>
    <w:rsid w:val="0073332F"/>
    <w:rsid w:val="00737555"/>
    <w:rsid w:val="00743F27"/>
    <w:rsid w:val="00750174"/>
    <w:rsid w:val="00750AB9"/>
    <w:rsid w:val="00751684"/>
    <w:rsid w:val="0075215C"/>
    <w:rsid w:val="007527D4"/>
    <w:rsid w:val="00752B0E"/>
    <w:rsid w:val="00752CC6"/>
    <w:rsid w:val="00753366"/>
    <w:rsid w:val="00753864"/>
    <w:rsid w:val="0075393C"/>
    <w:rsid w:val="00753CDF"/>
    <w:rsid w:val="00755A88"/>
    <w:rsid w:val="007565A9"/>
    <w:rsid w:val="00761BFB"/>
    <w:rsid w:val="007627EA"/>
    <w:rsid w:val="00762DAB"/>
    <w:rsid w:val="00763CFE"/>
    <w:rsid w:val="00763F48"/>
    <w:rsid w:val="007649E4"/>
    <w:rsid w:val="007658EF"/>
    <w:rsid w:val="0077055C"/>
    <w:rsid w:val="00770FF3"/>
    <w:rsid w:val="00772010"/>
    <w:rsid w:val="0077227F"/>
    <w:rsid w:val="00772376"/>
    <w:rsid w:val="00772522"/>
    <w:rsid w:val="007726A9"/>
    <w:rsid w:val="007732C0"/>
    <w:rsid w:val="00782837"/>
    <w:rsid w:val="007830DF"/>
    <w:rsid w:val="0078458D"/>
    <w:rsid w:val="00784EE6"/>
    <w:rsid w:val="00786EA6"/>
    <w:rsid w:val="007874B3"/>
    <w:rsid w:val="00791FB0"/>
    <w:rsid w:val="00792439"/>
    <w:rsid w:val="00793037"/>
    <w:rsid w:val="007956E4"/>
    <w:rsid w:val="0079719F"/>
    <w:rsid w:val="0079798B"/>
    <w:rsid w:val="00797FD9"/>
    <w:rsid w:val="007A0BF2"/>
    <w:rsid w:val="007A2481"/>
    <w:rsid w:val="007A47A2"/>
    <w:rsid w:val="007A54A1"/>
    <w:rsid w:val="007A594B"/>
    <w:rsid w:val="007A5FDB"/>
    <w:rsid w:val="007A6F59"/>
    <w:rsid w:val="007A70D4"/>
    <w:rsid w:val="007A740D"/>
    <w:rsid w:val="007A7A52"/>
    <w:rsid w:val="007A7BE7"/>
    <w:rsid w:val="007B06E8"/>
    <w:rsid w:val="007B1146"/>
    <w:rsid w:val="007B2FEE"/>
    <w:rsid w:val="007B55A3"/>
    <w:rsid w:val="007B6803"/>
    <w:rsid w:val="007B68E5"/>
    <w:rsid w:val="007B7661"/>
    <w:rsid w:val="007B7DC1"/>
    <w:rsid w:val="007B7FA2"/>
    <w:rsid w:val="007C0116"/>
    <w:rsid w:val="007C0137"/>
    <w:rsid w:val="007C1AE0"/>
    <w:rsid w:val="007C2622"/>
    <w:rsid w:val="007C2E08"/>
    <w:rsid w:val="007C79E2"/>
    <w:rsid w:val="007C7FAB"/>
    <w:rsid w:val="007D0125"/>
    <w:rsid w:val="007D05FA"/>
    <w:rsid w:val="007D0D31"/>
    <w:rsid w:val="007D1389"/>
    <w:rsid w:val="007D19D8"/>
    <w:rsid w:val="007D1BF0"/>
    <w:rsid w:val="007D20D6"/>
    <w:rsid w:val="007D2C46"/>
    <w:rsid w:val="007D4BA2"/>
    <w:rsid w:val="007D60FF"/>
    <w:rsid w:val="007D690D"/>
    <w:rsid w:val="007D76A6"/>
    <w:rsid w:val="007E033F"/>
    <w:rsid w:val="007E0AAC"/>
    <w:rsid w:val="007E1743"/>
    <w:rsid w:val="007E3499"/>
    <w:rsid w:val="007F16FF"/>
    <w:rsid w:val="007F1D35"/>
    <w:rsid w:val="007F22CA"/>
    <w:rsid w:val="007F2ED1"/>
    <w:rsid w:val="007F315D"/>
    <w:rsid w:val="007F3858"/>
    <w:rsid w:val="007F44C6"/>
    <w:rsid w:val="00800408"/>
    <w:rsid w:val="00800E58"/>
    <w:rsid w:val="00801F85"/>
    <w:rsid w:val="00801FD7"/>
    <w:rsid w:val="00806551"/>
    <w:rsid w:val="00806DB6"/>
    <w:rsid w:val="00807BC6"/>
    <w:rsid w:val="00807C8B"/>
    <w:rsid w:val="00807F2C"/>
    <w:rsid w:val="00810041"/>
    <w:rsid w:val="008101E3"/>
    <w:rsid w:val="008112BF"/>
    <w:rsid w:val="00812E06"/>
    <w:rsid w:val="00813A53"/>
    <w:rsid w:val="00813E02"/>
    <w:rsid w:val="00815157"/>
    <w:rsid w:val="0081586A"/>
    <w:rsid w:val="008158AD"/>
    <w:rsid w:val="0081633B"/>
    <w:rsid w:val="00817625"/>
    <w:rsid w:val="00817F52"/>
    <w:rsid w:val="008214F7"/>
    <w:rsid w:val="00821848"/>
    <w:rsid w:val="008223AC"/>
    <w:rsid w:val="00823747"/>
    <w:rsid w:val="008246C2"/>
    <w:rsid w:val="00824BF9"/>
    <w:rsid w:val="00824D29"/>
    <w:rsid w:val="00825664"/>
    <w:rsid w:val="008256CB"/>
    <w:rsid w:val="00825E47"/>
    <w:rsid w:val="00827B45"/>
    <w:rsid w:val="00827CC6"/>
    <w:rsid w:val="00830C68"/>
    <w:rsid w:val="00832173"/>
    <w:rsid w:val="0083230C"/>
    <w:rsid w:val="00834E23"/>
    <w:rsid w:val="00835D65"/>
    <w:rsid w:val="00836A74"/>
    <w:rsid w:val="00842187"/>
    <w:rsid w:val="0084222D"/>
    <w:rsid w:val="00844041"/>
    <w:rsid w:val="008459F2"/>
    <w:rsid w:val="008507B7"/>
    <w:rsid w:val="00853087"/>
    <w:rsid w:val="00853101"/>
    <w:rsid w:val="00854D70"/>
    <w:rsid w:val="0085550E"/>
    <w:rsid w:val="00857D46"/>
    <w:rsid w:val="00862481"/>
    <w:rsid w:val="008636C4"/>
    <w:rsid w:val="00865147"/>
    <w:rsid w:val="00867123"/>
    <w:rsid w:val="00867887"/>
    <w:rsid w:val="00870CDA"/>
    <w:rsid w:val="0087291E"/>
    <w:rsid w:val="00872D1C"/>
    <w:rsid w:val="00874A74"/>
    <w:rsid w:val="008752FA"/>
    <w:rsid w:val="00875E77"/>
    <w:rsid w:val="00876B93"/>
    <w:rsid w:val="0087749E"/>
    <w:rsid w:val="00877660"/>
    <w:rsid w:val="00877D28"/>
    <w:rsid w:val="00881886"/>
    <w:rsid w:val="00882152"/>
    <w:rsid w:val="0088531B"/>
    <w:rsid w:val="00885537"/>
    <w:rsid w:val="00885A50"/>
    <w:rsid w:val="0088779F"/>
    <w:rsid w:val="0089035C"/>
    <w:rsid w:val="008917BF"/>
    <w:rsid w:val="00891B74"/>
    <w:rsid w:val="0089338F"/>
    <w:rsid w:val="0089345E"/>
    <w:rsid w:val="0089402F"/>
    <w:rsid w:val="0089416C"/>
    <w:rsid w:val="00894ED8"/>
    <w:rsid w:val="00896160"/>
    <w:rsid w:val="00896816"/>
    <w:rsid w:val="00896914"/>
    <w:rsid w:val="008A1522"/>
    <w:rsid w:val="008A2093"/>
    <w:rsid w:val="008A2EDF"/>
    <w:rsid w:val="008A3668"/>
    <w:rsid w:val="008A36F9"/>
    <w:rsid w:val="008A4DE3"/>
    <w:rsid w:val="008A6BC2"/>
    <w:rsid w:val="008A7729"/>
    <w:rsid w:val="008B00FF"/>
    <w:rsid w:val="008B060A"/>
    <w:rsid w:val="008B080D"/>
    <w:rsid w:val="008B1610"/>
    <w:rsid w:val="008B21CE"/>
    <w:rsid w:val="008B473B"/>
    <w:rsid w:val="008B52F9"/>
    <w:rsid w:val="008B5855"/>
    <w:rsid w:val="008B5D6A"/>
    <w:rsid w:val="008B6583"/>
    <w:rsid w:val="008B77A0"/>
    <w:rsid w:val="008B7E4E"/>
    <w:rsid w:val="008C01C9"/>
    <w:rsid w:val="008C15A9"/>
    <w:rsid w:val="008C1DE2"/>
    <w:rsid w:val="008C247F"/>
    <w:rsid w:val="008C2E9E"/>
    <w:rsid w:val="008C341F"/>
    <w:rsid w:val="008C3421"/>
    <w:rsid w:val="008C44D9"/>
    <w:rsid w:val="008C5865"/>
    <w:rsid w:val="008C5FC0"/>
    <w:rsid w:val="008C6789"/>
    <w:rsid w:val="008C74B6"/>
    <w:rsid w:val="008C7CB1"/>
    <w:rsid w:val="008D226D"/>
    <w:rsid w:val="008D3249"/>
    <w:rsid w:val="008D3F6A"/>
    <w:rsid w:val="008D43A2"/>
    <w:rsid w:val="008D4442"/>
    <w:rsid w:val="008D474A"/>
    <w:rsid w:val="008D7A55"/>
    <w:rsid w:val="008E03F1"/>
    <w:rsid w:val="008E04FA"/>
    <w:rsid w:val="008E1977"/>
    <w:rsid w:val="008E1EA8"/>
    <w:rsid w:val="008E20DD"/>
    <w:rsid w:val="008E2DD3"/>
    <w:rsid w:val="008E3B26"/>
    <w:rsid w:val="008F272A"/>
    <w:rsid w:val="008F2969"/>
    <w:rsid w:val="008F30C2"/>
    <w:rsid w:val="008F380F"/>
    <w:rsid w:val="008F4287"/>
    <w:rsid w:val="008F471F"/>
    <w:rsid w:val="008F5391"/>
    <w:rsid w:val="008F53B5"/>
    <w:rsid w:val="008F5831"/>
    <w:rsid w:val="008F76D5"/>
    <w:rsid w:val="008F79EA"/>
    <w:rsid w:val="008F7F6C"/>
    <w:rsid w:val="00900EAC"/>
    <w:rsid w:val="0090178F"/>
    <w:rsid w:val="00902577"/>
    <w:rsid w:val="009025DF"/>
    <w:rsid w:val="00902E43"/>
    <w:rsid w:val="00904BFD"/>
    <w:rsid w:val="00905204"/>
    <w:rsid w:val="00905356"/>
    <w:rsid w:val="00906816"/>
    <w:rsid w:val="009073AF"/>
    <w:rsid w:val="00910434"/>
    <w:rsid w:val="00911764"/>
    <w:rsid w:val="00911AF9"/>
    <w:rsid w:val="00911FFF"/>
    <w:rsid w:val="009127BA"/>
    <w:rsid w:val="00912E13"/>
    <w:rsid w:val="00913ADB"/>
    <w:rsid w:val="00914077"/>
    <w:rsid w:val="0091506F"/>
    <w:rsid w:val="009163ED"/>
    <w:rsid w:val="00917A15"/>
    <w:rsid w:val="00920DE1"/>
    <w:rsid w:val="009211AA"/>
    <w:rsid w:val="00922008"/>
    <w:rsid w:val="00923C48"/>
    <w:rsid w:val="00923EBC"/>
    <w:rsid w:val="00924FCB"/>
    <w:rsid w:val="00931283"/>
    <w:rsid w:val="00931BF0"/>
    <w:rsid w:val="009323DF"/>
    <w:rsid w:val="00934AF7"/>
    <w:rsid w:val="0093523A"/>
    <w:rsid w:val="0093585C"/>
    <w:rsid w:val="00935F58"/>
    <w:rsid w:val="009374CE"/>
    <w:rsid w:val="00940329"/>
    <w:rsid w:val="009408C2"/>
    <w:rsid w:val="00941089"/>
    <w:rsid w:val="0094561B"/>
    <w:rsid w:val="009468AC"/>
    <w:rsid w:val="00952596"/>
    <w:rsid w:val="009548AA"/>
    <w:rsid w:val="00954A24"/>
    <w:rsid w:val="00957264"/>
    <w:rsid w:val="009574FD"/>
    <w:rsid w:val="00957AE5"/>
    <w:rsid w:val="00961D5A"/>
    <w:rsid w:val="00963187"/>
    <w:rsid w:val="009634DD"/>
    <w:rsid w:val="00964127"/>
    <w:rsid w:val="0096442C"/>
    <w:rsid w:val="0096606C"/>
    <w:rsid w:val="009705B9"/>
    <w:rsid w:val="00970D93"/>
    <w:rsid w:val="009712F9"/>
    <w:rsid w:val="0097269E"/>
    <w:rsid w:val="00973B3E"/>
    <w:rsid w:val="00973FED"/>
    <w:rsid w:val="00974AF2"/>
    <w:rsid w:val="00976255"/>
    <w:rsid w:val="00977B79"/>
    <w:rsid w:val="00980845"/>
    <w:rsid w:val="00980A8F"/>
    <w:rsid w:val="00980D67"/>
    <w:rsid w:val="00984423"/>
    <w:rsid w:val="00985B5E"/>
    <w:rsid w:val="0098665A"/>
    <w:rsid w:val="0098785A"/>
    <w:rsid w:val="00991856"/>
    <w:rsid w:val="00991F58"/>
    <w:rsid w:val="009930EE"/>
    <w:rsid w:val="0099482D"/>
    <w:rsid w:val="00994A1C"/>
    <w:rsid w:val="0099515D"/>
    <w:rsid w:val="009967B5"/>
    <w:rsid w:val="009A11F8"/>
    <w:rsid w:val="009A2AAB"/>
    <w:rsid w:val="009A4568"/>
    <w:rsid w:val="009A528E"/>
    <w:rsid w:val="009A6884"/>
    <w:rsid w:val="009B0B0B"/>
    <w:rsid w:val="009B0FB6"/>
    <w:rsid w:val="009B1461"/>
    <w:rsid w:val="009B29A0"/>
    <w:rsid w:val="009C65FB"/>
    <w:rsid w:val="009C790A"/>
    <w:rsid w:val="009C7F70"/>
    <w:rsid w:val="009D22C3"/>
    <w:rsid w:val="009D2EF7"/>
    <w:rsid w:val="009D3C53"/>
    <w:rsid w:val="009D48D4"/>
    <w:rsid w:val="009D5E7A"/>
    <w:rsid w:val="009D60D2"/>
    <w:rsid w:val="009D7762"/>
    <w:rsid w:val="009E0C28"/>
    <w:rsid w:val="009E0E30"/>
    <w:rsid w:val="009E2374"/>
    <w:rsid w:val="009E2C8E"/>
    <w:rsid w:val="009E4B22"/>
    <w:rsid w:val="009E6055"/>
    <w:rsid w:val="009E654E"/>
    <w:rsid w:val="009E6732"/>
    <w:rsid w:val="009E6C86"/>
    <w:rsid w:val="009F4750"/>
    <w:rsid w:val="009F494B"/>
    <w:rsid w:val="009F646C"/>
    <w:rsid w:val="009F7946"/>
    <w:rsid w:val="00A001B9"/>
    <w:rsid w:val="00A01AC8"/>
    <w:rsid w:val="00A03EA6"/>
    <w:rsid w:val="00A04CF1"/>
    <w:rsid w:val="00A05DE9"/>
    <w:rsid w:val="00A0606F"/>
    <w:rsid w:val="00A071D3"/>
    <w:rsid w:val="00A078C2"/>
    <w:rsid w:val="00A10EF1"/>
    <w:rsid w:val="00A12AEE"/>
    <w:rsid w:val="00A13214"/>
    <w:rsid w:val="00A13747"/>
    <w:rsid w:val="00A13C1F"/>
    <w:rsid w:val="00A13EED"/>
    <w:rsid w:val="00A13F93"/>
    <w:rsid w:val="00A14228"/>
    <w:rsid w:val="00A14A82"/>
    <w:rsid w:val="00A15018"/>
    <w:rsid w:val="00A16F23"/>
    <w:rsid w:val="00A17037"/>
    <w:rsid w:val="00A2064E"/>
    <w:rsid w:val="00A20927"/>
    <w:rsid w:val="00A209C9"/>
    <w:rsid w:val="00A21D04"/>
    <w:rsid w:val="00A22C63"/>
    <w:rsid w:val="00A22E27"/>
    <w:rsid w:val="00A24069"/>
    <w:rsid w:val="00A244A0"/>
    <w:rsid w:val="00A2511C"/>
    <w:rsid w:val="00A2525E"/>
    <w:rsid w:val="00A25651"/>
    <w:rsid w:val="00A313F0"/>
    <w:rsid w:val="00A334FF"/>
    <w:rsid w:val="00A33584"/>
    <w:rsid w:val="00A378D9"/>
    <w:rsid w:val="00A3799A"/>
    <w:rsid w:val="00A4487D"/>
    <w:rsid w:val="00A47194"/>
    <w:rsid w:val="00A47847"/>
    <w:rsid w:val="00A47EA8"/>
    <w:rsid w:val="00A5256F"/>
    <w:rsid w:val="00A5299A"/>
    <w:rsid w:val="00A52A3C"/>
    <w:rsid w:val="00A52E9B"/>
    <w:rsid w:val="00A5356E"/>
    <w:rsid w:val="00A54891"/>
    <w:rsid w:val="00A5721D"/>
    <w:rsid w:val="00A573AC"/>
    <w:rsid w:val="00A57A64"/>
    <w:rsid w:val="00A60D93"/>
    <w:rsid w:val="00A6353E"/>
    <w:rsid w:val="00A655BA"/>
    <w:rsid w:val="00A66131"/>
    <w:rsid w:val="00A670A1"/>
    <w:rsid w:val="00A67A96"/>
    <w:rsid w:val="00A67B87"/>
    <w:rsid w:val="00A709F1"/>
    <w:rsid w:val="00A722A9"/>
    <w:rsid w:val="00A73AAD"/>
    <w:rsid w:val="00A74098"/>
    <w:rsid w:val="00A74418"/>
    <w:rsid w:val="00A74EB9"/>
    <w:rsid w:val="00A763C3"/>
    <w:rsid w:val="00A772DF"/>
    <w:rsid w:val="00A82371"/>
    <w:rsid w:val="00A82FEC"/>
    <w:rsid w:val="00A83DCA"/>
    <w:rsid w:val="00A8529C"/>
    <w:rsid w:val="00A8569C"/>
    <w:rsid w:val="00A86553"/>
    <w:rsid w:val="00A86DA8"/>
    <w:rsid w:val="00A87A15"/>
    <w:rsid w:val="00A90B1A"/>
    <w:rsid w:val="00A90B68"/>
    <w:rsid w:val="00A92F39"/>
    <w:rsid w:val="00A93AAE"/>
    <w:rsid w:val="00A949F7"/>
    <w:rsid w:val="00A94F71"/>
    <w:rsid w:val="00A9556F"/>
    <w:rsid w:val="00A957B7"/>
    <w:rsid w:val="00A970DE"/>
    <w:rsid w:val="00AA082E"/>
    <w:rsid w:val="00AA0EBA"/>
    <w:rsid w:val="00AA1EBA"/>
    <w:rsid w:val="00AA36D4"/>
    <w:rsid w:val="00AA3EE9"/>
    <w:rsid w:val="00AA46D5"/>
    <w:rsid w:val="00AA490A"/>
    <w:rsid w:val="00AA565E"/>
    <w:rsid w:val="00AA5BB1"/>
    <w:rsid w:val="00AA6528"/>
    <w:rsid w:val="00AB0D89"/>
    <w:rsid w:val="00AB1A77"/>
    <w:rsid w:val="00AB1DDA"/>
    <w:rsid w:val="00AB2B4C"/>
    <w:rsid w:val="00AB3351"/>
    <w:rsid w:val="00AB3FF4"/>
    <w:rsid w:val="00AB47FB"/>
    <w:rsid w:val="00AB75B3"/>
    <w:rsid w:val="00AC020A"/>
    <w:rsid w:val="00AC0210"/>
    <w:rsid w:val="00AC0DE1"/>
    <w:rsid w:val="00AC110E"/>
    <w:rsid w:val="00AC1EE8"/>
    <w:rsid w:val="00AC2AE1"/>
    <w:rsid w:val="00AC5214"/>
    <w:rsid w:val="00AC65DE"/>
    <w:rsid w:val="00AC6BF6"/>
    <w:rsid w:val="00AD0174"/>
    <w:rsid w:val="00AD0871"/>
    <w:rsid w:val="00AD0E7B"/>
    <w:rsid w:val="00AD2EFD"/>
    <w:rsid w:val="00AD4302"/>
    <w:rsid w:val="00AD5629"/>
    <w:rsid w:val="00AD5960"/>
    <w:rsid w:val="00AE0D6F"/>
    <w:rsid w:val="00AE4896"/>
    <w:rsid w:val="00AE505F"/>
    <w:rsid w:val="00AE6559"/>
    <w:rsid w:val="00AE7599"/>
    <w:rsid w:val="00AF1617"/>
    <w:rsid w:val="00AF3348"/>
    <w:rsid w:val="00AF37A0"/>
    <w:rsid w:val="00AF5CFD"/>
    <w:rsid w:val="00AF7246"/>
    <w:rsid w:val="00B00573"/>
    <w:rsid w:val="00B009FA"/>
    <w:rsid w:val="00B022C9"/>
    <w:rsid w:val="00B0347D"/>
    <w:rsid w:val="00B0498A"/>
    <w:rsid w:val="00B05C65"/>
    <w:rsid w:val="00B06A65"/>
    <w:rsid w:val="00B07122"/>
    <w:rsid w:val="00B07705"/>
    <w:rsid w:val="00B07780"/>
    <w:rsid w:val="00B11116"/>
    <w:rsid w:val="00B11797"/>
    <w:rsid w:val="00B15188"/>
    <w:rsid w:val="00B16A1A"/>
    <w:rsid w:val="00B17357"/>
    <w:rsid w:val="00B20B7F"/>
    <w:rsid w:val="00B21123"/>
    <w:rsid w:val="00B2174E"/>
    <w:rsid w:val="00B2198D"/>
    <w:rsid w:val="00B23475"/>
    <w:rsid w:val="00B23836"/>
    <w:rsid w:val="00B24C85"/>
    <w:rsid w:val="00B24D21"/>
    <w:rsid w:val="00B25B49"/>
    <w:rsid w:val="00B25D1B"/>
    <w:rsid w:val="00B25F41"/>
    <w:rsid w:val="00B26ED6"/>
    <w:rsid w:val="00B2731E"/>
    <w:rsid w:val="00B30058"/>
    <w:rsid w:val="00B30E76"/>
    <w:rsid w:val="00B341FE"/>
    <w:rsid w:val="00B35861"/>
    <w:rsid w:val="00B35CEB"/>
    <w:rsid w:val="00B36CD0"/>
    <w:rsid w:val="00B37B85"/>
    <w:rsid w:val="00B41E5E"/>
    <w:rsid w:val="00B43163"/>
    <w:rsid w:val="00B448B2"/>
    <w:rsid w:val="00B4532E"/>
    <w:rsid w:val="00B4559A"/>
    <w:rsid w:val="00B46799"/>
    <w:rsid w:val="00B53FB1"/>
    <w:rsid w:val="00B5741F"/>
    <w:rsid w:val="00B576D6"/>
    <w:rsid w:val="00B613D2"/>
    <w:rsid w:val="00B61414"/>
    <w:rsid w:val="00B61F12"/>
    <w:rsid w:val="00B638C8"/>
    <w:rsid w:val="00B64F94"/>
    <w:rsid w:val="00B65633"/>
    <w:rsid w:val="00B663FD"/>
    <w:rsid w:val="00B66B4C"/>
    <w:rsid w:val="00B67938"/>
    <w:rsid w:val="00B70741"/>
    <w:rsid w:val="00B70973"/>
    <w:rsid w:val="00B7139F"/>
    <w:rsid w:val="00B734CF"/>
    <w:rsid w:val="00B7384C"/>
    <w:rsid w:val="00B7444B"/>
    <w:rsid w:val="00B75E26"/>
    <w:rsid w:val="00B76595"/>
    <w:rsid w:val="00B77050"/>
    <w:rsid w:val="00B77A14"/>
    <w:rsid w:val="00B77D17"/>
    <w:rsid w:val="00B77F70"/>
    <w:rsid w:val="00B80487"/>
    <w:rsid w:val="00B80504"/>
    <w:rsid w:val="00B810CA"/>
    <w:rsid w:val="00B82FCF"/>
    <w:rsid w:val="00B84E97"/>
    <w:rsid w:val="00B85FEF"/>
    <w:rsid w:val="00B86CBE"/>
    <w:rsid w:val="00B86CD6"/>
    <w:rsid w:val="00B87082"/>
    <w:rsid w:val="00B8793E"/>
    <w:rsid w:val="00B905BF"/>
    <w:rsid w:val="00B947DB"/>
    <w:rsid w:val="00B94E70"/>
    <w:rsid w:val="00B959A8"/>
    <w:rsid w:val="00BA04C4"/>
    <w:rsid w:val="00BA08FA"/>
    <w:rsid w:val="00BA1284"/>
    <w:rsid w:val="00BA12CD"/>
    <w:rsid w:val="00BA1D15"/>
    <w:rsid w:val="00BA1F6B"/>
    <w:rsid w:val="00BA212A"/>
    <w:rsid w:val="00BA251F"/>
    <w:rsid w:val="00BA35E5"/>
    <w:rsid w:val="00BA3CFC"/>
    <w:rsid w:val="00BA3DEB"/>
    <w:rsid w:val="00BA4037"/>
    <w:rsid w:val="00BA4758"/>
    <w:rsid w:val="00BA4D5B"/>
    <w:rsid w:val="00BA58C2"/>
    <w:rsid w:val="00BA5A03"/>
    <w:rsid w:val="00BA5D97"/>
    <w:rsid w:val="00BA62C8"/>
    <w:rsid w:val="00BA64AF"/>
    <w:rsid w:val="00BA7124"/>
    <w:rsid w:val="00BB2F1F"/>
    <w:rsid w:val="00BB44E5"/>
    <w:rsid w:val="00BB4FA5"/>
    <w:rsid w:val="00BB50A6"/>
    <w:rsid w:val="00BB5340"/>
    <w:rsid w:val="00BB540B"/>
    <w:rsid w:val="00BB61AA"/>
    <w:rsid w:val="00BB72D1"/>
    <w:rsid w:val="00BC1682"/>
    <w:rsid w:val="00BC1D8C"/>
    <w:rsid w:val="00BC2409"/>
    <w:rsid w:val="00BC27BA"/>
    <w:rsid w:val="00BC5C7D"/>
    <w:rsid w:val="00BC68E9"/>
    <w:rsid w:val="00BD0CB6"/>
    <w:rsid w:val="00BD10F3"/>
    <w:rsid w:val="00BD13CC"/>
    <w:rsid w:val="00BD2353"/>
    <w:rsid w:val="00BD281D"/>
    <w:rsid w:val="00BD36BB"/>
    <w:rsid w:val="00BD57FF"/>
    <w:rsid w:val="00BD5961"/>
    <w:rsid w:val="00BD6184"/>
    <w:rsid w:val="00BD7B6F"/>
    <w:rsid w:val="00BE01FC"/>
    <w:rsid w:val="00BE0BDF"/>
    <w:rsid w:val="00BE0C1A"/>
    <w:rsid w:val="00BE19CD"/>
    <w:rsid w:val="00BE4286"/>
    <w:rsid w:val="00BE55A5"/>
    <w:rsid w:val="00BE57A8"/>
    <w:rsid w:val="00BE57EE"/>
    <w:rsid w:val="00BE63F1"/>
    <w:rsid w:val="00BE6535"/>
    <w:rsid w:val="00BE7104"/>
    <w:rsid w:val="00BE7A9C"/>
    <w:rsid w:val="00BF0EC2"/>
    <w:rsid w:val="00BF2440"/>
    <w:rsid w:val="00BF251A"/>
    <w:rsid w:val="00BF2F0F"/>
    <w:rsid w:val="00BF4281"/>
    <w:rsid w:val="00BF435D"/>
    <w:rsid w:val="00BF53CF"/>
    <w:rsid w:val="00BF6216"/>
    <w:rsid w:val="00C00EED"/>
    <w:rsid w:val="00C022A0"/>
    <w:rsid w:val="00C02DB0"/>
    <w:rsid w:val="00C03364"/>
    <w:rsid w:val="00C10CEA"/>
    <w:rsid w:val="00C1119A"/>
    <w:rsid w:val="00C11505"/>
    <w:rsid w:val="00C11A14"/>
    <w:rsid w:val="00C11FFB"/>
    <w:rsid w:val="00C138AE"/>
    <w:rsid w:val="00C15024"/>
    <w:rsid w:val="00C15363"/>
    <w:rsid w:val="00C15AB5"/>
    <w:rsid w:val="00C17EAA"/>
    <w:rsid w:val="00C20855"/>
    <w:rsid w:val="00C21444"/>
    <w:rsid w:val="00C2171E"/>
    <w:rsid w:val="00C22498"/>
    <w:rsid w:val="00C2565A"/>
    <w:rsid w:val="00C25991"/>
    <w:rsid w:val="00C25E3B"/>
    <w:rsid w:val="00C2611C"/>
    <w:rsid w:val="00C304F6"/>
    <w:rsid w:val="00C30630"/>
    <w:rsid w:val="00C30826"/>
    <w:rsid w:val="00C30E99"/>
    <w:rsid w:val="00C328F6"/>
    <w:rsid w:val="00C33559"/>
    <w:rsid w:val="00C3529B"/>
    <w:rsid w:val="00C35B3B"/>
    <w:rsid w:val="00C35C06"/>
    <w:rsid w:val="00C36511"/>
    <w:rsid w:val="00C36C17"/>
    <w:rsid w:val="00C4144B"/>
    <w:rsid w:val="00C42E2D"/>
    <w:rsid w:val="00C4378C"/>
    <w:rsid w:val="00C43A08"/>
    <w:rsid w:val="00C44726"/>
    <w:rsid w:val="00C454CD"/>
    <w:rsid w:val="00C466B1"/>
    <w:rsid w:val="00C478D3"/>
    <w:rsid w:val="00C479AA"/>
    <w:rsid w:val="00C501CC"/>
    <w:rsid w:val="00C511D1"/>
    <w:rsid w:val="00C51D8F"/>
    <w:rsid w:val="00C52200"/>
    <w:rsid w:val="00C53C21"/>
    <w:rsid w:val="00C53F26"/>
    <w:rsid w:val="00C55393"/>
    <w:rsid w:val="00C5650C"/>
    <w:rsid w:val="00C565C9"/>
    <w:rsid w:val="00C56839"/>
    <w:rsid w:val="00C56D26"/>
    <w:rsid w:val="00C57991"/>
    <w:rsid w:val="00C60302"/>
    <w:rsid w:val="00C604C2"/>
    <w:rsid w:val="00C61D1D"/>
    <w:rsid w:val="00C62B93"/>
    <w:rsid w:val="00C65576"/>
    <w:rsid w:val="00C703E5"/>
    <w:rsid w:val="00C703EE"/>
    <w:rsid w:val="00C711FD"/>
    <w:rsid w:val="00C718AA"/>
    <w:rsid w:val="00C71FD7"/>
    <w:rsid w:val="00C72024"/>
    <w:rsid w:val="00C73723"/>
    <w:rsid w:val="00C747ED"/>
    <w:rsid w:val="00C7565A"/>
    <w:rsid w:val="00C7567A"/>
    <w:rsid w:val="00C75826"/>
    <w:rsid w:val="00C7708F"/>
    <w:rsid w:val="00C77B9F"/>
    <w:rsid w:val="00C81C9F"/>
    <w:rsid w:val="00C82729"/>
    <w:rsid w:val="00C8423B"/>
    <w:rsid w:val="00C8468B"/>
    <w:rsid w:val="00C84D11"/>
    <w:rsid w:val="00C86FEC"/>
    <w:rsid w:val="00C92361"/>
    <w:rsid w:val="00C93AFD"/>
    <w:rsid w:val="00C95728"/>
    <w:rsid w:val="00C96D1B"/>
    <w:rsid w:val="00C9794A"/>
    <w:rsid w:val="00C97FCA"/>
    <w:rsid w:val="00CA013A"/>
    <w:rsid w:val="00CA09A3"/>
    <w:rsid w:val="00CA3897"/>
    <w:rsid w:val="00CA394C"/>
    <w:rsid w:val="00CA5DB2"/>
    <w:rsid w:val="00CA623C"/>
    <w:rsid w:val="00CB158B"/>
    <w:rsid w:val="00CB21CA"/>
    <w:rsid w:val="00CB4119"/>
    <w:rsid w:val="00CB46FF"/>
    <w:rsid w:val="00CB5381"/>
    <w:rsid w:val="00CB54D7"/>
    <w:rsid w:val="00CB6C63"/>
    <w:rsid w:val="00CB6F9B"/>
    <w:rsid w:val="00CC1069"/>
    <w:rsid w:val="00CC1682"/>
    <w:rsid w:val="00CC28AC"/>
    <w:rsid w:val="00CC2DA7"/>
    <w:rsid w:val="00CC2FD0"/>
    <w:rsid w:val="00CC3A4C"/>
    <w:rsid w:val="00CC4B62"/>
    <w:rsid w:val="00CC5C59"/>
    <w:rsid w:val="00CC5FF8"/>
    <w:rsid w:val="00CC7560"/>
    <w:rsid w:val="00CC77D7"/>
    <w:rsid w:val="00CC7CC2"/>
    <w:rsid w:val="00CD2056"/>
    <w:rsid w:val="00CD4844"/>
    <w:rsid w:val="00CD51F4"/>
    <w:rsid w:val="00CD5496"/>
    <w:rsid w:val="00CD6F88"/>
    <w:rsid w:val="00CE059D"/>
    <w:rsid w:val="00CE1AD7"/>
    <w:rsid w:val="00CE1C3F"/>
    <w:rsid w:val="00CE2813"/>
    <w:rsid w:val="00CE3724"/>
    <w:rsid w:val="00CE50A7"/>
    <w:rsid w:val="00CE5BD4"/>
    <w:rsid w:val="00CE69A5"/>
    <w:rsid w:val="00CE71E6"/>
    <w:rsid w:val="00CF018C"/>
    <w:rsid w:val="00CF2588"/>
    <w:rsid w:val="00CF3394"/>
    <w:rsid w:val="00CF63EE"/>
    <w:rsid w:val="00CF6F5A"/>
    <w:rsid w:val="00CF70C2"/>
    <w:rsid w:val="00D0023B"/>
    <w:rsid w:val="00D00924"/>
    <w:rsid w:val="00D01EC8"/>
    <w:rsid w:val="00D01FB3"/>
    <w:rsid w:val="00D020DE"/>
    <w:rsid w:val="00D0363D"/>
    <w:rsid w:val="00D03C1C"/>
    <w:rsid w:val="00D04613"/>
    <w:rsid w:val="00D06E24"/>
    <w:rsid w:val="00D103E2"/>
    <w:rsid w:val="00D11CC7"/>
    <w:rsid w:val="00D12643"/>
    <w:rsid w:val="00D1387C"/>
    <w:rsid w:val="00D1411B"/>
    <w:rsid w:val="00D15C83"/>
    <w:rsid w:val="00D16AF3"/>
    <w:rsid w:val="00D1759B"/>
    <w:rsid w:val="00D208E1"/>
    <w:rsid w:val="00D20C1E"/>
    <w:rsid w:val="00D212BA"/>
    <w:rsid w:val="00D2168A"/>
    <w:rsid w:val="00D234F5"/>
    <w:rsid w:val="00D25091"/>
    <w:rsid w:val="00D25C09"/>
    <w:rsid w:val="00D260D6"/>
    <w:rsid w:val="00D264B9"/>
    <w:rsid w:val="00D26531"/>
    <w:rsid w:val="00D26C21"/>
    <w:rsid w:val="00D2733B"/>
    <w:rsid w:val="00D27927"/>
    <w:rsid w:val="00D3079B"/>
    <w:rsid w:val="00D307A0"/>
    <w:rsid w:val="00D31542"/>
    <w:rsid w:val="00D32155"/>
    <w:rsid w:val="00D32733"/>
    <w:rsid w:val="00D335C8"/>
    <w:rsid w:val="00D338E3"/>
    <w:rsid w:val="00D3460D"/>
    <w:rsid w:val="00D35A2D"/>
    <w:rsid w:val="00D36069"/>
    <w:rsid w:val="00D4028E"/>
    <w:rsid w:val="00D428EA"/>
    <w:rsid w:val="00D452C0"/>
    <w:rsid w:val="00D46947"/>
    <w:rsid w:val="00D47DC5"/>
    <w:rsid w:val="00D57660"/>
    <w:rsid w:val="00D605B7"/>
    <w:rsid w:val="00D60CA4"/>
    <w:rsid w:val="00D6191C"/>
    <w:rsid w:val="00D61E00"/>
    <w:rsid w:val="00D6241D"/>
    <w:rsid w:val="00D62721"/>
    <w:rsid w:val="00D63231"/>
    <w:rsid w:val="00D63317"/>
    <w:rsid w:val="00D63AC0"/>
    <w:rsid w:val="00D6440E"/>
    <w:rsid w:val="00D67932"/>
    <w:rsid w:val="00D67A56"/>
    <w:rsid w:val="00D70A91"/>
    <w:rsid w:val="00D70C8B"/>
    <w:rsid w:val="00D70DB1"/>
    <w:rsid w:val="00D7164A"/>
    <w:rsid w:val="00D72E47"/>
    <w:rsid w:val="00D731EB"/>
    <w:rsid w:val="00D74DFF"/>
    <w:rsid w:val="00D758BB"/>
    <w:rsid w:val="00D764E6"/>
    <w:rsid w:val="00D8013E"/>
    <w:rsid w:val="00D8037D"/>
    <w:rsid w:val="00D810AC"/>
    <w:rsid w:val="00D81861"/>
    <w:rsid w:val="00D81C66"/>
    <w:rsid w:val="00D8229C"/>
    <w:rsid w:val="00D82731"/>
    <w:rsid w:val="00D84734"/>
    <w:rsid w:val="00D85119"/>
    <w:rsid w:val="00D86320"/>
    <w:rsid w:val="00D86EE6"/>
    <w:rsid w:val="00D8758A"/>
    <w:rsid w:val="00D90A2C"/>
    <w:rsid w:val="00D90F8F"/>
    <w:rsid w:val="00D91941"/>
    <w:rsid w:val="00D91E3B"/>
    <w:rsid w:val="00D924B8"/>
    <w:rsid w:val="00D92529"/>
    <w:rsid w:val="00D93365"/>
    <w:rsid w:val="00D93EDD"/>
    <w:rsid w:val="00D9581D"/>
    <w:rsid w:val="00DA525C"/>
    <w:rsid w:val="00DA6153"/>
    <w:rsid w:val="00DA617A"/>
    <w:rsid w:val="00DA6297"/>
    <w:rsid w:val="00DA7625"/>
    <w:rsid w:val="00DA79D4"/>
    <w:rsid w:val="00DB1D19"/>
    <w:rsid w:val="00DB3A4C"/>
    <w:rsid w:val="00DB5C38"/>
    <w:rsid w:val="00DB5E1F"/>
    <w:rsid w:val="00DB6B39"/>
    <w:rsid w:val="00DB6EB0"/>
    <w:rsid w:val="00DC06BE"/>
    <w:rsid w:val="00DC086E"/>
    <w:rsid w:val="00DC1DE1"/>
    <w:rsid w:val="00DC3536"/>
    <w:rsid w:val="00DC469B"/>
    <w:rsid w:val="00DD1162"/>
    <w:rsid w:val="00DD3C22"/>
    <w:rsid w:val="00DD4BFE"/>
    <w:rsid w:val="00DD6621"/>
    <w:rsid w:val="00DD6A3D"/>
    <w:rsid w:val="00DE025A"/>
    <w:rsid w:val="00DE1427"/>
    <w:rsid w:val="00DE2291"/>
    <w:rsid w:val="00DF02D8"/>
    <w:rsid w:val="00DF1068"/>
    <w:rsid w:val="00DF1ADB"/>
    <w:rsid w:val="00DF2CB1"/>
    <w:rsid w:val="00DF34A3"/>
    <w:rsid w:val="00DF3E48"/>
    <w:rsid w:val="00DF4174"/>
    <w:rsid w:val="00DF592E"/>
    <w:rsid w:val="00DF5F11"/>
    <w:rsid w:val="00DF6A82"/>
    <w:rsid w:val="00E0118A"/>
    <w:rsid w:val="00E024F3"/>
    <w:rsid w:val="00E028C4"/>
    <w:rsid w:val="00E03B1B"/>
    <w:rsid w:val="00E05092"/>
    <w:rsid w:val="00E0514A"/>
    <w:rsid w:val="00E05445"/>
    <w:rsid w:val="00E0556B"/>
    <w:rsid w:val="00E068FB"/>
    <w:rsid w:val="00E07665"/>
    <w:rsid w:val="00E07896"/>
    <w:rsid w:val="00E07F81"/>
    <w:rsid w:val="00E10475"/>
    <w:rsid w:val="00E10E78"/>
    <w:rsid w:val="00E1128F"/>
    <w:rsid w:val="00E11ECA"/>
    <w:rsid w:val="00E12502"/>
    <w:rsid w:val="00E13D09"/>
    <w:rsid w:val="00E1424E"/>
    <w:rsid w:val="00E159C0"/>
    <w:rsid w:val="00E161EC"/>
    <w:rsid w:val="00E17018"/>
    <w:rsid w:val="00E21C85"/>
    <w:rsid w:val="00E2200C"/>
    <w:rsid w:val="00E22CBF"/>
    <w:rsid w:val="00E22ECD"/>
    <w:rsid w:val="00E235F6"/>
    <w:rsid w:val="00E238C0"/>
    <w:rsid w:val="00E24422"/>
    <w:rsid w:val="00E24ED5"/>
    <w:rsid w:val="00E25795"/>
    <w:rsid w:val="00E271AD"/>
    <w:rsid w:val="00E2726C"/>
    <w:rsid w:val="00E27282"/>
    <w:rsid w:val="00E2742A"/>
    <w:rsid w:val="00E30A9F"/>
    <w:rsid w:val="00E326EA"/>
    <w:rsid w:val="00E331C0"/>
    <w:rsid w:val="00E3455A"/>
    <w:rsid w:val="00E35546"/>
    <w:rsid w:val="00E379EE"/>
    <w:rsid w:val="00E37EED"/>
    <w:rsid w:val="00E422DF"/>
    <w:rsid w:val="00E42701"/>
    <w:rsid w:val="00E434BA"/>
    <w:rsid w:val="00E43F47"/>
    <w:rsid w:val="00E441A6"/>
    <w:rsid w:val="00E4443B"/>
    <w:rsid w:val="00E44A79"/>
    <w:rsid w:val="00E460A0"/>
    <w:rsid w:val="00E46105"/>
    <w:rsid w:val="00E46992"/>
    <w:rsid w:val="00E47004"/>
    <w:rsid w:val="00E51343"/>
    <w:rsid w:val="00E530D7"/>
    <w:rsid w:val="00E54EF2"/>
    <w:rsid w:val="00E5513D"/>
    <w:rsid w:val="00E5661C"/>
    <w:rsid w:val="00E5666C"/>
    <w:rsid w:val="00E60373"/>
    <w:rsid w:val="00E6191B"/>
    <w:rsid w:val="00E64036"/>
    <w:rsid w:val="00E66C70"/>
    <w:rsid w:val="00E6774D"/>
    <w:rsid w:val="00E67985"/>
    <w:rsid w:val="00E70698"/>
    <w:rsid w:val="00E70723"/>
    <w:rsid w:val="00E70D21"/>
    <w:rsid w:val="00E71C22"/>
    <w:rsid w:val="00E71EFE"/>
    <w:rsid w:val="00E71F17"/>
    <w:rsid w:val="00E72B3E"/>
    <w:rsid w:val="00E72E91"/>
    <w:rsid w:val="00E7329C"/>
    <w:rsid w:val="00E74BFE"/>
    <w:rsid w:val="00E76221"/>
    <w:rsid w:val="00E82057"/>
    <w:rsid w:val="00E821D4"/>
    <w:rsid w:val="00E821E4"/>
    <w:rsid w:val="00E842C7"/>
    <w:rsid w:val="00E85406"/>
    <w:rsid w:val="00E86D2F"/>
    <w:rsid w:val="00E8732D"/>
    <w:rsid w:val="00E918F0"/>
    <w:rsid w:val="00E9216F"/>
    <w:rsid w:val="00EA0CF5"/>
    <w:rsid w:val="00EA24A5"/>
    <w:rsid w:val="00EA4A85"/>
    <w:rsid w:val="00EA559F"/>
    <w:rsid w:val="00EA64B5"/>
    <w:rsid w:val="00EB09F7"/>
    <w:rsid w:val="00EB6A9D"/>
    <w:rsid w:val="00EB7BA3"/>
    <w:rsid w:val="00EC07A0"/>
    <w:rsid w:val="00EC1AA8"/>
    <w:rsid w:val="00EC1D9D"/>
    <w:rsid w:val="00EC1F32"/>
    <w:rsid w:val="00EC415D"/>
    <w:rsid w:val="00EC41FF"/>
    <w:rsid w:val="00EC4246"/>
    <w:rsid w:val="00EC48F5"/>
    <w:rsid w:val="00EC5CE5"/>
    <w:rsid w:val="00EC6F93"/>
    <w:rsid w:val="00EC7565"/>
    <w:rsid w:val="00EC759D"/>
    <w:rsid w:val="00ED0728"/>
    <w:rsid w:val="00ED08CC"/>
    <w:rsid w:val="00ED1EEF"/>
    <w:rsid w:val="00ED22D5"/>
    <w:rsid w:val="00ED28A5"/>
    <w:rsid w:val="00ED2F05"/>
    <w:rsid w:val="00ED4AF1"/>
    <w:rsid w:val="00ED4B1A"/>
    <w:rsid w:val="00ED57B9"/>
    <w:rsid w:val="00ED5C17"/>
    <w:rsid w:val="00ED69D5"/>
    <w:rsid w:val="00EE0061"/>
    <w:rsid w:val="00EE0AE3"/>
    <w:rsid w:val="00EE0FE4"/>
    <w:rsid w:val="00EE3FB6"/>
    <w:rsid w:val="00EE7C0F"/>
    <w:rsid w:val="00EF0500"/>
    <w:rsid w:val="00EF083A"/>
    <w:rsid w:val="00EF1106"/>
    <w:rsid w:val="00EF18AF"/>
    <w:rsid w:val="00EF1E40"/>
    <w:rsid w:val="00EF2A04"/>
    <w:rsid w:val="00EF3BF2"/>
    <w:rsid w:val="00EF40AA"/>
    <w:rsid w:val="00EF7F71"/>
    <w:rsid w:val="00F01771"/>
    <w:rsid w:val="00F01B94"/>
    <w:rsid w:val="00F02E47"/>
    <w:rsid w:val="00F03AF9"/>
    <w:rsid w:val="00F06666"/>
    <w:rsid w:val="00F06CDF"/>
    <w:rsid w:val="00F077F8"/>
    <w:rsid w:val="00F11510"/>
    <w:rsid w:val="00F119C4"/>
    <w:rsid w:val="00F12BF9"/>
    <w:rsid w:val="00F1320B"/>
    <w:rsid w:val="00F135FE"/>
    <w:rsid w:val="00F153C8"/>
    <w:rsid w:val="00F2022E"/>
    <w:rsid w:val="00F2050B"/>
    <w:rsid w:val="00F2077E"/>
    <w:rsid w:val="00F22147"/>
    <w:rsid w:val="00F222FA"/>
    <w:rsid w:val="00F226FB"/>
    <w:rsid w:val="00F2420D"/>
    <w:rsid w:val="00F24476"/>
    <w:rsid w:val="00F25730"/>
    <w:rsid w:val="00F25783"/>
    <w:rsid w:val="00F26C69"/>
    <w:rsid w:val="00F27C30"/>
    <w:rsid w:val="00F30102"/>
    <w:rsid w:val="00F33665"/>
    <w:rsid w:val="00F3402C"/>
    <w:rsid w:val="00F34FA6"/>
    <w:rsid w:val="00F35115"/>
    <w:rsid w:val="00F37D2C"/>
    <w:rsid w:val="00F41305"/>
    <w:rsid w:val="00F4146A"/>
    <w:rsid w:val="00F41ED2"/>
    <w:rsid w:val="00F420BB"/>
    <w:rsid w:val="00F43393"/>
    <w:rsid w:val="00F434A1"/>
    <w:rsid w:val="00F442B5"/>
    <w:rsid w:val="00F44521"/>
    <w:rsid w:val="00F44CF8"/>
    <w:rsid w:val="00F47232"/>
    <w:rsid w:val="00F50F76"/>
    <w:rsid w:val="00F52307"/>
    <w:rsid w:val="00F523BD"/>
    <w:rsid w:val="00F5287D"/>
    <w:rsid w:val="00F52DE6"/>
    <w:rsid w:val="00F533E1"/>
    <w:rsid w:val="00F53A56"/>
    <w:rsid w:val="00F54E24"/>
    <w:rsid w:val="00F55BB6"/>
    <w:rsid w:val="00F56A80"/>
    <w:rsid w:val="00F57CDD"/>
    <w:rsid w:val="00F60465"/>
    <w:rsid w:val="00F63B8D"/>
    <w:rsid w:val="00F6402F"/>
    <w:rsid w:val="00F6457D"/>
    <w:rsid w:val="00F6638C"/>
    <w:rsid w:val="00F66943"/>
    <w:rsid w:val="00F67C7C"/>
    <w:rsid w:val="00F701A5"/>
    <w:rsid w:val="00F7068C"/>
    <w:rsid w:val="00F7097B"/>
    <w:rsid w:val="00F70F90"/>
    <w:rsid w:val="00F72C6D"/>
    <w:rsid w:val="00F731E4"/>
    <w:rsid w:val="00F74CA2"/>
    <w:rsid w:val="00F77749"/>
    <w:rsid w:val="00F7785D"/>
    <w:rsid w:val="00F81392"/>
    <w:rsid w:val="00F849C5"/>
    <w:rsid w:val="00F860E1"/>
    <w:rsid w:val="00F87384"/>
    <w:rsid w:val="00F8768F"/>
    <w:rsid w:val="00F87A6D"/>
    <w:rsid w:val="00F9400D"/>
    <w:rsid w:val="00F94669"/>
    <w:rsid w:val="00F9557B"/>
    <w:rsid w:val="00FA0F7A"/>
    <w:rsid w:val="00FA1F83"/>
    <w:rsid w:val="00FA3045"/>
    <w:rsid w:val="00FA4681"/>
    <w:rsid w:val="00FA773F"/>
    <w:rsid w:val="00FA77B0"/>
    <w:rsid w:val="00FA7A5A"/>
    <w:rsid w:val="00FB0624"/>
    <w:rsid w:val="00FB2770"/>
    <w:rsid w:val="00FB3628"/>
    <w:rsid w:val="00FB55C1"/>
    <w:rsid w:val="00FB617B"/>
    <w:rsid w:val="00FB7520"/>
    <w:rsid w:val="00FB79EF"/>
    <w:rsid w:val="00FB7C1F"/>
    <w:rsid w:val="00FC2AB9"/>
    <w:rsid w:val="00FC2DA2"/>
    <w:rsid w:val="00FC40A7"/>
    <w:rsid w:val="00FC53BE"/>
    <w:rsid w:val="00FC704D"/>
    <w:rsid w:val="00FC7E58"/>
    <w:rsid w:val="00FC7F8C"/>
    <w:rsid w:val="00FD0DEC"/>
    <w:rsid w:val="00FD0F98"/>
    <w:rsid w:val="00FD1528"/>
    <w:rsid w:val="00FD52BC"/>
    <w:rsid w:val="00FD556C"/>
    <w:rsid w:val="00FD5E4D"/>
    <w:rsid w:val="00FD7A37"/>
    <w:rsid w:val="00FD7C95"/>
    <w:rsid w:val="00FE1181"/>
    <w:rsid w:val="00FE2304"/>
    <w:rsid w:val="00FE39DC"/>
    <w:rsid w:val="00FE46A0"/>
    <w:rsid w:val="00FE5649"/>
    <w:rsid w:val="00FE6185"/>
    <w:rsid w:val="00FE6589"/>
    <w:rsid w:val="00FF155F"/>
    <w:rsid w:val="00FF15ED"/>
    <w:rsid w:val="00FF47CA"/>
    <w:rsid w:val="00FF54B9"/>
    <w:rsid w:val="00FF5587"/>
    <w:rsid w:val="00FF5C20"/>
    <w:rsid w:val="00FF68FD"/>
    <w:rsid w:val="00FF7080"/>
    <w:rsid w:val="00FF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6289B07-2A04-4033-8048-B4222003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paragraph" w:styleId="Header">
    <w:name w:val="header"/>
    <w:basedOn w:val="Normal"/>
    <w:link w:val="HeaderChar"/>
    <w:uiPriority w:val="99"/>
    <w:rsid w:val="00F523BD"/>
    <w:pPr>
      <w:tabs>
        <w:tab w:val="center" w:pos="4153"/>
        <w:tab w:val="right" w:pos="8306"/>
      </w:tabs>
    </w:pPr>
    <w:rPr>
      <w:rFonts w:ascii="Calibri" w:eastAsia="Calibri" w:hAnsi="Calibri"/>
      <w:sz w:val="22"/>
      <w:szCs w:val="22"/>
      <w:lang w:eastAsia="en-GB"/>
    </w:rPr>
  </w:style>
  <w:style w:type="character" w:customStyle="1" w:styleId="HeaderChar">
    <w:name w:val="Header Char"/>
    <w:basedOn w:val="DefaultParagraphFont"/>
    <w:link w:val="Header"/>
    <w:uiPriority w:val="99"/>
    <w:rsid w:val="00F523BD"/>
    <w:rPr>
      <w:rFonts w:ascii="Calibri" w:eastAsia="Calibri" w:hAnsi="Calibri"/>
      <w:sz w:val="22"/>
      <w:szCs w:val="22"/>
    </w:rPr>
  </w:style>
  <w:style w:type="character" w:customStyle="1" w:styleId="legdslegrhslegp2text">
    <w:name w:val="legds legrhs legp2text"/>
    <w:basedOn w:val="DefaultParagraphFont"/>
    <w:rsid w:val="0060517B"/>
  </w:style>
  <w:style w:type="paragraph" w:styleId="BodyText2">
    <w:name w:val="Body Text 2"/>
    <w:basedOn w:val="Normal"/>
    <w:link w:val="BodyText2Char"/>
    <w:rsid w:val="001C5219"/>
    <w:pPr>
      <w:tabs>
        <w:tab w:val="left" w:pos="2250"/>
      </w:tabs>
      <w:jc w:val="both"/>
    </w:pPr>
    <w:rPr>
      <w:rFonts w:ascii="Arial" w:hAnsi="Arial"/>
      <w:b/>
      <w:sz w:val="28"/>
      <w:szCs w:val="20"/>
    </w:rPr>
  </w:style>
  <w:style w:type="character" w:customStyle="1" w:styleId="BodyText2Char">
    <w:name w:val="Body Text 2 Char"/>
    <w:basedOn w:val="DefaultParagraphFont"/>
    <w:link w:val="BodyText2"/>
    <w:rsid w:val="001C5219"/>
    <w:rPr>
      <w:rFonts w:ascii="Arial" w:hAnsi="Arial"/>
      <w:b/>
      <w:sz w:val="28"/>
      <w:lang w:eastAsia="en-US"/>
    </w:rPr>
  </w:style>
  <w:style w:type="paragraph" w:styleId="FootnoteText">
    <w:name w:val="footnote text"/>
    <w:basedOn w:val="Normal"/>
    <w:link w:val="FootnoteTextChar"/>
    <w:rsid w:val="001C5219"/>
    <w:rPr>
      <w:sz w:val="20"/>
      <w:szCs w:val="20"/>
    </w:rPr>
  </w:style>
  <w:style w:type="character" w:customStyle="1" w:styleId="FootnoteTextChar">
    <w:name w:val="Footnote Text Char"/>
    <w:basedOn w:val="DefaultParagraphFont"/>
    <w:link w:val="FootnoteText"/>
    <w:rsid w:val="001C5219"/>
    <w:rPr>
      <w:lang w:eastAsia="en-US"/>
    </w:rPr>
  </w:style>
  <w:style w:type="character" w:styleId="FootnoteReference">
    <w:name w:val="footnote reference"/>
    <w:basedOn w:val="DefaultParagraphFont"/>
    <w:rsid w:val="001C5219"/>
    <w:rPr>
      <w:vertAlign w:val="superscript"/>
    </w:rPr>
  </w:style>
  <w:style w:type="paragraph" w:customStyle="1" w:styleId="Default">
    <w:name w:val="Default"/>
    <w:rsid w:val="001C521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55B5D"/>
    <w:rPr>
      <w:rFonts w:ascii="Tahoma" w:hAnsi="Tahoma" w:cs="Tahoma"/>
      <w:sz w:val="16"/>
      <w:szCs w:val="16"/>
    </w:rPr>
  </w:style>
  <w:style w:type="character" w:customStyle="1" w:styleId="BalloonTextChar">
    <w:name w:val="Balloon Text Char"/>
    <w:basedOn w:val="DefaultParagraphFont"/>
    <w:link w:val="BalloonText"/>
    <w:rsid w:val="00155B5D"/>
    <w:rPr>
      <w:rFonts w:ascii="Tahoma" w:hAnsi="Tahoma" w:cs="Tahoma"/>
      <w:sz w:val="16"/>
      <w:szCs w:val="16"/>
      <w:lang w:eastAsia="en-US"/>
    </w:rPr>
  </w:style>
  <w:style w:type="paragraph" w:styleId="Footer">
    <w:name w:val="footer"/>
    <w:basedOn w:val="Normal"/>
    <w:link w:val="FooterChar"/>
    <w:uiPriority w:val="99"/>
    <w:rsid w:val="00E07F81"/>
    <w:pPr>
      <w:tabs>
        <w:tab w:val="center" w:pos="4513"/>
        <w:tab w:val="right" w:pos="9026"/>
      </w:tabs>
    </w:pPr>
  </w:style>
  <w:style w:type="character" w:customStyle="1" w:styleId="FooterChar">
    <w:name w:val="Footer Char"/>
    <w:basedOn w:val="DefaultParagraphFont"/>
    <w:link w:val="Footer"/>
    <w:uiPriority w:val="99"/>
    <w:rsid w:val="00E07F81"/>
    <w:rPr>
      <w:sz w:val="24"/>
      <w:szCs w:val="24"/>
      <w:lang w:eastAsia="en-US"/>
    </w:rPr>
  </w:style>
  <w:style w:type="paragraph" w:styleId="BodyText">
    <w:name w:val="Body Text"/>
    <w:basedOn w:val="Normal"/>
    <w:link w:val="BodyTextChar"/>
    <w:rsid w:val="009127BA"/>
    <w:pPr>
      <w:spacing w:after="120"/>
      <w:jc w:val="both"/>
    </w:pPr>
    <w:rPr>
      <w:rFonts w:ascii="Arial" w:hAnsi="Arial"/>
      <w:szCs w:val="20"/>
      <w:lang w:eastAsia="en-GB"/>
    </w:rPr>
  </w:style>
  <w:style w:type="character" w:customStyle="1" w:styleId="BodyTextChar">
    <w:name w:val="Body Text Char"/>
    <w:basedOn w:val="DefaultParagraphFont"/>
    <w:link w:val="BodyText"/>
    <w:rsid w:val="009127BA"/>
    <w:rPr>
      <w:rFonts w:ascii="Arial" w:hAnsi="Arial"/>
      <w:sz w:val="24"/>
    </w:rPr>
  </w:style>
  <w:style w:type="paragraph" w:customStyle="1" w:styleId="Conditionhead">
    <w:name w:val="Condition head"/>
    <w:basedOn w:val="Normal"/>
    <w:rsid w:val="009127BA"/>
    <w:pPr>
      <w:tabs>
        <w:tab w:val="left" w:pos="-720"/>
      </w:tabs>
      <w:suppressAutoHyphens/>
      <w:spacing w:line="360" w:lineRule="auto"/>
      <w:jc w:val="both"/>
    </w:pPr>
    <w:rPr>
      <w:b/>
    </w:rPr>
  </w:style>
  <w:style w:type="paragraph" w:customStyle="1" w:styleId="Outline2">
    <w:name w:val="Outline 2"/>
    <w:basedOn w:val="Normal"/>
    <w:rsid w:val="00A957B7"/>
    <w:pPr>
      <w:numPr>
        <w:ilvl w:val="1"/>
        <w:numId w:val="1"/>
      </w:numPr>
      <w:spacing w:after="240"/>
      <w:jc w:val="both"/>
      <w:outlineLvl w:val="1"/>
    </w:pPr>
    <w:rPr>
      <w:rFonts w:ascii="Arial" w:hAnsi="Arial"/>
      <w:sz w:val="22"/>
      <w:szCs w:val="20"/>
    </w:rPr>
  </w:style>
  <w:style w:type="paragraph" w:customStyle="1" w:styleId="OutlinePara">
    <w:name w:val="Outline Para"/>
    <w:basedOn w:val="Normal"/>
    <w:rsid w:val="00A957B7"/>
    <w:pPr>
      <w:spacing w:after="240"/>
      <w:jc w:val="both"/>
    </w:pPr>
    <w:rPr>
      <w:rFonts w:ascii="Arial" w:hAnsi="Arial"/>
      <w:sz w:val="22"/>
      <w:szCs w:val="20"/>
    </w:rPr>
  </w:style>
  <w:style w:type="character" w:styleId="CommentReference">
    <w:name w:val="annotation reference"/>
    <w:basedOn w:val="DefaultParagraphFont"/>
    <w:rsid w:val="00DA7625"/>
    <w:rPr>
      <w:sz w:val="16"/>
      <w:szCs w:val="16"/>
    </w:rPr>
  </w:style>
  <w:style w:type="paragraph" w:styleId="CommentText">
    <w:name w:val="annotation text"/>
    <w:basedOn w:val="Normal"/>
    <w:link w:val="CommentTextChar"/>
    <w:rsid w:val="00DA7625"/>
    <w:rPr>
      <w:sz w:val="20"/>
      <w:szCs w:val="20"/>
    </w:rPr>
  </w:style>
  <w:style w:type="character" w:customStyle="1" w:styleId="CommentTextChar">
    <w:name w:val="Comment Text Char"/>
    <w:basedOn w:val="DefaultParagraphFont"/>
    <w:link w:val="CommentText"/>
    <w:rsid w:val="00DA7625"/>
    <w:rPr>
      <w:lang w:eastAsia="en-US"/>
    </w:rPr>
  </w:style>
  <w:style w:type="paragraph" w:styleId="CommentSubject">
    <w:name w:val="annotation subject"/>
    <w:basedOn w:val="CommentText"/>
    <w:next w:val="CommentText"/>
    <w:link w:val="CommentSubjectChar"/>
    <w:rsid w:val="00DA7625"/>
    <w:rPr>
      <w:b/>
      <w:bCs/>
    </w:rPr>
  </w:style>
  <w:style w:type="character" w:customStyle="1" w:styleId="CommentSubjectChar">
    <w:name w:val="Comment Subject Char"/>
    <w:basedOn w:val="CommentTextChar"/>
    <w:link w:val="CommentSubject"/>
    <w:rsid w:val="00DA7625"/>
    <w:rPr>
      <w:b/>
      <w:bCs/>
      <w:lang w:eastAsia="en-US"/>
    </w:rPr>
  </w:style>
  <w:style w:type="paragraph" w:styleId="Revision">
    <w:name w:val="Revision"/>
    <w:hidden/>
    <w:uiPriority w:val="99"/>
    <w:semiHidden/>
    <w:rsid w:val="00C842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654">
      <w:bodyDiv w:val="1"/>
      <w:marLeft w:val="0"/>
      <w:marRight w:val="0"/>
      <w:marTop w:val="0"/>
      <w:marBottom w:val="0"/>
      <w:divBdr>
        <w:top w:val="none" w:sz="0" w:space="0" w:color="auto"/>
        <w:left w:val="none" w:sz="0" w:space="0" w:color="auto"/>
        <w:bottom w:val="none" w:sz="0" w:space="0" w:color="auto"/>
        <w:right w:val="none" w:sz="0" w:space="0" w:color="auto"/>
      </w:divBdr>
    </w:div>
    <w:div w:id="133186535">
      <w:bodyDiv w:val="1"/>
      <w:marLeft w:val="0"/>
      <w:marRight w:val="0"/>
      <w:marTop w:val="0"/>
      <w:marBottom w:val="0"/>
      <w:divBdr>
        <w:top w:val="none" w:sz="0" w:space="0" w:color="auto"/>
        <w:left w:val="none" w:sz="0" w:space="0" w:color="auto"/>
        <w:bottom w:val="none" w:sz="0" w:space="0" w:color="auto"/>
        <w:right w:val="none" w:sz="0" w:space="0" w:color="auto"/>
      </w:divBdr>
    </w:div>
    <w:div w:id="146211150">
      <w:bodyDiv w:val="1"/>
      <w:marLeft w:val="0"/>
      <w:marRight w:val="0"/>
      <w:marTop w:val="0"/>
      <w:marBottom w:val="0"/>
      <w:divBdr>
        <w:top w:val="none" w:sz="0" w:space="0" w:color="auto"/>
        <w:left w:val="none" w:sz="0" w:space="0" w:color="auto"/>
        <w:bottom w:val="none" w:sz="0" w:space="0" w:color="auto"/>
        <w:right w:val="none" w:sz="0" w:space="0" w:color="auto"/>
      </w:divBdr>
    </w:div>
    <w:div w:id="152111339">
      <w:bodyDiv w:val="1"/>
      <w:marLeft w:val="0"/>
      <w:marRight w:val="0"/>
      <w:marTop w:val="0"/>
      <w:marBottom w:val="0"/>
      <w:divBdr>
        <w:top w:val="none" w:sz="0" w:space="0" w:color="auto"/>
        <w:left w:val="none" w:sz="0" w:space="0" w:color="auto"/>
        <w:bottom w:val="none" w:sz="0" w:space="0" w:color="auto"/>
        <w:right w:val="none" w:sz="0" w:space="0" w:color="auto"/>
      </w:divBdr>
    </w:div>
    <w:div w:id="184639516">
      <w:bodyDiv w:val="1"/>
      <w:marLeft w:val="0"/>
      <w:marRight w:val="0"/>
      <w:marTop w:val="0"/>
      <w:marBottom w:val="0"/>
      <w:divBdr>
        <w:top w:val="none" w:sz="0" w:space="0" w:color="auto"/>
        <w:left w:val="none" w:sz="0" w:space="0" w:color="auto"/>
        <w:bottom w:val="none" w:sz="0" w:space="0" w:color="auto"/>
        <w:right w:val="none" w:sz="0" w:space="0" w:color="auto"/>
      </w:divBdr>
    </w:div>
    <w:div w:id="239952668">
      <w:bodyDiv w:val="1"/>
      <w:marLeft w:val="0"/>
      <w:marRight w:val="0"/>
      <w:marTop w:val="0"/>
      <w:marBottom w:val="0"/>
      <w:divBdr>
        <w:top w:val="none" w:sz="0" w:space="0" w:color="auto"/>
        <w:left w:val="none" w:sz="0" w:space="0" w:color="auto"/>
        <w:bottom w:val="none" w:sz="0" w:space="0" w:color="auto"/>
        <w:right w:val="none" w:sz="0" w:space="0" w:color="auto"/>
      </w:divBdr>
    </w:div>
    <w:div w:id="240220733">
      <w:bodyDiv w:val="1"/>
      <w:marLeft w:val="0"/>
      <w:marRight w:val="0"/>
      <w:marTop w:val="0"/>
      <w:marBottom w:val="0"/>
      <w:divBdr>
        <w:top w:val="none" w:sz="0" w:space="0" w:color="auto"/>
        <w:left w:val="none" w:sz="0" w:space="0" w:color="auto"/>
        <w:bottom w:val="none" w:sz="0" w:space="0" w:color="auto"/>
        <w:right w:val="none" w:sz="0" w:space="0" w:color="auto"/>
      </w:divBdr>
    </w:div>
    <w:div w:id="247882509">
      <w:bodyDiv w:val="1"/>
      <w:marLeft w:val="0"/>
      <w:marRight w:val="0"/>
      <w:marTop w:val="0"/>
      <w:marBottom w:val="0"/>
      <w:divBdr>
        <w:top w:val="none" w:sz="0" w:space="0" w:color="auto"/>
        <w:left w:val="none" w:sz="0" w:space="0" w:color="auto"/>
        <w:bottom w:val="none" w:sz="0" w:space="0" w:color="auto"/>
        <w:right w:val="none" w:sz="0" w:space="0" w:color="auto"/>
      </w:divBdr>
    </w:div>
    <w:div w:id="265575584">
      <w:bodyDiv w:val="1"/>
      <w:marLeft w:val="0"/>
      <w:marRight w:val="0"/>
      <w:marTop w:val="0"/>
      <w:marBottom w:val="0"/>
      <w:divBdr>
        <w:top w:val="none" w:sz="0" w:space="0" w:color="auto"/>
        <w:left w:val="none" w:sz="0" w:space="0" w:color="auto"/>
        <w:bottom w:val="none" w:sz="0" w:space="0" w:color="auto"/>
        <w:right w:val="none" w:sz="0" w:space="0" w:color="auto"/>
      </w:divBdr>
    </w:div>
    <w:div w:id="311447587">
      <w:bodyDiv w:val="1"/>
      <w:marLeft w:val="0"/>
      <w:marRight w:val="0"/>
      <w:marTop w:val="0"/>
      <w:marBottom w:val="0"/>
      <w:divBdr>
        <w:top w:val="none" w:sz="0" w:space="0" w:color="auto"/>
        <w:left w:val="none" w:sz="0" w:space="0" w:color="auto"/>
        <w:bottom w:val="none" w:sz="0" w:space="0" w:color="auto"/>
        <w:right w:val="none" w:sz="0" w:space="0" w:color="auto"/>
      </w:divBdr>
    </w:div>
    <w:div w:id="312299365">
      <w:bodyDiv w:val="1"/>
      <w:marLeft w:val="0"/>
      <w:marRight w:val="0"/>
      <w:marTop w:val="0"/>
      <w:marBottom w:val="0"/>
      <w:divBdr>
        <w:top w:val="none" w:sz="0" w:space="0" w:color="auto"/>
        <w:left w:val="none" w:sz="0" w:space="0" w:color="auto"/>
        <w:bottom w:val="none" w:sz="0" w:space="0" w:color="auto"/>
        <w:right w:val="none" w:sz="0" w:space="0" w:color="auto"/>
      </w:divBdr>
    </w:div>
    <w:div w:id="321467772">
      <w:bodyDiv w:val="1"/>
      <w:marLeft w:val="0"/>
      <w:marRight w:val="0"/>
      <w:marTop w:val="0"/>
      <w:marBottom w:val="0"/>
      <w:divBdr>
        <w:top w:val="none" w:sz="0" w:space="0" w:color="auto"/>
        <w:left w:val="none" w:sz="0" w:space="0" w:color="auto"/>
        <w:bottom w:val="none" w:sz="0" w:space="0" w:color="auto"/>
        <w:right w:val="none" w:sz="0" w:space="0" w:color="auto"/>
      </w:divBdr>
    </w:div>
    <w:div w:id="441341075">
      <w:bodyDiv w:val="1"/>
      <w:marLeft w:val="0"/>
      <w:marRight w:val="0"/>
      <w:marTop w:val="0"/>
      <w:marBottom w:val="0"/>
      <w:divBdr>
        <w:top w:val="none" w:sz="0" w:space="0" w:color="auto"/>
        <w:left w:val="none" w:sz="0" w:space="0" w:color="auto"/>
        <w:bottom w:val="none" w:sz="0" w:space="0" w:color="auto"/>
        <w:right w:val="none" w:sz="0" w:space="0" w:color="auto"/>
      </w:divBdr>
    </w:div>
    <w:div w:id="447700630">
      <w:bodyDiv w:val="1"/>
      <w:marLeft w:val="0"/>
      <w:marRight w:val="0"/>
      <w:marTop w:val="0"/>
      <w:marBottom w:val="0"/>
      <w:divBdr>
        <w:top w:val="none" w:sz="0" w:space="0" w:color="auto"/>
        <w:left w:val="none" w:sz="0" w:space="0" w:color="auto"/>
        <w:bottom w:val="none" w:sz="0" w:space="0" w:color="auto"/>
        <w:right w:val="none" w:sz="0" w:space="0" w:color="auto"/>
      </w:divBdr>
    </w:div>
    <w:div w:id="575096296">
      <w:bodyDiv w:val="1"/>
      <w:marLeft w:val="0"/>
      <w:marRight w:val="0"/>
      <w:marTop w:val="0"/>
      <w:marBottom w:val="0"/>
      <w:divBdr>
        <w:top w:val="none" w:sz="0" w:space="0" w:color="auto"/>
        <w:left w:val="none" w:sz="0" w:space="0" w:color="auto"/>
        <w:bottom w:val="none" w:sz="0" w:space="0" w:color="auto"/>
        <w:right w:val="none" w:sz="0" w:space="0" w:color="auto"/>
      </w:divBdr>
    </w:div>
    <w:div w:id="577710576">
      <w:bodyDiv w:val="1"/>
      <w:marLeft w:val="0"/>
      <w:marRight w:val="0"/>
      <w:marTop w:val="0"/>
      <w:marBottom w:val="0"/>
      <w:divBdr>
        <w:top w:val="none" w:sz="0" w:space="0" w:color="auto"/>
        <w:left w:val="none" w:sz="0" w:space="0" w:color="auto"/>
        <w:bottom w:val="none" w:sz="0" w:space="0" w:color="auto"/>
        <w:right w:val="none" w:sz="0" w:space="0" w:color="auto"/>
      </w:divBdr>
    </w:div>
    <w:div w:id="590310219">
      <w:bodyDiv w:val="1"/>
      <w:marLeft w:val="0"/>
      <w:marRight w:val="0"/>
      <w:marTop w:val="0"/>
      <w:marBottom w:val="0"/>
      <w:divBdr>
        <w:top w:val="none" w:sz="0" w:space="0" w:color="auto"/>
        <w:left w:val="none" w:sz="0" w:space="0" w:color="auto"/>
        <w:bottom w:val="none" w:sz="0" w:space="0" w:color="auto"/>
        <w:right w:val="none" w:sz="0" w:space="0" w:color="auto"/>
      </w:divBdr>
    </w:div>
    <w:div w:id="620308300">
      <w:bodyDiv w:val="1"/>
      <w:marLeft w:val="0"/>
      <w:marRight w:val="0"/>
      <w:marTop w:val="0"/>
      <w:marBottom w:val="0"/>
      <w:divBdr>
        <w:top w:val="none" w:sz="0" w:space="0" w:color="auto"/>
        <w:left w:val="none" w:sz="0" w:space="0" w:color="auto"/>
        <w:bottom w:val="none" w:sz="0" w:space="0" w:color="auto"/>
        <w:right w:val="none" w:sz="0" w:space="0" w:color="auto"/>
      </w:divBdr>
    </w:div>
    <w:div w:id="724447221">
      <w:bodyDiv w:val="1"/>
      <w:marLeft w:val="0"/>
      <w:marRight w:val="0"/>
      <w:marTop w:val="0"/>
      <w:marBottom w:val="0"/>
      <w:divBdr>
        <w:top w:val="none" w:sz="0" w:space="0" w:color="auto"/>
        <w:left w:val="none" w:sz="0" w:space="0" w:color="auto"/>
        <w:bottom w:val="none" w:sz="0" w:space="0" w:color="auto"/>
        <w:right w:val="none" w:sz="0" w:space="0" w:color="auto"/>
      </w:divBdr>
    </w:div>
    <w:div w:id="740560595">
      <w:bodyDiv w:val="1"/>
      <w:marLeft w:val="0"/>
      <w:marRight w:val="0"/>
      <w:marTop w:val="0"/>
      <w:marBottom w:val="0"/>
      <w:divBdr>
        <w:top w:val="none" w:sz="0" w:space="0" w:color="auto"/>
        <w:left w:val="none" w:sz="0" w:space="0" w:color="auto"/>
        <w:bottom w:val="none" w:sz="0" w:space="0" w:color="auto"/>
        <w:right w:val="none" w:sz="0" w:space="0" w:color="auto"/>
      </w:divBdr>
    </w:div>
    <w:div w:id="758020361">
      <w:bodyDiv w:val="1"/>
      <w:marLeft w:val="0"/>
      <w:marRight w:val="0"/>
      <w:marTop w:val="0"/>
      <w:marBottom w:val="0"/>
      <w:divBdr>
        <w:top w:val="none" w:sz="0" w:space="0" w:color="auto"/>
        <w:left w:val="none" w:sz="0" w:space="0" w:color="auto"/>
        <w:bottom w:val="none" w:sz="0" w:space="0" w:color="auto"/>
        <w:right w:val="none" w:sz="0" w:space="0" w:color="auto"/>
      </w:divBdr>
    </w:div>
    <w:div w:id="766852832">
      <w:bodyDiv w:val="1"/>
      <w:marLeft w:val="0"/>
      <w:marRight w:val="0"/>
      <w:marTop w:val="0"/>
      <w:marBottom w:val="0"/>
      <w:divBdr>
        <w:top w:val="none" w:sz="0" w:space="0" w:color="auto"/>
        <w:left w:val="none" w:sz="0" w:space="0" w:color="auto"/>
        <w:bottom w:val="none" w:sz="0" w:space="0" w:color="auto"/>
        <w:right w:val="none" w:sz="0" w:space="0" w:color="auto"/>
      </w:divBdr>
    </w:div>
    <w:div w:id="768163714">
      <w:bodyDiv w:val="1"/>
      <w:marLeft w:val="0"/>
      <w:marRight w:val="0"/>
      <w:marTop w:val="0"/>
      <w:marBottom w:val="0"/>
      <w:divBdr>
        <w:top w:val="none" w:sz="0" w:space="0" w:color="auto"/>
        <w:left w:val="none" w:sz="0" w:space="0" w:color="auto"/>
        <w:bottom w:val="none" w:sz="0" w:space="0" w:color="auto"/>
        <w:right w:val="none" w:sz="0" w:space="0" w:color="auto"/>
      </w:divBdr>
    </w:div>
    <w:div w:id="781149047">
      <w:bodyDiv w:val="1"/>
      <w:marLeft w:val="0"/>
      <w:marRight w:val="0"/>
      <w:marTop w:val="0"/>
      <w:marBottom w:val="0"/>
      <w:divBdr>
        <w:top w:val="none" w:sz="0" w:space="0" w:color="auto"/>
        <w:left w:val="none" w:sz="0" w:space="0" w:color="auto"/>
        <w:bottom w:val="none" w:sz="0" w:space="0" w:color="auto"/>
        <w:right w:val="none" w:sz="0" w:space="0" w:color="auto"/>
      </w:divBdr>
    </w:div>
    <w:div w:id="811597996">
      <w:bodyDiv w:val="1"/>
      <w:marLeft w:val="0"/>
      <w:marRight w:val="0"/>
      <w:marTop w:val="0"/>
      <w:marBottom w:val="0"/>
      <w:divBdr>
        <w:top w:val="none" w:sz="0" w:space="0" w:color="auto"/>
        <w:left w:val="none" w:sz="0" w:space="0" w:color="auto"/>
        <w:bottom w:val="none" w:sz="0" w:space="0" w:color="auto"/>
        <w:right w:val="none" w:sz="0" w:space="0" w:color="auto"/>
      </w:divBdr>
    </w:div>
    <w:div w:id="830409803">
      <w:bodyDiv w:val="1"/>
      <w:marLeft w:val="0"/>
      <w:marRight w:val="0"/>
      <w:marTop w:val="0"/>
      <w:marBottom w:val="0"/>
      <w:divBdr>
        <w:top w:val="none" w:sz="0" w:space="0" w:color="auto"/>
        <w:left w:val="none" w:sz="0" w:space="0" w:color="auto"/>
        <w:bottom w:val="none" w:sz="0" w:space="0" w:color="auto"/>
        <w:right w:val="none" w:sz="0" w:space="0" w:color="auto"/>
      </w:divBdr>
    </w:div>
    <w:div w:id="859121410">
      <w:bodyDiv w:val="1"/>
      <w:marLeft w:val="0"/>
      <w:marRight w:val="0"/>
      <w:marTop w:val="0"/>
      <w:marBottom w:val="0"/>
      <w:divBdr>
        <w:top w:val="none" w:sz="0" w:space="0" w:color="auto"/>
        <w:left w:val="none" w:sz="0" w:space="0" w:color="auto"/>
        <w:bottom w:val="none" w:sz="0" w:space="0" w:color="auto"/>
        <w:right w:val="none" w:sz="0" w:space="0" w:color="auto"/>
      </w:divBdr>
    </w:div>
    <w:div w:id="911697180">
      <w:bodyDiv w:val="1"/>
      <w:marLeft w:val="0"/>
      <w:marRight w:val="0"/>
      <w:marTop w:val="0"/>
      <w:marBottom w:val="0"/>
      <w:divBdr>
        <w:top w:val="none" w:sz="0" w:space="0" w:color="auto"/>
        <w:left w:val="none" w:sz="0" w:space="0" w:color="auto"/>
        <w:bottom w:val="none" w:sz="0" w:space="0" w:color="auto"/>
        <w:right w:val="none" w:sz="0" w:space="0" w:color="auto"/>
      </w:divBdr>
    </w:div>
    <w:div w:id="949094111">
      <w:bodyDiv w:val="1"/>
      <w:marLeft w:val="0"/>
      <w:marRight w:val="0"/>
      <w:marTop w:val="0"/>
      <w:marBottom w:val="0"/>
      <w:divBdr>
        <w:top w:val="none" w:sz="0" w:space="0" w:color="auto"/>
        <w:left w:val="none" w:sz="0" w:space="0" w:color="auto"/>
        <w:bottom w:val="none" w:sz="0" w:space="0" w:color="auto"/>
        <w:right w:val="none" w:sz="0" w:space="0" w:color="auto"/>
      </w:divBdr>
    </w:div>
    <w:div w:id="998312307">
      <w:bodyDiv w:val="1"/>
      <w:marLeft w:val="0"/>
      <w:marRight w:val="0"/>
      <w:marTop w:val="0"/>
      <w:marBottom w:val="0"/>
      <w:divBdr>
        <w:top w:val="none" w:sz="0" w:space="0" w:color="auto"/>
        <w:left w:val="none" w:sz="0" w:space="0" w:color="auto"/>
        <w:bottom w:val="none" w:sz="0" w:space="0" w:color="auto"/>
        <w:right w:val="none" w:sz="0" w:space="0" w:color="auto"/>
      </w:divBdr>
    </w:div>
    <w:div w:id="1033926065">
      <w:bodyDiv w:val="1"/>
      <w:marLeft w:val="0"/>
      <w:marRight w:val="0"/>
      <w:marTop w:val="0"/>
      <w:marBottom w:val="0"/>
      <w:divBdr>
        <w:top w:val="none" w:sz="0" w:space="0" w:color="auto"/>
        <w:left w:val="none" w:sz="0" w:space="0" w:color="auto"/>
        <w:bottom w:val="none" w:sz="0" w:space="0" w:color="auto"/>
        <w:right w:val="none" w:sz="0" w:space="0" w:color="auto"/>
      </w:divBdr>
    </w:div>
    <w:div w:id="1062480278">
      <w:bodyDiv w:val="1"/>
      <w:marLeft w:val="0"/>
      <w:marRight w:val="0"/>
      <w:marTop w:val="0"/>
      <w:marBottom w:val="0"/>
      <w:divBdr>
        <w:top w:val="none" w:sz="0" w:space="0" w:color="auto"/>
        <w:left w:val="none" w:sz="0" w:space="0" w:color="auto"/>
        <w:bottom w:val="none" w:sz="0" w:space="0" w:color="auto"/>
        <w:right w:val="none" w:sz="0" w:space="0" w:color="auto"/>
      </w:divBdr>
    </w:div>
    <w:div w:id="1071541232">
      <w:bodyDiv w:val="1"/>
      <w:marLeft w:val="0"/>
      <w:marRight w:val="0"/>
      <w:marTop w:val="0"/>
      <w:marBottom w:val="0"/>
      <w:divBdr>
        <w:top w:val="none" w:sz="0" w:space="0" w:color="auto"/>
        <w:left w:val="none" w:sz="0" w:space="0" w:color="auto"/>
        <w:bottom w:val="none" w:sz="0" w:space="0" w:color="auto"/>
        <w:right w:val="none" w:sz="0" w:space="0" w:color="auto"/>
      </w:divBdr>
    </w:div>
    <w:div w:id="1079326438">
      <w:bodyDiv w:val="1"/>
      <w:marLeft w:val="0"/>
      <w:marRight w:val="0"/>
      <w:marTop w:val="0"/>
      <w:marBottom w:val="0"/>
      <w:divBdr>
        <w:top w:val="none" w:sz="0" w:space="0" w:color="auto"/>
        <w:left w:val="none" w:sz="0" w:space="0" w:color="auto"/>
        <w:bottom w:val="none" w:sz="0" w:space="0" w:color="auto"/>
        <w:right w:val="none" w:sz="0" w:space="0" w:color="auto"/>
      </w:divBdr>
    </w:div>
    <w:div w:id="1090004282">
      <w:bodyDiv w:val="1"/>
      <w:marLeft w:val="0"/>
      <w:marRight w:val="0"/>
      <w:marTop w:val="0"/>
      <w:marBottom w:val="0"/>
      <w:divBdr>
        <w:top w:val="none" w:sz="0" w:space="0" w:color="auto"/>
        <w:left w:val="none" w:sz="0" w:space="0" w:color="auto"/>
        <w:bottom w:val="none" w:sz="0" w:space="0" w:color="auto"/>
        <w:right w:val="none" w:sz="0" w:space="0" w:color="auto"/>
      </w:divBdr>
    </w:div>
    <w:div w:id="1091001321">
      <w:bodyDiv w:val="1"/>
      <w:marLeft w:val="0"/>
      <w:marRight w:val="0"/>
      <w:marTop w:val="0"/>
      <w:marBottom w:val="0"/>
      <w:divBdr>
        <w:top w:val="none" w:sz="0" w:space="0" w:color="auto"/>
        <w:left w:val="none" w:sz="0" w:space="0" w:color="auto"/>
        <w:bottom w:val="none" w:sz="0" w:space="0" w:color="auto"/>
        <w:right w:val="none" w:sz="0" w:space="0" w:color="auto"/>
      </w:divBdr>
    </w:div>
    <w:div w:id="1096052353">
      <w:bodyDiv w:val="1"/>
      <w:marLeft w:val="0"/>
      <w:marRight w:val="0"/>
      <w:marTop w:val="0"/>
      <w:marBottom w:val="0"/>
      <w:divBdr>
        <w:top w:val="none" w:sz="0" w:space="0" w:color="auto"/>
        <w:left w:val="none" w:sz="0" w:space="0" w:color="auto"/>
        <w:bottom w:val="none" w:sz="0" w:space="0" w:color="auto"/>
        <w:right w:val="none" w:sz="0" w:space="0" w:color="auto"/>
      </w:divBdr>
    </w:div>
    <w:div w:id="1129936975">
      <w:bodyDiv w:val="1"/>
      <w:marLeft w:val="0"/>
      <w:marRight w:val="0"/>
      <w:marTop w:val="0"/>
      <w:marBottom w:val="0"/>
      <w:divBdr>
        <w:top w:val="none" w:sz="0" w:space="0" w:color="auto"/>
        <w:left w:val="none" w:sz="0" w:space="0" w:color="auto"/>
        <w:bottom w:val="none" w:sz="0" w:space="0" w:color="auto"/>
        <w:right w:val="none" w:sz="0" w:space="0" w:color="auto"/>
      </w:divBdr>
    </w:div>
    <w:div w:id="1182432008">
      <w:bodyDiv w:val="1"/>
      <w:marLeft w:val="0"/>
      <w:marRight w:val="0"/>
      <w:marTop w:val="0"/>
      <w:marBottom w:val="0"/>
      <w:divBdr>
        <w:top w:val="none" w:sz="0" w:space="0" w:color="auto"/>
        <w:left w:val="none" w:sz="0" w:space="0" w:color="auto"/>
        <w:bottom w:val="none" w:sz="0" w:space="0" w:color="auto"/>
        <w:right w:val="none" w:sz="0" w:space="0" w:color="auto"/>
      </w:divBdr>
    </w:div>
    <w:div w:id="1191606411">
      <w:bodyDiv w:val="1"/>
      <w:marLeft w:val="0"/>
      <w:marRight w:val="0"/>
      <w:marTop w:val="0"/>
      <w:marBottom w:val="0"/>
      <w:divBdr>
        <w:top w:val="none" w:sz="0" w:space="0" w:color="auto"/>
        <w:left w:val="none" w:sz="0" w:space="0" w:color="auto"/>
        <w:bottom w:val="none" w:sz="0" w:space="0" w:color="auto"/>
        <w:right w:val="none" w:sz="0" w:space="0" w:color="auto"/>
      </w:divBdr>
    </w:div>
    <w:div w:id="1211959980">
      <w:bodyDiv w:val="1"/>
      <w:marLeft w:val="0"/>
      <w:marRight w:val="0"/>
      <w:marTop w:val="0"/>
      <w:marBottom w:val="0"/>
      <w:divBdr>
        <w:top w:val="none" w:sz="0" w:space="0" w:color="auto"/>
        <w:left w:val="none" w:sz="0" w:space="0" w:color="auto"/>
        <w:bottom w:val="none" w:sz="0" w:space="0" w:color="auto"/>
        <w:right w:val="none" w:sz="0" w:space="0" w:color="auto"/>
      </w:divBdr>
    </w:div>
    <w:div w:id="1224560377">
      <w:bodyDiv w:val="1"/>
      <w:marLeft w:val="0"/>
      <w:marRight w:val="0"/>
      <w:marTop w:val="0"/>
      <w:marBottom w:val="0"/>
      <w:divBdr>
        <w:top w:val="none" w:sz="0" w:space="0" w:color="auto"/>
        <w:left w:val="none" w:sz="0" w:space="0" w:color="auto"/>
        <w:bottom w:val="none" w:sz="0" w:space="0" w:color="auto"/>
        <w:right w:val="none" w:sz="0" w:space="0" w:color="auto"/>
      </w:divBdr>
    </w:div>
    <w:div w:id="1229807601">
      <w:bodyDiv w:val="1"/>
      <w:marLeft w:val="0"/>
      <w:marRight w:val="0"/>
      <w:marTop w:val="0"/>
      <w:marBottom w:val="0"/>
      <w:divBdr>
        <w:top w:val="none" w:sz="0" w:space="0" w:color="auto"/>
        <w:left w:val="none" w:sz="0" w:space="0" w:color="auto"/>
        <w:bottom w:val="none" w:sz="0" w:space="0" w:color="auto"/>
        <w:right w:val="none" w:sz="0" w:space="0" w:color="auto"/>
      </w:divBdr>
    </w:div>
    <w:div w:id="1230387948">
      <w:bodyDiv w:val="1"/>
      <w:marLeft w:val="0"/>
      <w:marRight w:val="0"/>
      <w:marTop w:val="0"/>
      <w:marBottom w:val="0"/>
      <w:divBdr>
        <w:top w:val="none" w:sz="0" w:space="0" w:color="auto"/>
        <w:left w:val="none" w:sz="0" w:space="0" w:color="auto"/>
        <w:bottom w:val="none" w:sz="0" w:space="0" w:color="auto"/>
        <w:right w:val="none" w:sz="0" w:space="0" w:color="auto"/>
      </w:divBdr>
    </w:div>
    <w:div w:id="1233813311">
      <w:bodyDiv w:val="1"/>
      <w:marLeft w:val="0"/>
      <w:marRight w:val="0"/>
      <w:marTop w:val="0"/>
      <w:marBottom w:val="0"/>
      <w:divBdr>
        <w:top w:val="none" w:sz="0" w:space="0" w:color="auto"/>
        <w:left w:val="none" w:sz="0" w:space="0" w:color="auto"/>
        <w:bottom w:val="none" w:sz="0" w:space="0" w:color="auto"/>
        <w:right w:val="none" w:sz="0" w:space="0" w:color="auto"/>
      </w:divBdr>
    </w:div>
    <w:div w:id="1238519631">
      <w:bodyDiv w:val="1"/>
      <w:marLeft w:val="0"/>
      <w:marRight w:val="0"/>
      <w:marTop w:val="0"/>
      <w:marBottom w:val="0"/>
      <w:divBdr>
        <w:top w:val="none" w:sz="0" w:space="0" w:color="auto"/>
        <w:left w:val="none" w:sz="0" w:space="0" w:color="auto"/>
        <w:bottom w:val="none" w:sz="0" w:space="0" w:color="auto"/>
        <w:right w:val="none" w:sz="0" w:space="0" w:color="auto"/>
      </w:divBdr>
    </w:div>
    <w:div w:id="1240406613">
      <w:bodyDiv w:val="1"/>
      <w:marLeft w:val="0"/>
      <w:marRight w:val="0"/>
      <w:marTop w:val="0"/>
      <w:marBottom w:val="0"/>
      <w:divBdr>
        <w:top w:val="none" w:sz="0" w:space="0" w:color="auto"/>
        <w:left w:val="none" w:sz="0" w:space="0" w:color="auto"/>
        <w:bottom w:val="none" w:sz="0" w:space="0" w:color="auto"/>
        <w:right w:val="none" w:sz="0" w:space="0" w:color="auto"/>
      </w:divBdr>
    </w:div>
    <w:div w:id="1313482472">
      <w:bodyDiv w:val="1"/>
      <w:marLeft w:val="0"/>
      <w:marRight w:val="0"/>
      <w:marTop w:val="0"/>
      <w:marBottom w:val="0"/>
      <w:divBdr>
        <w:top w:val="none" w:sz="0" w:space="0" w:color="auto"/>
        <w:left w:val="none" w:sz="0" w:space="0" w:color="auto"/>
        <w:bottom w:val="none" w:sz="0" w:space="0" w:color="auto"/>
        <w:right w:val="none" w:sz="0" w:space="0" w:color="auto"/>
      </w:divBdr>
    </w:div>
    <w:div w:id="1331526409">
      <w:bodyDiv w:val="1"/>
      <w:marLeft w:val="0"/>
      <w:marRight w:val="0"/>
      <w:marTop w:val="0"/>
      <w:marBottom w:val="0"/>
      <w:divBdr>
        <w:top w:val="none" w:sz="0" w:space="0" w:color="auto"/>
        <w:left w:val="none" w:sz="0" w:space="0" w:color="auto"/>
        <w:bottom w:val="none" w:sz="0" w:space="0" w:color="auto"/>
        <w:right w:val="none" w:sz="0" w:space="0" w:color="auto"/>
      </w:divBdr>
    </w:div>
    <w:div w:id="1350718318">
      <w:bodyDiv w:val="1"/>
      <w:marLeft w:val="0"/>
      <w:marRight w:val="0"/>
      <w:marTop w:val="0"/>
      <w:marBottom w:val="0"/>
      <w:divBdr>
        <w:top w:val="none" w:sz="0" w:space="0" w:color="auto"/>
        <w:left w:val="none" w:sz="0" w:space="0" w:color="auto"/>
        <w:bottom w:val="none" w:sz="0" w:space="0" w:color="auto"/>
        <w:right w:val="none" w:sz="0" w:space="0" w:color="auto"/>
      </w:divBdr>
    </w:div>
    <w:div w:id="1429734576">
      <w:bodyDiv w:val="1"/>
      <w:marLeft w:val="0"/>
      <w:marRight w:val="0"/>
      <w:marTop w:val="0"/>
      <w:marBottom w:val="0"/>
      <w:divBdr>
        <w:top w:val="none" w:sz="0" w:space="0" w:color="auto"/>
        <w:left w:val="none" w:sz="0" w:space="0" w:color="auto"/>
        <w:bottom w:val="none" w:sz="0" w:space="0" w:color="auto"/>
        <w:right w:val="none" w:sz="0" w:space="0" w:color="auto"/>
      </w:divBdr>
    </w:div>
    <w:div w:id="1461340690">
      <w:bodyDiv w:val="1"/>
      <w:marLeft w:val="0"/>
      <w:marRight w:val="0"/>
      <w:marTop w:val="0"/>
      <w:marBottom w:val="0"/>
      <w:divBdr>
        <w:top w:val="none" w:sz="0" w:space="0" w:color="auto"/>
        <w:left w:val="none" w:sz="0" w:space="0" w:color="auto"/>
        <w:bottom w:val="none" w:sz="0" w:space="0" w:color="auto"/>
        <w:right w:val="none" w:sz="0" w:space="0" w:color="auto"/>
      </w:divBdr>
    </w:div>
    <w:div w:id="1461730856">
      <w:bodyDiv w:val="1"/>
      <w:marLeft w:val="0"/>
      <w:marRight w:val="0"/>
      <w:marTop w:val="0"/>
      <w:marBottom w:val="0"/>
      <w:divBdr>
        <w:top w:val="none" w:sz="0" w:space="0" w:color="auto"/>
        <w:left w:val="none" w:sz="0" w:space="0" w:color="auto"/>
        <w:bottom w:val="none" w:sz="0" w:space="0" w:color="auto"/>
        <w:right w:val="none" w:sz="0" w:space="0" w:color="auto"/>
      </w:divBdr>
    </w:div>
    <w:div w:id="1561475868">
      <w:bodyDiv w:val="1"/>
      <w:marLeft w:val="0"/>
      <w:marRight w:val="0"/>
      <w:marTop w:val="0"/>
      <w:marBottom w:val="0"/>
      <w:divBdr>
        <w:top w:val="none" w:sz="0" w:space="0" w:color="auto"/>
        <w:left w:val="none" w:sz="0" w:space="0" w:color="auto"/>
        <w:bottom w:val="none" w:sz="0" w:space="0" w:color="auto"/>
        <w:right w:val="none" w:sz="0" w:space="0" w:color="auto"/>
      </w:divBdr>
    </w:div>
    <w:div w:id="1569266075">
      <w:bodyDiv w:val="1"/>
      <w:marLeft w:val="0"/>
      <w:marRight w:val="0"/>
      <w:marTop w:val="0"/>
      <w:marBottom w:val="0"/>
      <w:divBdr>
        <w:top w:val="none" w:sz="0" w:space="0" w:color="auto"/>
        <w:left w:val="none" w:sz="0" w:space="0" w:color="auto"/>
        <w:bottom w:val="none" w:sz="0" w:space="0" w:color="auto"/>
        <w:right w:val="none" w:sz="0" w:space="0" w:color="auto"/>
      </w:divBdr>
    </w:div>
    <w:div w:id="1583493050">
      <w:bodyDiv w:val="1"/>
      <w:marLeft w:val="0"/>
      <w:marRight w:val="0"/>
      <w:marTop w:val="0"/>
      <w:marBottom w:val="0"/>
      <w:divBdr>
        <w:top w:val="none" w:sz="0" w:space="0" w:color="auto"/>
        <w:left w:val="none" w:sz="0" w:space="0" w:color="auto"/>
        <w:bottom w:val="none" w:sz="0" w:space="0" w:color="auto"/>
        <w:right w:val="none" w:sz="0" w:space="0" w:color="auto"/>
      </w:divBdr>
    </w:div>
    <w:div w:id="1592274292">
      <w:bodyDiv w:val="1"/>
      <w:marLeft w:val="0"/>
      <w:marRight w:val="0"/>
      <w:marTop w:val="0"/>
      <w:marBottom w:val="0"/>
      <w:divBdr>
        <w:top w:val="none" w:sz="0" w:space="0" w:color="auto"/>
        <w:left w:val="none" w:sz="0" w:space="0" w:color="auto"/>
        <w:bottom w:val="none" w:sz="0" w:space="0" w:color="auto"/>
        <w:right w:val="none" w:sz="0" w:space="0" w:color="auto"/>
      </w:divBdr>
    </w:div>
    <w:div w:id="1599407612">
      <w:bodyDiv w:val="1"/>
      <w:marLeft w:val="0"/>
      <w:marRight w:val="0"/>
      <w:marTop w:val="0"/>
      <w:marBottom w:val="0"/>
      <w:divBdr>
        <w:top w:val="none" w:sz="0" w:space="0" w:color="auto"/>
        <w:left w:val="none" w:sz="0" w:space="0" w:color="auto"/>
        <w:bottom w:val="none" w:sz="0" w:space="0" w:color="auto"/>
        <w:right w:val="none" w:sz="0" w:space="0" w:color="auto"/>
      </w:divBdr>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43926084">
      <w:bodyDiv w:val="1"/>
      <w:marLeft w:val="0"/>
      <w:marRight w:val="0"/>
      <w:marTop w:val="0"/>
      <w:marBottom w:val="0"/>
      <w:divBdr>
        <w:top w:val="none" w:sz="0" w:space="0" w:color="auto"/>
        <w:left w:val="none" w:sz="0" w:space="0" w:color="auto"/>
        <w:bottom w:val="none" w:sz="0" w:space="0" w:color="auto"/>
        <w:right w:val="none" w:sz="0" w:space="0" w:color="auto"/>
      </w:divBdr>
    </w:div>
    <w:div w:id="1700546655">
      <w:bodyDiv w:val="1"/>
      <w:marLeft w:val="0"/>
      <w:marRight w:val="0"/>
      <w:marTop w:val="0"/>
      <w:marBottom w:val="0"/>
      <w:divBdr>
        <w:top w:val="none" w:sz="0" w:space="0" w:color="auto"/>
        <w:left w:val="none" w:sz="0" w:space="0" w:color="auto"/>
        <w:bottom w:val="none" w:sz="0" w:space="0" w:color="auto"/>
        <w:right w:val="none" w:sz="0" w:space="0" w:color="auto"/>
      </w:divBdr>
    </w:div>
    <w:div w:id="1735348002">
      <w:bodyDiv w:val="1"/>
      <w:marLeft w:val="0"/>
      <w:marRight w:val="0"/>
      <w:marTop w:val="0"/>
      <w:marBottom w:val="0"/>
      <w:divBdr>
        <w:top w:val="none" w:sz="0" w:space="0" w:color="auto"/>
        <w:left w:val="none" w:sz="0" w:space="0" w:color="auto"/>
        <w:bottom w:val="none" w:sz="0" w:space="0" w:color="auto"/>
        <w:right w:val="none" w:sz="0" w:space="0" w:color="auto"/>
      </w:divBdr>
    </w:div>
    <w:div w:id="1743404357">
      <w:bodyDiv w:val="1"/>
      <w:marLeft w:val="0"/>
      <w:marRight w:val="0"/>
      <w:marTop w:val="0"/>
      <w:marBottom w:val="0"/>
      <w:divBdr>
        <w:top w:val="none" w:sz="0" w:space="0" w:color="auto"/>
        <w:left w:val="none" w:sz="0" w:space="0" w:color="auto"/>
        <w:bottom w:val="none" w:sz="0" w:space="0" w:color="auto"/>
        <w:right w:val="none" w:sz="0" w:space="0" w:color="auto"/>
      </w:divBdr>
    </w:div>
    <w:div w:id="1756628383">
      <w:bodyDiv w:val="1"/>
      <w:marLeft w:val="0"/>
      <w:marRight w:val="0"/>
      <w:marTop w:val="0"/>
      <w:marBottom w:val="0"/>
      <w:divBdr>
        <w:top w:val="none" w:sz="0" w:space="0" w:color="auto"/>
        <w:left w:val="none" w:sz="0" w:space="0" w:color="auto"/>
        <w:bottom w:val="none" w:sz="0" w:space="0" w:color="auto"/>
        <w:right w:val="none" w:sz="0" w:space="0" w:color="auto"/>
      </w:divBdr>
    </w:div>
    <w:div w:id="1760520393">
      <w:bodyDiv w:val="1"/>
      <w:marLeft w:val="0"/>
      <w:marRight w:val="0"/>
      <w:marTop w:val="0"/>
      <w:marBottom w:val="0"/>
      <w:divBdr>
        <w:top w:val="none" w:sz="0" w:space="0" w:color="auto"/>
        <w:left w:val="none" w:sz="0" w:space="0" w:color="auto"/>
        <w:bottom w:val="none" w:sz="0" w:space="0" w:color="auto"/>
        <w:right w:val="none" w:sz="0" w:space="0" w:color="auto"/>
      </w:divBdr>
    </w:div>
    <w:div w:id="1771510674">
      <w:bodyDiv w:val="1"/>
      <w:marLeft w:val="0"/>
      <w:marRight w:val="0"/>
      <w:marTop w:val="0"/>
      <w:marBottom w:val="0"/>
      <w:divBdr>
        <w:top w:val="none" w:sz="0" w:space="0" w:color="auto"/>
        <w:left w:val="none" w:sz="0" w:space="0" w:color="auto"/>
        <w:bottom w:val="none" w:sz="0" w:space="0" w:color="auto"/>
        <w:right w:val="none" w:sz="0" w:space="0" w:color="auto"/>
      </w:divBdr>
    </w:div>
    <w:div w:id="1782917328">
      <w:bodyDiv w:val="1"/>
      <w:marLeft w:val="0"/>
      <w:marRight w:val="0"/>
      <w:marTop w:val="0"/>
      <w:marBottom w:val="0"/>
      <w:divBdr>
        <w:top w:val="none" w:sz="0" w:space="0" w:color="auto"/>
        <w:left w:val="none" w:sz="0" w:space="0" w:color="auto"/>
        <w:bottom w:val="none" w:sz="0" w:space="0" w:color="auto"/>
        <w:right w:val="none" w:sz="0" w:space="0" w:color="auto"/>
      </w:divBdr>
    </w:div>
    <w:div w:id="1828934487">
      <w:bodyDiv w:val="1"/>
      <w:marLeft w:val="0"/>
      <w:marRight w:val="0"/>
      <w:marTop w:val="0"/>
      <w:marBottom w:val="0"/>
      <w:divBdr>
        <w:top w:val="none" w:sz="0" w:space="0" w:color="auto"/>
        <w:left w:val="none" w:sz="0" w:space="0" w:color="auto"/>
        <w:bottom w:val="none" w:sz="0" w:space="0" w:color="auto"/>
        <w:right w:val="none" w:sz="0" w:space="0" w:color="auto"/>
      </w:divBdr>
    </w:div>
    <w:div w:id="1854147156">
      <w:bodyDiv w:val="1"/>
      <w:marLeft w:val="0"/>
      <w:marRight w:val="0"/>
      <w:marTop w:val="0"/>
      <w:marBottom w:val="0"/>
      <w:divBdr>
        <w:top w:val="none" w:sz="0" w:space="0" w:color="auto"/>
        <w:left w:val="none" w:sz="0" w:space="0" w:color="auto"/>
        <w:bottom w:val="none" w:sz="0" w:space="0" w:color="auto"/>
        <w:right w:val="none" w:sz="0" w:space="0" w:color="auto"/>
      </w:divBdr>
    </w:div>
    <w:div w:id="1957592244">
      <w:bodyDiv w:val="1"/>
      <w:marLeft w:val="0"/>
      <w:marRight w:val="0"/>
      <w:marTop w:val="0"/>
      <w:marBottom w:val="0"/>
      <w:divBdr>
        <w:top w:val="none" w:sz="0" w:space="0" w:color="auto"/>
        <w:left w:val="none" w:sz="0" w:space="0" w:color="auto"/>
        <w:bottom w:val="none" w:sz="0" w:space="0" w:color="auto"/>
        <w:right w:val="none" w:sz="0" w:space="0" w:color="auto"/>
      </w:divBdr>
    </w:div>
    <w:div w:id="2079859812">
      <w:bodyDiv w:val="1"/>
      <w:marLeft w:val="0"/>
      <w:marRight w:val="0"/>
      <w:marTop w:val="0"/>
      <w:marBottom w:val="0"/>
      <w:divBdr>
        <w:top w:val="none" w:sz="0" w:space="0" w:color="auto"/>
        <w:left w:val="none" w:sz="0" w:space="0" w:color="auto"/>
        <w:bottom w:val="none" w:sz="0" w:space="0" w:color="auto"/>
        <w:right w:val="none" w:sz="0" w:space="0" w:color="auto"/>
      </w:divBdr>
    </w:div>
    <w:div w:id="21062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21DD8-EB78-4108-B60D-8E346AF5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Eileen Larkin</cp:lastModifiedBy>
  <cp:revision>3</cp:revision>
  <cp:lastPrinted>2019-10-02T14:46:00Z</cp:lastPrinted>
  <dcterms:created xsi:type="dcterms:W3CDTF">2019-10-04T14:32:00Z</dcterms:created>
  <dcterms:modified xsi:type="dcterms:W3CDTF">2019-10-04T14:55:00Z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1067446650</vt:i4>
  </property>
  <property fmtid="{D5CDD505-2E9C-101B-9397-08002B2CF9AE}" pid="3" name="_NewReviewCycle">
    <vt:lpwstr/>
  </property>
  <property fmtid="{D5CDD505-2E9C-101B-9397-08002B2CF9AE}" pid="4" name="_EmailSubject">
    <vt:lpwstr>Schools Forum -  - Website </vt:lpwstr>
  </property>
  <property fmtid="{D5CDD505-2E9C-101B-9397-08002B2CF9AE}" pid="5" name="_AuthorEmail">
    <vt:lpwstr>Eileen.Larkin@hartlepool.gov.uk</vt:lpwstr>
  </property>
  <property fmtid="{D5CDD505-2E9C-101B-9397-08002B2CF9AE}" pid="6" name="_AuthorEmailDisplayName">
    <vt:lpwstr>Eileen Larkin</vt:lpwstr>
  </property>
  <property fmtid="{D5CDD505-2E9C-101B-9397-08002B2CF9AE}" pid="7" name="_PreviousAdHocReviewCycleID">
    <vt:i4>121265821</vt:i4>
  </property>
</Properties>
</file>