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C497C" w14:textId="77777777" w:rsidR="003871F0" w:rsidRPr="00107F84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07F84">
        <w:rPr>
          <w:rFonts w:ascii="Arial" w:hAnsi="Arial" w:cs="Arial"/>
          <w:b/>
          <w:bCs/>
        </w:rPr>
        <w:t xml:space="preserve">Report to Hartlepool Schools’ Forum </w:t>
      </w:r>
      <w:r w:rsidR="00BC3D28">
        <w:rPr>
          <w:rFonts w:ascii="Arial" w:hAnsi="Arial" w:cs="Arial"/>
          <w:b/>
          <w:bCs/>
        </w:rPr>
        <w:t>26 Nov</w:t>
      </w:r>
      <w:r w:rsidR="003E16A5">
        <w:rPr>
          <w:rFonts w:ascii="Arial" w:hAnsi="Arial" w:cs="Arial"/>
          <w:b/>
          <w:bCs/>
        </w:rPr>
        <w:t>ember</w:t>
      </w:r>
      <w:r w:rsidR="009E43D5">
        <w:rPr>
          <w:rFonts w:ascii="Arial" w:hAnsi="Arial" w:cs="Arial"/>
          <w:b/>
          <w:bCs/>
        </w:rPr>
        <w:t xml:space="preserve"> 2019</w:t>
      </w:r>
    </w:p>
    <w:p w14:paraId="65CBE7D2" w14:textId="77777777" w:rsidR="003871F0" w:rsidRPr="00BD5981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EC2B20">
        <w:rPr>
          <w:rFonts w:ascii="Arial" w:hAnsi="Arial" w:cs="Arial"/>
          <w:b/>
          <w:bCs/>
        </w:rPr>
        <w:t>Danielle Swainston</w:t>
      </w:r>
      <w:r w:rsidR="00F94AE0">
        <w:rPr>
          <w:rFonts w:ascii="Arial" w:hAnsi="Arial" w:cs="Arial"/>
          <w:b/>
          <w:bCs/>
        </w:rPr>
        <w:t xml:space="preserve"> – </w:t>
      </w:r>
      <w:r w:rsidR="00EC2B20" w:rsidRPr="00EC2B20">
        <w:rPr>
          <w:rFonts w:ascii="Arial" w:hAnsi="Arial" w:cs="Arial"/>
          <w:b/>
          <w:color w:val="000000"/>
          <w:lang w:val="en-US"/>
        </w:rPr>
        <w:t>Assistant Director, Joint Commissioning</w:t>
      </w:r>
      <w:r w:rsidR="00EC2B20">
        <w:rPr>
          <w:rFonts w:ascii="Arial" w:hAnsi="Arial" w:cs="Arial"/>
          <w:color w:val="000000"/>
          <w:lang w:val="en-US"/>
        </w:rPr>
        <w:t> </w:t>
      </w:r>
    </w:p>
    <w:p w14:paraId="5A8951F5" w14:textId="77777777" w:rsidR="001F2A93" w:rsidRDefault="001F2A93"/>
    <w:p w14:paraId="611A08B5" w14:textId="0656A5E6" w:rsidR="003871F0" w:rsidRDefault="00E471C6" w:rsidP="003871F0">
      <w:pPr>
        <w:jc w:val="center"/>
        <w:rPr>
          <w:rFonts w:ascii="Arial" w:hAnsi="Arial" w:cs="Arial"/>
          <w:b/>
          <w:u w:val="single"/>
        </w:rPr>
      </w:pPr>
      <w:r w:rsidRPr="00171A1E">
        <w:rPr>
          <w:rFonts w:ascii="Arial" w:hAnsi="Arial" w:cs="Arial"/>
          <w:b/>
          <w:u w:val="single"/>
        </w:rPr>
        <w:t xml:space="preserve">Item </w:t>
      </w:r>
      <w:r w:rsidR="00171A1E" w:rsidRPr="00171A1E">
        <w:rPr>
          <w:rFonts w:ascii="Arial" w:hAnsi="Arial" w:cs="Arial"/>
          <w:b/>
          <w:u w:val="single"/>
        </w:rPr>
        <w:t>5</w:t>
      </w:r>
      <w:r w:rsidRPr="00171A1E">
        <w:rPr>
          <w:rFonts w:ascii="Arial" w:hAnsi="Arial" w:cs="Arial"/>
          <w:b/>
          <w:u w:val="single"/>
        </w:rPr>
        <w:t xml:space="preserve">: </w:t>
      </w:r>
      <w:r w:rsidR="003871F0" w:rsidRPr="00171A1E">
        <w:rPr>
          <w:rFonts w:ascii="Arial" w:hAnsi="Arial" w:cs="Arial"/>
          <w:b/>
          <w:u w:val="single"/>
        </w:rPr>
        <w:t>High</w:t>
      </w:r>
      <w:r w:rsidR="003871F0">
        <w:rPr>
          <w:rFonts w:ascii="Arial" w:hAnsi="Arial" w:cs="Arial"/>
          <w:b/>
          <w:u w:val="single"/>
        </w:rPr>
        <w:t xml:space="preserve"> </w:t>
      </w:r>
      <w:r w:rsidR="003E16A5">
        <w:rPr>
          <w:rFonts w:ascii="Arial" w:hAnsi="Arial" w:cs="Arial"/>
          <w:b/>
          <w:u w:val="single"/>
        </w:rPr>
        <w:t>Needs Projected Outturn 2019/20</w:t>
      </w:r>
    </w:p>
    <w:p w14:paraId="3ECCE664" w14:textId="77777777" w:rsidR="003871F0" w:rsidRDefault="003871F0" w:rsidP="003871F0">
      <w:pPr>
        <w:jc w:val="center"/>
        <w:rPr>
          <w:rFonts w:ascii="Arial" w:hAnsi="Arial" w:cs="Arial"/>
          <w:b/>
          <w:u w:val="single"/>
        </w:rPr>
      </w:pPr>
    </w:p>
    <w:p w14:paraId="55AF4D9D" w14:textId="77777777" w:rsidR="0026631E" w:rsidRPr="0026631E" w:rsidRDefault="0026631E" w:rsidP="0026631E">
      <w:pPr>
        <w:pStyle w:val="ListParagraph"/>
        <w:rPr>
          <w:rFonts w:ascii="Arial" w:hAnsi="Arial" w:cs="Arial"/>
        </w:rPr>
      </w:pPr>
    </w:p>
    <w:p w14:paraId="41415E38" w14:textId="77777777" w:rsidR="003871F0" w:rsidRPr="003871F0" w:rsidRDefault="003871F0" w:rsidP="002F069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Introduction</w:t>
      </w:r>
    </w:p>
    <w:p w14:paraId="03C8708D" w14:textId="77777777" w:rsidR="009357D5" w:rsidRDefault="009357D5" w:rsidP="003871F0">
      <w:pPr>
        <w:ind w:left="360"/>
        <w:rPr>
          <w:rFonts w:ascii="Arial" w:hAnsi="Arial" w:cs="Arial"/>
        </w:rPr>
      </w:pPr>
    </w:p>
    <w:p w14:paraId="3B927B68" w14:textId="77777777" w:rsidR="0026631E" w:rsidRPr="00A315BC" w:rsidRDefault="00771B60" w:rsidP="002E09AD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  <w:b/>
          <w:u w:val="single"/>
        </w:rPr>
      </w:pPr>
      <w:r w:rsidRPr="00A315BC">
        <w:rPr>
          <w:rFonts w:ascii="Arial" w:hAnsi="Arial" w:cs="Arial"/>
        </w:rPr>
        <w:t>This report</w:t>
      </w:r>
      <w:r w:rsidR="00B72C8B" w:rsidRPr="00A315BC">
        <w:rPr>
          <w:rFonts w:ascii="Arial" w:hAnsi="Arial" w:cs="Arial"/>
        </w:rPr>
        <w:t xml:space="preserve"> </w:t>
      </w:r>
      <w:r w:rsidR="003E16A5" w:rsidRPr="00A315BC">
        <w:rPr>
          <w:rFonts w:ascii="Arial" w:hAnsi="Arial" w:cs="Arial"/>
        </w:rPr>
        <w:t>provide</w:t>
      </w:r>
      <w:r w:rsidRPr="00A315BC">
        <w:rPr>
          <w:rFonts w:ascii="Arial" w:hAnsi="Arial" w:cs="Arial"/>
        </w:rPr>
        <w:t>s</w:t>
      </w:r>
      <w:r w:rsidR="003E16A5" w:rsidRPr="00A315BC">
        <w:rPr>
          <w:rFonts w:ascii="Arial" w:hAnsi="Arial" w:cs="Arial"/>
        </w:rPr>
        <w:t xml:space="preserve"> an estimated outturn for spending against the high needs block </w:t>
      </w:r>
      <w:r w:rsidR="00A315BC" w:rsidRPr="00A315BC">
        <w:rPr>
          <w:rFonts w:ascii="Arial" w:hAnsi="Arial" w:cs="Arial"/>
        </w:rPr>
        <w:t xml:space="preserve">for </w:t>
      </w:r>
      <w:r w:rsidR="003E16A5" w:rsidRPr="00A315BC">
        <w:rPr>
          <w:rFonts w:ascii="Arial" w:hAnsi="Arial" w:cs="Arial"/>
        </w:rPr>
        <w:t>2019/20.</w:t>
      </w:r>
    </w:p>
    <w:p w14:paraId="7D9528BB" w14:textId="77777777" w:rsidR="00771B60" w:rsidRDefault="00771B60" w:rsidP="0026631E">
      <w:pPr>
        <w:pStyle w:val="ListParagraph"/>
        <w:rPr>
          <w:rFonts w:ascii="Arial" w:hAnsi="Arial" w:cs="Arial"/>
          <w:b/>
          <w:u w:val="single"/>
        </w:rPr>
      </w:pPr>
    </w:p>
    <w:p w14:paraId="5E4899F9" w14:textId="77777777" w:rsidR="003871F0" w:rsidRPr="0026631E" w:rsidRDefault="003871F0" w:rsidP="0026631E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u w:val="single"/>
        </w:rPr>
      </w:pPr>
      <w:r w:rsidRPr="0026631E">
        <w:rPr>
          <w:rFonts w:ascii="Arial" w:hAnsi="Arial" w:cs="Arial"/>
          <w:b/>
          <w:u w:val="single"/>
        </w:rPr>
        <w:t>Background</w:t>
      </w:r>
    </w:p>
    <w:p w14:paraId="2247D208" w14:textId="77777777" w:rsidR="009357D5" w:rsidRDefault="009357D5" w:rsidP="009357D5">
      <w:pPr>
        <w:pStyle w:val="ListParagraph"/>
        <w:rPr>
          <w:rFonts w:ascii="Arial" w:hAnsi="Arial" w:cs="Arial"/>
          <w:b/>
          <w:u w:val="single"/>
        </w:rPr>
      </w:pPr>
    </w:p>
    <w:p w14:paraId="385137F3" w14:textId="77777777" w:rsidR="00ED4F3E" w:rsidRPr="00ED4F3E" w:rsidRDefault="0025655E" w:rsidP="0040116D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Owing</w:t>
      </w:r>
      <w:r w:rsidR="003E16A5">
        <w:rPr>
          <w:rFonts w:ascii="Arial" w:hAnsi="Arial" w:cs="Arial"/>
        </w:rPr>
        <w:t xml:space="preserve"> to the continuing financial pressure on</w:t>
      </w:r>
      <w:r w:rsidR="00ED4F3E" w:rsidRPr="00ED4F3E">
        <w:rPr>
          <w:rFonts w:ascii="Arial" w:hAnsi="Arial" w:cs="Arial"/>
        </w:rPr>
        <w:t xml:space="preserve"> high needs spending</w:t>
      </w:r>
      <w:r w:rsidR="003E16A5">
        <w:rPr>
          <w:rFonts w:ascii="Arial" w:hAnsi="Arial" w:cs="Arial"/>
        </w:rPr>
        <w:t>, Forum are presented with regular updates on outturn projections.</w:t>
      </w:r>
      <w:r w:rsidR="00BC3D28">
        <w:rPr>
          <w:rFonts w:ascii="Arial" w:hAnsi="Arial" w:cs="Arial"/>
        </w:rPr>
        <w:t xml:space="preserve"> Forum received a forecast outturn on 13 September 2019. </w:t>
      </w:r>
      <w:r w:rsidR="003E16A5">
        <w:rPr>
          <w:rFonts w:ascii="Arial" w:hAnsi="Arial" w:cs="Arial"/>
        </w:rPr>
        <w:t xml:space="preserve">This report </w:t>
      </w:r>
      <w:r w:rsidR="00BC3D28">
        <w:rPr>
          <w:rFonts w:ascii="Arial" w:hAnsi="Arial" w:cs="Arial"/>
        </w:rPr>
        <w:t xml:space="preserve">provides an updated projected outturn position </w:t>
      </w:r>
      <w:r w:rsidR="003E16A5">
        <w:rPr>
          <w:rFonts w:ascii="Arial" w:hAnsi="Arial" w:cs="Arial"/>
        </w:rPr>
        <w:t>for 2019/20.</w:t>
      </w:r>
    </w:p>
    <w:p w14:paraId="1EDC4437" w14:textId="77777777" w:rsidR="0040116D" w:rsidRPr="002F069C" w:rsidRDefault="00ED4F3E" w:rsidP="00ED4F3E">
      <w:pPr>
        <w:pStyle w:val="ListParagraph"/>
        <w:ind w:left="786"/>
        <w:rPr>
          <w:rFonts w:ascii="Arial" w:hAnsi="Arial" w:cs="Arial"/>
          <w:color w:val="FF0000"/>
        </w:rPr>
      </w:pPr>
      <w:r w:rsidRPr="00ED4F3E">
        <w:rPr>
          <w:rFonts w:ascii="Arial" w:hAnsi="Arial" w:cs="Arial"/>
          <w:color w:val="FF0000"/>
        </w:rPr>
        <w:t xml:space="preserve"> </w:t>
      </w:r>
    </w:p>
    <w:p w14:paraId="0331AAC8" w14:textId="77777777" w:rsidR="0040116D" w:rsidRPr="00ED4F3E" w:rsidRDefault="0040116D" w:rsidP="0040116D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Schools</w:t>
      </w:r>
      <w:r w:rsidR="004E613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Forum </w:t>
      </w:r>
      <w:r w:rsidR="003E16A5">
        <w:rPr>
          <w:rFonts w:ascii="Arial" w:hAnsi="Arial" w:cs="Arial"/>
        </w:rPr>
        <w:t>will recall that £0.621</w:t>
      </w:r>
      <w:r w:rsidR="00ED4F3E">
        <w:rPr>
          <w:rFonts w:ascii="Arial" w:hAnsi="Arial" w:cs="Arial"/>
        </w:rPr>
        <w:t xml:space="preserve">m </w:t>
      </w:r>
      <w:r w:rsidR="003E16A5">
        <w:rPr>
          <w:rFonts w:ascii="Arial" w:hAnsi="Arial" w:cs="Arial"/>
        </w:rPr>
        <w:t xml:space="preserve">was transferred </w:t>
      </w:r>
      <w:r w:rsidR="00ED4F3E">
        <w:rPr>
          <w:rFonts w:ascii="Arial" w:hAnsi="Arial" w:cs="Arial"/>
        </w:rPr>
        <w:t xml:space="preserve">from the </w:t>
      </w:r>
      <w:r w:rsidR="00273464">
        <w:rPr>
          <w:rFonts w:ascii="Arial" w:hAnsi="Arial" w:cs="Arial"/>
        </w:rPr>
        <w:t>Schools</w:t>
      </w:r>
      <w:r w:rsidR="00F967A3">
        <w:rPr>
          <w:rFonts w:ascii="Arial" w:hAnsi="Arial" w:cs="Arial"/>
        </w:rPr>
        <w:t>’</w:t>
      </w:r>
      <w:r w:rsidR="00273464">
        <w:rPr>
          <w:rFonts w:ascii="Arial" w:hAnsi="Arial" w:cs="Arial"/>
        </w:rPr>
        <w:t xml:space="preserve"> B</w:t>
      </w:r>
      <w:r w:rsidR="00ED4F3E">
        <w:rPr>
          <w:rFonts w:ascii="Arial" w:hAnsi="Arial" w:cs="Arial"/>
        </w:rPr>
        <w:t xml:space="preserve">lock to the </w:t>
      </w:r>
      <w:r w:rsidR="00273464">
        <w:rPr>
          <w:rFonts w:ascii="Arial" w:hAnsi="Arial" w:cs="Arial"/>
        </w:rPr>
        <w:t xml:space="preserve">High Needs Block </w:t>
      </w:r>
      <w:r w:rsidR="003E16A5">
        <w:rPr>
          <w:rFonts w:ascii="Arial" w:hAnsi="Arial" w:cs="Arial"/>
        </w:rPr>
        <w:t xml:space="preserve">as part of 2019/20 budget setting to </w:t>
      </w:r>
      <w:r w:rsidR="00ED4F3E">
        <w:rPr>
          <w:rFonts w:ascii="Arial" w:hAnsi="Arial" w:cs="Arial"/>
        </w:rPr>
        <w:t xml:space="preserve">support the projected </w:t>
      </w:r>
      <w:r w:rsidR="003E16A5">
        <w:rPr>
          <w:rFonts w:ascii="Arial" w:hAnsi="Arial" w:cs="Arial"/>
        </w:rPr>
        <w:t>budget requirement.</w:t>
      </w:r>
    </w:p>
    <w:p w14:paraId="237161FF" w14:textId="77777777" w:rsidR="00ED4F3E" w:rsidRPr="00ED4F3E" w:rsidRDefault="00ED4F3E" w:rsidP="00ED4F3E">
      <w:pPr>
        <w:pStyle w:val="ListParagraph"/>
        <w:rPr>
          <w:rFonts w:ascii="Arial" w:hAnsi="Arial" w:cs="Arial"/>
        </w:rPr>
      </w:pPr>
    </w:p>
    <w:p w14:paraId="4FC934FA" w14:textId="77777777" w:rsidR="0040116D" w:rsidRPr="0040116D" w:rsidRDefault="003E16A5" w:rsidP="003E16A5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government provided £0.209m of additional funding in 2019/20. This is the second year of the </w:t>
      </w:r>
      <w:r w:rsidR="00E213DA">
        <w:rPr>
          <w:rFonts w:ascii="Arial" w:hAnsi="Arial" w:cs="Arial"/>
        </w:rPr>
        <w:t xml:space="preserve">2-year </w:t>
      </w:r>
      <w:r>
        <w:rPr>
          <w:rFonts w:ascii="Arial" w:hAnsi="Arial" w:cs="Arial"/>
        </w:rPr>
        <w:t>late additional funding announcement made in December 2018.</w:t>
      </w:r>
      <w:r w:rsidRPr="0040116D">
        <w:rPr>
          <w:rFonts w:ascii="Arial" w:hAnsi="Arial" w:cs="Arial"/>
        </w:rPr>
        <w:t xml:space="preserve"> </w:t>
      </w:r>
    </w:p>
    <w:p w14:paraId="75023448" w14:textId="77777777" w:rsidR="0026631E" w:rsidRDefault="0026631E" w:rsidP="0026631E">
      <w:pPr>
        <w:pStyle w:val="ListParagraph"/>
        <w:rPr>
          <w:rFonts w:ascii="Arial" w:hAnsi="Arial" w:cs="Arial"/>
          <w:b/>
        </w:rPr>
      </w:pPr>
    </w:p>
    <w:p w14:paraId="709CA9B6" w14:textId="77777777" w:rsidR="00771B60" w:rsidRPr="0026631E" w:rsidRDefault="00771B60" w:rsidP="0026631E">
      <w:pPr>
        <w:pStyle w:val="ListParagraph"/>
        <w:rPr>
          <w:rFonts w:ascii="Arial" w:hAnsi="Arial" w:cs="Arial"/>
          <w:b/>
        </w:rPr>
      </w:pPr>
    </w:p>
    <w:p w14:paraId="45279930" w14:textId="77777777" w:rsidR="002F069C" w:rsidRDefault="003E16A5" w:rsidP="004011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2019/20</w:t>
      </w:r>
      <w:r w:rsidR="00ED4F3E">
        <w:rPr>
          <w:rFonts w:ascii="Arial" w:hAnsi="Arial" w:cs="Arial"/>
          <w:b/>
          <w:u w:val="single"/>
        </w:rPr>
        <w:t xml:space="preserve"> Funding</w:t>
      </w:r>
    </w:p>
    <w:p w14:paraId="1B2C99D6" w14:textId="77777777" w:rsidR="002F069C" w:rsidRDefault="002F069C" w:rsidP="002F069C">
      <w:pPr>
        <w:rPr>
          <w:rFonts w:ascii="Arial" w:hAnsi="Arial" w:cs="Arial"/>
          <w:b/>
        </w:rPr>
      </w:pPr>
    </w:p>
    <w:p w14:paraId="19166097" w14:textId="77777777" w:rsidR="00BC3D28" w:rsidRDefault="002F069C" w:rsidP="00BC3D28">
      <w:pPr>
        <w:ind w:left="720" w:hanging="720"/>
        <w:rPr>
          <w:rFonts w:ascii="Arial" w:hAnsi="Arial" w:cs="Arial"/>
        </w:rPr>
      </w:pPr>
      <w:r w:rsidRPr="002F069C"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BC3D28">
        <w:rPr>
          <w:rFonts w:ascii="Arial" w:hAnsi="Arial" w:cs="Arial"/>
        </w:rPr>
        <w:t>As outlined in the report to Forum on 13 September 2019, high needs block funding for 2019/20 has reduced by £0.168m from the original allocation.</w:t>
      </w:r>
    </w:p>
    <w:p w14:paraId="0A843D07" w14:textId="77777777" w:rsidR="00BC3D28" w:rsidRDefault="00BC3D28" w:rsidP="00BC3D28">
      <w:pPr>
        <w:ind w:left="720" w:hanging="720"/>
        <w:rPr>
          <w:rFonts w:ascii="Arial" w:hAnsi="Arial" w:cs="Arial"/>
        </w:rPr>
      </w:pPr>
    </w:p>
    <w:p w14:paraId="0E25E38D" w14:textId="77777777" w:rsidR="00BC3D28" w:rsidRDefault="00BC3D28" w:rsidP="00BC3D2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 xml:space="preserve">The reduction in funding relates to an adjustment for the import / export factor within the high needs formula applied in July 2019. The adjustment relates to the change of status for 28 places at </w:t>
      </w:r>
      <w:proofErr w:type="spellStart"/>
      <w:r>
        <w:rPr>
          <w:rFonts w:ascii="Arial" w:hAnsi="Arial" w:cs="Arial"/>
        </w:rPr>
        <w:t>Catcote</w:t>
      </w:r>
      <w:proofErr w:type="spellEnd"/>
      <w:r>
        <w:rPr>
          <w:rFonts w:ascii="Arial" w:hAnsi="Arial" w:cs="Arial"/>
        </w:rPr>
        <w:t xml:space="preserve"> SPI (Special Post-16 Institution). </w:t>
      </w:r>
    </w:p>
    <w:p w14:paraId="5E975FED" w14:textId="77777777" w:rsidR="00BC3D28" w:rsidRDefault="00BC3D28" w:rsidP="00BC3D28">
      <w:pPr>
        <w:ind w:left="720" w:hanging="720"/>
        <w:rPr>
          <w:rFonts w:ascii="Arial" w:hAnsi="Arial" w:cs="Arial"/>
        </w:rPr>
      </w:pPr>
    </w:p>
    <w:p w14:paraId="254B24EC" w14:textId="77777777" w:rsidR="002F069C" w:rsidRPr="004E4BFB" w:rsidRDefault="0045093E" w:rsidP="0040116D">
      <w:p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741D19" w:rsidRPr="00741D19">
        <w:rPr>
          <w:rFonts w:ascii="Arial" w:hAnsi="Arial" w:cs="Arial"/>
          <w:b/>
        </w:rPr>
        <w:t xml:space="preserve">. </w:t>
      </w:r>
      <w:r w:rsidR="00741D19" w:rsidRPr="00741D19">
        <w:rPr>
          <w:rFonts w:ascii="Arial" w:hAnsi="Arial" w:cs="Arial"/>
          <w:b/>
        </w:rPr>
        <w:tab/>
      </w:r>
      <w:r w:rsidR="00741D19" w:rsidRPr="00741D19">
        <w:rPr>
          <w:rFonts w:ascii="Arial" w:hAnsi="Arial" w:cs="Arial"/>
          <w:b/>
        </w:rPr>
        <w:tab/>
      </w:r>
      <w:r w:rsidR="005C0147">
        <w:rPr>
          <w:rFonts w:ascii="Arial" w:hAnsi="Arial" w:cs="Arial"/>
          <w:b/>
          <w:u w:val="single"/>
        </w:rPr>
        <w:t>2019/20 Projected</w:t>
      </w:r>
      <w:r w:rsidR="002F069C" w:rsidRPr="004E4BFB">
        <w:rPr>
          <w:rFonts w:ascii="Arial" w:hAnsi="Arial" w:cs="Arial"/>
          <w:b/>
          <w:u w:val="single"/>
        </w:rPr>
        <w:t xml:space="preserve"> </w:t>
      </w:r>
      <w:r w:rsidR="0026631E">
        <w:rPr>
          <w:rFonts w:ascii="Arial" w:hAnsi="Arial" w:cs="Arial"/>
          <w:b/>
          <w:u w:val="single"/>
        </w:rPr>
        <w:t>Expenditure</w:t>
      </w:r>
    </w:p>
    <w:p w14:paraId="4ED42655" w14:textId="77777777" w:rsidR="0051311E" w:rsidRDefault="0051311E" w:rsidP="0040116D">
      <w:pPr>
        <w:ind w:left="360" w:hanging="360"/>
        <w:rPr>
          <w:rFonts w:ascii="Arial" w:hAnsi="Arial" w:cs="Arial"/>
        </w:rPr>
      </w:pPr>
    </w:p>
    <w:p w14:paraId="3BCF785A" w14:textId="03B107A1" w:rsidR="0051272C" w:rsidRDefault="002B4790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771B60">
        <w:rPr>
          <w:rFonts w:ascii="Arial" w:hAnsi="Arial" w:cs="Arial"/>
        </w:rPr>
        <w:t xml:space="preserve">Original </w:t>
      </w:r>
      <w:r w:rsidR="00FB6CDF">
        <w:rPr>
          <w:rFonts w:ascii="Arial" w:hAnsi="Arial" w:cs="Arial"/>
        </w:rPr>
        <w:t>b</w:t>
      </w:r>
      <w:r w:rsidR="00771B60">
        <w:rPr>
          <w:rFonts w:ascii="Arial" w:hAnsi="Arial" w:cs="Arial"/>
        </w:rPr>
        <w:t>u</w:t>
      </w:r>
      <w:r w:rsidR="0051272C">
        <w:rPr>
          <w:rFonts w:ascii="Arial" w:hAnsi="Arial" w:cs="Arial"/>
        </w:rPr>
        <w:t>dgets in 2019/20 for high needs spending amount</w:t>
      </w:r>
      <w:r w:rsidR="00771B60">
        <w:rPr>
          <w:rFonts w:ascii="Arial" w:hAnsi="Arial" w:cs="Arial"/>
        </w:rPr>
        <w:t>ed</w:t>
      </w:r>
      <w:r w:rsidR="0051272C">
        <w:rPr>
          <w:rFonts w:ascii="Arial" w:hAnsi="Arial" w:cs="Arial"/>
        </w:rPr>
        <w:t xml:space="preserve"> to £9.745m</w:t>
      </w:r>
      <w:r w:rsidR="00771B60">
        <w:rPr>
          <w:rFonts w:ascii="Arial" w:hAnsi="Arial" w:cs="Arial"/>
        </w:rPr>
        <w:t>. The overall budget has now been reduced by the £0.168m adjustment</w:t>
      </w:r>
      <w:r w:rsidR="006763FB">
        <w:rPr>
          <w:rFonts w:ascii="Arial" w:hAnsi="Arial" w:cs="Arial"/>
        </w:rPr>
        <w:t xml:space="preserve"> explained at section 3 of this report</w:t>
      </w:r>
      <w:r w:rsidR="00771B60">
        <w:rPr>
          <w:rFonts w:ascii="Arial" w:hAnsi="Arial" w:cs="Arial"/>
        </w:rPr>
        <w:t>. The amended budget of £9.577m is</w:t>
      </w:r>
      <w:r w:rsidR="0051272C">
        <w:rPr>
          <w:rFonts w:ascii="Arial" w:hAnsi="Arial" w:cs="Arial"/>
        </w:rPr>
        <w:t xml:space="preserve"> shown in the table below. </w:t>
      </w:r>
    </w:p>
    <w:p w14:paraId="2148D6A2" w14:textId="77777777" w:rsidR="004560D4" w:rsidRDefault="004560D4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4678" w:type="dxa"/>
        <w:tblInd w:w="641" w:type="dxa"/>
        <w:tblLook w:val="04A0" w:firstRow="1" w:lastRow="0" w:firstColumn="1" w:lastColumn="0" w:noHBand="0" w:noVBand="1"/>
      </w:tblPr>
      <w:tblGrid>
        <w:gridCol w:w="3402"/>
        <w:gridCol w:w="1276"/>
      </w:tblGrid>
      <w:tr w:rsidR="004560D4" w:rsidRPr="006670F8" w14:paraId="61C7FB98" w14:textId="77777777" w:rsidTr="004560D4"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5ED8B3" w14:textId="77777777" w:rsidR="004560D4" w:rsidRPr="006670F8" w:rsidRDefault="004560D4" w:rsidP="004560D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High Needs Budget 2019/20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AC0852" w14:textId="77777777" w:rsidR="004560D4" w:rsidRPr="006670F8" w:rsidRDefault="004560D4" w:rsidP="004D5C1E">
            <w:pPr>
              <w:jc w:val="right"/>
              <w:rPr>
                <w:rFonts w:ascii="Arial" w:hAnsi="Arial" w:cs="Arial"/>
                <w:color w:val="FFFFFF"/>
              </w:rPr>
            </w:pPr>
            <w:r w:rsidRPr="006670F8"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</w:tr>
      <w:tr w:rsidR="004560D4" w:rsidRPr="006670F8" w14:paraId="18BA4D9A" w14:textId="77777777" w:rsidTr="004560D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E3D4" w14:textId="77777777" w:rsidR="004560D4" w:rsidRDefault="004560D4" w:rsidP="004D5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Place funding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22F7" w14:textId="77777777" w:rsidR="004560D4" w:rsidRDefault="004560D4" w:rsidP="004D5C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1.426</w:t>
            </w:r>
          </w:p>
        </w:tc>
      </w:tr>
      <w:tr w:rsidR="004560D4" w:rsidRPr="006670F8" w14:paraId="2A7AE6F5" w14:textId="77777777" w:rsidTr="004560D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7C4" w14:textId="77777777" w:rsidR="004560D4" w:rsidRPr="0026631E" w:rsidRDefault="004560D4" w:rsidP="004D5C1E">
            <w:pPr>
              <w:rPr>
                <w:rFonts w:ascii="Arial" w:hAnsi="Arial" w:cs="Arial"/>
                <w:color w:val="000000"/>
              </w:rPr>
            </w:pPr>
            <w:r w:rsidRPr="0026631E">
              <w:rPr>
                <w:rFonts w:ascii="Arial" w:hAnsi="Arial" w:cs="Arial"/>
                <w:color w:val="000000"/>
                <w:sz w:val="22"/>
                <w:szCs w:val="22"/>
              </w:rPr>
              <w:t>Independent school fees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743C" w14:textId="77777777" w:rsidR="004560D4" w:rsidRPr="0026631E" w:rsidRDefault="004560D4" w:rsidP="004D5C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2.460</w:t>
            </w:r>
          </w:p>
        </w:tc>
      </w:tr>
      <w:tr w:rsidR="004560D4" w:rsidRPr="006670F8" w14:paraId="3C3E05D2" w14:textId="77777777" w:rsidTr="004560D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195" w14:textId="77777777" w:rsidR="004560D4" w:rsidRPr="0026631E" w:rsidRDefault="004560D4" w:rsidP="004D5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Out of authority top-ups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4D09" w14:textId="77777777" w:rsidR="004560D4" w:rsidRPr="004560D4" w:rsidRDefault="004560D4" w:rsidP="004560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0.405</w:t>
            </w:r>
          </w:p>
        </w:tc>
      </w:tr>
      <w:tr w:rsidR="004560D4" w:rsidRPr="006670F8" w14:paraId="2B99E089" w14:textId="77777777" w:rsidTr="004560D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21EE" w14:textId="77777777" w:rsidR="004560D4" w:rsidRPr="004560D4" w:rsidRDefault="004560D4" w:rsidP="004D5C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Top-up funding and support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CBA" w14:textId="77777777" w:rsidR="004560D4" w:rsidRPr="0026631E" w:rsidRDefault="004560D4" w:rsidP="004D5C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4.135</w:t>
            </w:r>
          </w:p>
        </w:tc>
      </w:tr>
      <w:tr w:rsidR="004560D4" w:rsidRPr="006670F8" w14:paraId="1DDC880E" w14:textId="77777777" w:rsidTr="004560D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B000" w14:textId="77777777" w:rsidR="004560D4" w:rsidRDefault="004560D4" w:rsidP="004D5C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Exclusions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CDBC" w14:textId="77777777" w:rsidR="004560D4" w:rsidRDefault="004560D4" w:rsidP="004D5C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0.132</w:t>
            </w:r>
          </w:p>
        </w:tc>
      </w:tr>
      <w:tr w:rsidR="004560D4" w:rsidRPr="006670F8" w14:paraId="2521576A" w14:textId="77777777" w:rsidTr="004560D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400" w14:textId="77777777" w:rsidR="004560D4" w:rsidRDefault="004560D4" w:rsidP="004D5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Post-16 top-up funding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6F57" w14:textId="77777777" w:rsidR="004560D4" w:rsidRDefault="004560D4" w:rsidP="004D5C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0.720</w:t>
            </w:r>
          </w:p>
        </w:tc>
      </w:tr>
      <w:tr w:rsidR="004560D4" w:rsidRPr="006670F8" w14:paraId="657C350B" w14:textId="77777777" w:rsidTr="004560D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4C30" w14:textId="77777777" w:rsidR="004560D4" w:rsidRDefault="004560D4" w:rsidP="004D5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Support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7646" w14:textId="77777777" w:rsidR="004560D4" w:rsidRDefault="004560D4" w:rsidP="004D5C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0.467</w:t>
            </w:r>
          </w:p>
        </w:tc>
      </w:tr>
      <w:tr w:rsidR="00771B60" w:rsidRPr="006670F8" w14:paraId="75323D56" w14:textId="77777777" w:rsidTr="004560D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CA20" w14:textId="77777777" w:rsidR="00771B60" w:rsidRDefault="00771B60" w:rsidP="004D5C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Import / export adjustment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1362" w14:textId="77777777" w:rsidR="00771B60" w:rsidRDefault="00771B60" w:rsidP="004D5C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(0.168)</w:t>
            </w:r>
          </w:p>
        </w:tc>
      </w:tr>
      <w:tr w:rsidR="004560D4" w:rsidRPr="006670F8" w14:paraId="37D70B85" w14:textId="77777777" w:rsidTr="004560D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36808ED" w14:textId="77777777" w:rsidR="004560D4" w:rsidRPr="00212490" w:rsidRDefault="004560D4" w:rsidP="004560D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Total Budget 2019/20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92B2929" w14:textId="77777777" w:rsidR="004560D4" w:rsidRPr="0026631E" w:rsidRDefault="00771B60" w:rsidP="004D5C1E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9.577</w:t>
            </w:r>
          </w:p>
        </w:tc>
      </w:tr>
    </w:tbl>
    <w:p w14:paraId="4FE1D04C" w14:textId="77777777" w:rsidR="0051272C" w:rsidRDefault="0051272C" w:rsidP="003B27BE">
      <w:pPr>
        <w:ind w:left="720" w:hanging="720"/>
        <w:rPr>
          <w:rFonts w:ascii="Arial" w:hAnsi="Arial" w:cs="Arial"/>
        </w:rPr>
      </w:pPr>
    </w:p>
    <w:p w14:paraId="2500CB6D" w14:textId="77777777" w:rsidR="008A226A" w:rsidRDefault="0051272C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4.2</w:t>
      </w:r>
      <w:r>
        <w:rPr>
          <w:rFonts w:ascii="Arial" w:hAnsi="Arial" w:cs="Arial"/>
        </w:rPr>
        <w:tab/>
      </w:r>
      <w:r w:rsidR="00771B60">
        <w:rPr>
          <w:rFonts w:ascii="Arial" w:hAnsi="Arial" w:cs="Arial"/>
        </w:rPr>
        <w:t>Expenditure to the end of October</w:t>
      </w:r>
      <w:r w:rsidR="005C0147">
        <w:rPr>
          <w:rFonts w:ascii="Arial" w:hAnsi="Arial" w:cs="Arial"/>
        </w:rPr>
        <w:t xml:space="preserve"> 2019 has been reviewed and an estimate of remaining spend against each area has been assessed. </w:t>
      </w:r>
    </w:p>
    <w:p w14:paraId="2A88E9F1" w14:textId="77777777" w:rsidR="005C0147" w:rsidRDefault="005C0147" w:rsidP="003B27BE">
      <w:pPr>
        <w:ind w:left="720" w:hanging="720"/>
        <w:rPr>
          <w:rFonts w:ascii="Arial" w:hAnsi="Arial" w:cs="Arial"/>
        </w:rPr>
      </w:pPr>
    </w:p>
    <w:p w14:paraId="6183981E" w14:textId="77777777" w:rsidR="00633917" w:rsidRDefault="0051272C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5C0147">
        <w:rPr>
          <w:rFonts w:ascii="Arial" w:hAnsi="Arial" w:cs="Arial"/>
        </w:rPr>
        <w:tab/>
      </w:r>
      <w:r w:rsidR="0025655E">
        <w:rPr>
          <w:rFonts w:ascii="Arial" w:hAnsi="Arial" w:cs="Arial"/>
        </w:rPr>
        <w:t>Owing</w:t>
      </w:r>
      <w:r w:rsidR="00633917">
        <w:rPr>
          <w:rFonts w:ascii="Arial" w:hAnsi="Arial" w:cs="Arial"/>
        </w:rPr>
        <w:t xml:space="preserve"> to the volatility of high needs spending and underlying demand, a range of projected outturns have been collated. These present a best-case, mid-case and worse-case scenario.</w:t>
      </w:r>
    </w:p>
    <w:p w14:paraId="106FA160" w14:textId="77777777" w:rsidR="00633917" w:rsidRDefault="00633917" w:rsidP="003B27BE">
      <w:pPr>
        <w:ind w:left="720" w:hanging="720"/>
        <w:rPr>
          <w:rFonts w:ascii="Arial" w:hAnsi="Arial" w:cs="Arial"/>
        </w:rPr>
      </w:pPr>
    </w:p>
    <w:p w14:paraId="258E97A0" w14:textId="77777777" w:rsidR="005C0147" w:rsidRDefault="0051272C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633917">
        <w:rPr>
          <w:rFonts w:ascii="Arial" w:hAnsi="Arial" w:cs="Arial"/>
        </w:rPr>
        <w:tab/>
      </w:r>
      <w:r w:rsidR="005C0147">
        <w:rPr>
          <w:rFonts w:ascii="Arial" w:hAnsi="Arial" w:cs="Arial"/>
        </w:rPr>
        <w:t xml:space="preserve">The following table presents the </w:t>
      </w:r>
      <w:r>
        <w:rPr>
          <w:rFonts w:ascii="Arial" w:hAnsi="Arial" w:cs="Arial"/>
        </w:rPr>
        <w:t>range of</w:t>
      </w:r>
      <w:r w:rsidR="00633917">
        <w:rPr>
          <w:rFonts w:ascii="Arial" w:hAnsi="Arial" w:cs="Arial"/>
        </w:rPr>
        <w:t xml:space="preserve"> </w:t>
      </w:r>
      <w:r w:rsidR="005C0147">
        <w:rPr>
          <w:rFonts w:ascii="Arial" w:hAnsi="Arial" w:cs="Arial"/>
        </w:rPr>
        <w:t>projected outturn</w:t>
      </w:r>
      <w:r>
        <w:rPr>
          <w:rFonts w:ascii="Arial" w:hAnsi="Arial" w:cs="Arial"/>
        </w:rPr>
        <w:t>s</w:t>
      </w:r>
      <w:r w:rsidR="005C0147">
        <w:rPr>
          <w:rFonts w:ascii="Arial" w:hAnsi="Arial" w:cs="Arial"/>
        </w:rPr>
        <w:t xml:space="preserve"> against each area of activity for 2019/20</w:t>
      </w:r>
      <w:r>
        <w:rPr>
          <w:rFonts w:ascii="Arial" w:hAnsi="Arial" w:cs="Arial"/>
        </w:rPr>
        <w:t>.</w:t>
      </w:r>
    </w:p>
    <w:p w14:paraId="6A5B8DFE" w14:textId="77777777" w:rsidR="0051272C" w:rsidRDefault="0051272C" w:rsidP="003B27BE">
      <w:pPr>
        <w:ind w:left="720" w:hanging="720"/>
        <w:rPr>
          <w:rFonts w:ascii="Arial" w:hAnsi="Arial" w:cs="Arial"/>
        </w:rPr>
      </w:pPr>
    </w:p>
    <w:tbl>
      <w:tblPr>
        <w:tblW w:w="9916" w:type="dxa"/>
        <w:tblInd w:w="-5" w:type="dxa"/>
        <w:tblLook w:val="04A0" w:firstRow="1" w:lastRow="0" w:firstColumn="1" w:lastColumn="0" w:noHBand="0" w:noVBand="1"/>
      </w:tblPr>
      <w:tblGrid>
        <w:gridCol w:w="2357"/>
        <w:gridCol w:w="1236"/>
        <w:gridCol w:w="1341"/>
        <w:gridCol w:w="222"/>
        <w:gridCol w:w="1032"/>
        <w:gridCol w:w="1237"/>
        <w:gridCol w:w="222"/>
        <w:gridCol w:w="1032"/>
        <w:gridCol w:w="1237"/>
      </w:tblGrid>
      <w:tr w:rsidR="00512A39" w:rsidRPr="006670F8" w14:paraId="66084A3E" w14:textId="77777777" w:rsidTr="00512A39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</w:tcPr>
          <w:p w14:paraId="5563444E" w14:textId="77777777" w:rsidR="00512A39" w:rsidRPr="0051272C" w:rsidRDefault="00512A39" w:rsidP="005C014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5C4047EA" w14:textId="77777777" w:rsidR="00512A39" w:rsidRPr="00512A39" w:rsidRDefault="00512A39" w:rsidP="000F723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12A39">
              <w:rPr>
                <w:rFonts w:ascii="Arial" w:hAnsi="Arial" w:cs="Arial"/>
                <w:color w:val="FFFFFF"/>
                <w:sz w:val="22"/>
                <w:szCs w:val="22"/>
              </w:rPr>
              <w:t>Worse Case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913C535" w14:textId="77777777" w:rsidR="00512A39" w:rsidRDefault="00512A39" w:rsidP="000F723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76815CFD" w14:textId="77777777" w:rsidR="00512A39" w:rsidRDefault="00512A39" w:rsidP="000F723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Mid Case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5BD954D6" w14:textId="77777777" w:rsidR="00512A39" w:rsidRDefault="00512A39" w:rsidP="000F723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3B988A8E" w14:textId="77777777" w:rsidR="00512A39" w:rsidRDefault="00512A39" w:rsidP="000F723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Best Case</w:t>
            </w:r>
          </w:p>
        </w:tc>
      </w:tr>
      <w:tr w:rsidR="00512A39" w:rsidRPr="006670F8" w14:paraId="6AB791FA" w14:textId="77777777" w:rsidTr="00986C1D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7151280" w14:textId="77777777" w:rsidR="00512A39" w:rsidRPr="0051272C" w:rsidRDefault="0051272C" w:rsidP="005C014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1272C">
              <w:rPr>
                <w:rFonts w:ascii="Arial" w:hAnsi="Arial" w:cs="Arial"/>
                <w:color w:val="FFFFFF"/>
                <w:sz w:val="22"/>
                <w:szCs w:val="22"/>
              </w:rPr>
              <w:t>High Needs Expenditure 2019/20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739A82" w14:textId="77777777" w:rsidR="00512A39" w:rsidRPr="00A06DE7" w:rsidRDefault="00512A39" w:rsidP="00512A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Projection</w:t>
            </w:r>
          </w:p>
          <w:p w14:paraId="23FB372F" w14:textId="77777777" w:rsidR="00512A39" w:rsidRPr="00A06DE7" w:rsidRDefault="00512A39" w:rsidP="00512A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£m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7780C443" w14:textId="77777777" w:rsidR="0025655E" w:rsidRPr="00A06DE7" w:rsidRDefault="00512A39" w:rsidP="00512A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Variance</w:t>
            </w:r>
            <w:r w:rsidR="0025655E" w:rsidRPr="00A06DE7">
              <w:rPr>
                <w:rFonts w:ascii="Arial" w:hAnsi="Arial" w:cs="Arial"/>
                <w:color w:val="FFFFFF"/>
                <w:sz w:val="18"/>
                <w:szCs w:val="18"/>
              </w:rPr>
              <w:t xml:space="preserve"> Over/(under) Spend</w:t>
            </w:r>
          </w:p>
          <w:p w14:paraId="21F63567" w14:textId="77777777" w:rsidR="00512A39" w:rsidRPr="00A06DE7" w:rsidRDefault="00512A39" w:rsidP="00512A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£m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7D6B7C04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14:paraId="1F81B039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Projection</w:t>
            </w:r>
          </w:p>
          <w:p w14:paraId="4D523D78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£m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670CF85D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Variance</w:t>
            </w:r>
          </w:p>
          <w:p w14:paraId="77A0E478" w14:textId="77777777" w:rsidR="0025655E" w:rsidRPr="00A06DE7" w:rsidRDefault="0025655E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Over/(under) Spend</w:t>
            </w:r>
          </w:p>
          <w:p w14:paraId="7269C3E1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£m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5E8C8B58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14:paraId="50CA8B81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Projection</w:t>
            </w:r>
          </w:p>
          <w:p w14:paraId="0556BA38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£m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6B32AE76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Variance</w:t>
            </w:r>
            <w:r w:rsidR="0025655E" w:rsidRPr="00A06DE7">
              <w:rPr>
                <w:rFonts w:ascii="Arial" w:hAnsi="Arial" w:cs="Arial"/>
                <w:color w:val="FFFFFF"/>
                <w:sz w:val="18"/>
                <w:szCs w:val="18"/>
              </w:rPr>
              <w:t xml:space="preserve"> Over/(under) Spend</w:t>
            </w:r>
          </w:p>
          <w:p w14:paraId="125BE6F2" w14:textId="77777777" w:rsidR="00512A39" w:rsidRPr="00A06DE7" w:rsidRDefault="00512A39" w:rsidP="000F723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06DE7">
              <w:rPr>
                <w:rFonts w:ascii="Arial" w:hAnsi="Arial" w:cs="Arial"/>
                <w:color w:val="FFFFFF"/>
                <w:sz w:val="18"/>
                <w:szCs w:val="18"/>
              </w:rPr>
              <w:t>£m</w:t>
            </w:r>
          </w:p>
        </w:tc>
      </w:tr>
      <w:tr w:rsidR="00411684" w:rsidRPr="006670F8" w14:paraId="7368C0E3" w14:textId="77777777" w:rsidTr="00986C1D">
        <w:trPr>
          <w:trHeight w:val="41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0947" w14:textId="77777777" w:rsidR="00411684" w:rsidRPr="0051272C" w:rsidRDefault="00411684" w:rsidP="004116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272C">
              <w:rPr>
                <w:rFonts w:ascii="Arial" w:hAnsi="Arial" w:cs="Arial"/>
                <w:color w:val="000000"/>
                <w:sz w:val="22"/>
                <w:szCs w:val="22"/>
              </w:rPr>
              <w:t>Place funding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9A05" w14:textId="7A49E932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1.441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9989F" w14:textId="474B5BBD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E0C755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BCADE" w14:textId="77777777" w:rsidR="00411684" w:rsidRPr="00411684" w:rsidRDefault="00393BBE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1.441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268F5" w14:textId="77777777" w:rsidR="00411684" w:rsidRPr="00411684" w:rsidRDefault="00393BBE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175B1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E4BC" w14:textId="52182C27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1.441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ED8B" w14:textId="1E93A2E4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0.015</w:t>
            </w:r>
          </w:p>
        </w:tc>
      </w:tr>
      <w:tr w:rsidR="00411684" w:rsidRPr="006670F8" w14:paraId="51A3C895" w14:textId="77777777" w:rsidTr="00986C1D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CB0A" w14:textId="77777777" w:rsidR="00411684" w:rsidRPr="0051272C" w:rsidRDefault="00411684" w:rsidP="004116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272C">
              <w:rPr>
                <w:rFonts w:ascii="Arial" w:hAnsi="Arial" w:cs="Arial"/>
                <w:color w:val="000000"/>
                <w:sz w:val="22"/>
                <w:szCs w:val="22"/>
              </w:rPr>
              <w:t>Independent school fees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FACD" w14:textId="00841A4E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2.525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35ED8" w14:textId="310B3EA6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0.065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A4C2C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92DAB" w14:textId="77777777" w:rsidR="00411684" w:rsidRPr="00411684" w:rsidRDefault="00393BBE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2.495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D25C" w14:textId="77777777" w:rsidR="00411684" w:rsidRPr="00411684" w:rsidRDefault="00393BBE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7FA12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17EE5" w14:textId="0462B534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E08C8" w14:textId="20DCD467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(0.094)</w:t>
            </w:r>
          </w:p>
        </w:tc>
      </w:tr>
      <w:tr w:rsidR="00411684" w:rsidRPr="006670F8" w14:paraId="5FF5CD5B" w14:textId="77777777" w:rsidTr="00986C1D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D380" w14:textId="77777777" w:rsidR="00411684" w:rsidRPr="0051272C" w:rsidRDefault="00411684" w:rsidP="004116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272C">
              <w:rPr>
                <w:rFonts w:ascii="Arial" w:hAnsi="Arial" w:cs="Arial"/>
                <w:color w:val="000000"/>
                <w:sz w:val="22"/>
                <w:szCs w:val="22"/>
              </w:rPr>
              <w:t>Out of Area top-ups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8108" w14:textId="66F1CE9E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FE33" w14:textId="176F29BE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(0.095)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86D2C0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00310" w14:textId="77777777" w:rsidR="00411684" w:rsidRPr="00411684" w:rsidRDefault="00393BBE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26BA2" w14:textId="77777777" w:rsidR="00411684" w:rsidRPr="00411684" w:rsidRDefault="00393BBE" w:rsidP="00EB32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(0.095)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7F221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B261" w14:textId="59CE47FB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81DA3" w14:textId="52CD4982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(0.095)</w:t>
            </w:r>
          </w:p>
        </w:tc>
      </w:tr>
      <w:tr w:rsidR="00411684" w:rsidRPr="006670F8" w14:paraId="65B2B3AF" w14:textId="77777777" w:rsidTr="00986C1D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FF69" w14:textId="77777777" w:rsidR="00411684" w:rsidRPr="0051272C" w:rsidRDefault="00411684" w:rsidP="004116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272C">
              <w:rPr>
                <w:rFonts w:ascii="Arial" w:hAnsi="Arial" w:cs="Arial"/>
                <w:color w:val="000000"/>
                <w:sz w:val="22"/>
                <w:szCs w:val="22"/>
              </w:rPr>
              <w:t>Top-up funding and support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59CE" w14:textId="65906AA6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4.431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3F4A5" w14:textId="67CAEDAD" w:rsidR="00411684" w:rsidRPr="00411684" w:rsidRDefault="003B0996" w:rsidP="00EB32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D62B7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0DB39" w14:textId="77777777" w:rsidR="00411684" w:rsidRPr="00411684" w:rsidRDefault="00393BBE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4.320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70442" w14:textId="67282F37" w:rsidR="00411684" w:rsidRPr="00411684" w:rsidRDefault="0087652C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BB16D7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81F28" w14:textId="59AC5BF2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00E55" w14:textId="53C1B95F" w:rsidR="00411684" w:rsidRPr="00411684" w:rsidRDefault="00AF4D11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0.157</w:t>
            </w:r>
          </w:p>
        </w:tc>
      </w:tr>
      <w:tr w:rsidR="00411684" w:rsidRPr="006670F8" w14:paraId="7FC61FDF" w14:textId="77777777" w:rsidTr="00986C1D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347E" w14:textId="77777777" w:rsidR="00411684" w:rsidRPr="0051272C" w:rsidRDefault="00411684" w:rsidP="004116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272C">
              <w:rPr>
                <w:rFonts w:ascii="Arial" w:hAnsi="Arial" w:cs="Arial"/>
                <w:color w:val="000000"/>
                <w:sz w:val="22"/>
                <w:szCs w:val="22"/>
              </w:rPr>
              <w:t>Exclusions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792D" w14:textId="70585325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7E0E" w14:textId="26E68D9E" w:rsidR="00411684" w:rsidRPr="00411684" w:rsidRDefault="003B0996" w:rsidP="00EB32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0.524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1F963C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349A6" w14:textId="77777777" w:rsidR="00411684" w:rsidRPr="00411684" w:rsidRDefault="00393BBE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D3494" w14:textId="77777777" w:rsidR="00411684" w:rsidRPr="00411684" w:rsidRDefault="00393BBE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0.524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96F259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C1F57" w14:textId="4450451B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0.606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B32BB" w14:textId="4C2627DD" w:rsidR="00411684" w:rsidRPr="00411684" w:rsidRDefault="00AF4D11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0.474</w:t>
            </w:r>
          </w:p>
        </w:tc>
      </w:tr>
      <w:tr w:rsidR="00411684" w:rsidRPr="006670F8" w14:paraId="274C6295" w14:textId="77777777" w:rsidTr="00986C1D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BC73" w14:textId="77777777" w:rsidR="00411684" w:rsidRPr="0051272C" w:rsidRDefault="00411684" w:rsidP="004116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272C">
              <w:rPr>
                <w:rFonts w:ascii="Arial" w:hAnsi="Arial" w:cs="Arial"/>
                <w:color w:val="000000"/>
                <w:sz w:val="22"/>
                <w:szCs w:val="22"/>
              </w:rPr>
              <w:t>Post-16 top-ups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6D28" w14:textId="077AA16A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683B" w14:textId="75D3B7B1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526AF6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3CCD" w14:textId="2BBFE1CC" w:rsidR="00411684" w:rsidRPr="00411684" w:rsidRDefault="0087652C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0.628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F71B8" w14:textId="77777777" w:rsidR="00411684" w:rsidRPr="00411684" w:rsidRDefault="00393BBE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(0.093)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4A733D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3CB5F" w14:textId="5677EFC1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0.627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DB7AF" w14:textId="7909A3BF" w:rsidR="00411684" w:rsidRPr="00411684" w:rsidRDefault="00986C1D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(0.093)</w:t>
            </w:r>
          </w:p>
        </w:tc>
      </w:tr>
      <w:tr w:rsidR="003B0996" w:rsidRPr="006670F8" w14:paraId="56C4096A" w14:textId="77777777" w:rsidTr="00986C1D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4E14" w14:textId="39AA1ECB" w:rsidR="003B0996" w:rsidRPr="0051272C" w:rsidRDefault="003B0996" w:rsidP="004116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Support services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19FB" w14:textId="4E6C322E" w:rsidR="003B0996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54F4" w14:textId="27CDDFC9" w:rsidR="003B0996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7BD2E9" w14:textId="77777777" w:rsidR="003B0996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6E5F3" w14:textId="200EEA07" w:rsidR="003B0996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062B0" w14:textId="7734D75F" w:rsidR="003B0996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96B163" w14:textId="77777777" w:rsidR="003B0996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FE653" w14:textId="413746A1" w:rsidR="003B0996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3E34E" w14:textId="009D76B8" w:rsidR="003B0996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411684" w:rsidRPr="006670F8" w14:paraId="66D1EDB8" w14:textId="77777777" w:rsidTr="00986C1D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B5D6" w14:textId="36ECE5D6" w:rsidR="00411684" w:rsidRPr="0051272C" w:rsidRDefault="003B0996" w:rsidP="004116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Funding adjustment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A611" w14:textId="393A17AD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98D0E" w14:textId="30B47717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51260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0DF" w14:textId="16497849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F63D" w14:textId="3DF14CE4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586A16" w14:textId="77777777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AA55B" w14:textId="6D1F9739" w:rsidR="00411684" w:rsidRPr="00411684" w:rsidRDefault="00411684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68C51" w14:textId="4D34D3E9" w:rsidR="00411684" w:rsidRPr="00411684" w:rsidRDefault="003B0996" w:rsidP="0041168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0.168</w:t>
            </w:r>
          </w:p>
        </w:tc>
      </w:tr>
      <w:tr w:rsidR="00411684" w:rsidRPr="006670F8" w14:paraId="4890CD17" w14:textId="77777777" w:rsidTr="00986C1D">
        <w:trPr>
          <w:trHeight w:val="2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</w:tcPr>
          <w:p w14:paraId="02EAFDCC" w14:textId="77777777" w:rsidR="00411684" w:rsidRPr="00212490" w:rsidRDefault="00411684" w:rsidP="0041168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Total projection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C172F90" w14:textId="39E95E72" w:rsidR="00411684" w:rsidRPr="008B6D18" w:rsidRDefault="003B0996" w:rsidP="00411684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10.549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088607C" w14:textId="48D8FC14" w:rsidR="00411684" w:rsidRPr="008B6D18" w:rsidRDefault="003B0996" w:rsidP="00411684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0.972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A5638" w14:textId="77777777" w:rsidR="00411684" w:rsidRPr="008B6D18" w:rsidRDefault="00411684" w:rsidP="00411684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AFA8387" w14:textId="51EEF8E0" w:rsidR="00411684" w:rsidRPr="008B6D18" w:rsidRDefault="0087652C" w:rsidP="00411684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10.316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7949C13" w14:textId="4DE7DB25" w:rsidR="00411684" w:rsidRPr="008B6D18" w:rsidRDefault="0087652C" w:rsidP="00411684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0.739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344A0F" w14:textId="77777777" w:rsidR="00411684" w:rsidRDefault="00411684" w:rsidP="00411684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00A1463" w14:textId="1A050A35" w:rsidR="00411684" w:rsidRPr="008B6D18" w:rsidRDefault="00986C1D" w:rsidP="00411684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10.109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DBD0C62" w14:textId="4E65484D" w:rsidR="00411684" w:rsidRPr="008B6D18" w:rsidRDefault="00986C1D" w:rsidP="000E2576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0.532</w:t>
            </w:r>
          </w:p>
        </w:tc>
      </w:tr>
    </w:tbl>
    <w:p w14:paraId="7618BBC0" w14:textId="77777777" w:rsidR="0051311E" w:rsidRDefault="0051311E" w:rsidP="0040116D">
      <w:pPr>
        <w:ind w:left="360" w:hanging="360"/>
        <w:rPr>
          <w:rFonts w:ascii="Arial" w:hAnsi="Arial" w:cs="Arial"/>
        </w:rPr>
      </w:pPr>
    </w:p>
    <w:p w14:paraId="6FB4CB89" w14:textId="6F0CE36E" w:rsidR="00864C22" w:rsidRDefault="00864C22" w:rsidP="00864C22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table below illustrates the shift in the projected financial position in 2019/20 since the last update to Forum. Please note that the funding reduction of £0.168m has been included in the column </w:t>
      </w:r>
      <w:r w:rsidR="003B0996">
        <w:rPr>
          <w:rFonts w:ascii="Arial" w:hAnsi="Arial" w:cs="Arial"/>
        </w:rPr>
        <w:t xml:space="preserve">values </w:t>
      </w:r>
      <w:r>
        <w:rPr>
          <w:rFonts w:ascii="Arial" w:hAnsi="Arial" w:cs="Arial"/>
        </w:rPr>
        <w:t>for “previous report”.</w:t>
      </w:r>
    </w:p>
    <w:p w14:paraId="67340A31" w14:textId="77777777" w:rsidR="00864C22" w:rsidRDefault="00864C22" w:rsidP="00864C22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5938" w:type="dxa"/>
        <w:tblInd w:w="720" w:type="dxa"/>
        <w:tblLook w:val="04A0" w:firstRow="1" w:lastRow="0" w:firstColumn="1" w:lastColumn="0" w:noHBand="0" w:noVBand="1"/>
      </w:tblPr>
      <w:tblGrid>
        <w:gridCol w:w="1827"/>
        <w:gridCol w:w="1984"/>
        <w:gridCol w:w="2127"/>
      </w:tblGrid>
      <w:tr w:rsidR="00864C22" w14:paraId="5B291370" w14:textId="77777777" w:rsidTr="00864C22">
        <w:tc>
          <w:tcPr>
            <w:tcW w:w="1827" w:type="dxa"/>
            <w:shd w:val="clear" w:color="auto" w:fill="000000" w:themeFill="text1"/>
          </w:tcPr>
          <w:p w14:paraId="7F75DDCB" w14:textId="55E710AD" w:rsidR="00864C22" w:rsidRDefault="00864C22" w:rsidP="00864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</w:t>
            </w:r>
          </w:p>
        </w:tc>
        <w:tc>
          <w:tcPr>
            <w:tcW w:w="1984" w:type="dxa"/>
            <w:shd w:val="clear" w:color="auto" w:fill="000000" w:themeFill="text1"/>
          </w:tcPr>
          <w:p w14:paraId="67CABE03" w14:textId="1C7790D8" w:rsidR="00864C22" w:rsidRDefault="00864C22" w:rsidP="00864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Report</w:t>
            </w:r>
          </w:p>
        </w:tc>
        <w:tc>
          <w:tcPr>
            <w:tcW w:w="2127" w:type="dxa"/>
            <w:shd w:val="clear" w:color="auto" w:fill="000000" w:themeFill="text1"/>
          </w:tcPr>
          <w:p w14:paraId="67E8704C" w14:textId="31FC79B3" w:rsidR="00864C22" w:rsidRDefault="00864C22" w:rsidP="00864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Report</w:t>
            </w:r>
          </w:p>
        </w:tc>
      </w:tr>
      <w:tr w:rsidR="00864C22" w14:paraId="0A5765BF" w14:textId="77777777" w:rsidTr="00864C22">
        <w:tc>
          <w:tcPr>
            <w:tcW w:w="1827" w:type="dxa"/>
          </w:tcPr>
          <w:p w14:paraId="6B63FCFD" w14:textId="2495859B" w:rsidR="00864C22" w:rsidRDefault="00864C22" w:rsidP="0086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Worse case</w:t>
            </w:r>
          </w:p>
        </w:tc>
        <w:tc>
          <w:tcPr>
            <w:tcW w:w="1984" w:type="dxa"/>
          </w:tcPr>
          <w:p w14:paraId="75ED5C8F" w14:textId="08CCB913" w:rsidR="00864C22" w:rsidRDefault="00981C57" w:rsidP="00864C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£0.972</w:t>
            </w:r>
            <w:r w:rsidR="00986C1D">
              <w:rPr>
                <w:rFonts w:ascii="Arial" w:hAnsi="Arial" w:cs="Arial"/>
              </w:rPr>
              <w:t>m</w:t>
            </w:r>
          </w:p>
        </w:tc>
        <w:tc>
          <w:tcPr>
            <w:tcW w:w="2127" w:type="dxa"/>
          </w:tcPr>
          <w:p w14:paraId="2E04D475" w14:textId="57C0BB1E" w:rsidR="00864C22" w:rsidRDefault="00864C22" w:rsidP="00864C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£1.013m</w:t>
            </w:r>
          </w:p>
        </w:tc>
      </w:tr>
      <w:tr w:rsidR="00864C22" w14:paraId="54B1F6BD" w14:textId="77777777" w:rsidTr="00864C22">
        <w:tc>
          <w:tcPr>
            <w:tcW w:w="1827" w:type="dxa"/>
          </w:tcPr>
          <w:p w14:paraId="51DB84E1" w14:textId="1733533E" w:rsidR="00864C22" w:rsidRDefault="00864C22" w:rsidP="0086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 case</w:t>
            </w:r>
          </w:p>
        </w:tc>
        <w:tc>
          <w:tcPr>
            <w:tcW w:w="1984" w:type="dxa"/>
          </w:tcPr>
          <w:p w14:paraId="6D8599BB" w14:textId="7D8DDE86" w:rsidR="00864C22" w:rsidRDefault="00864C22" w:rsidP="008765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£0.73</w:t>
            </w:r>
            <w:r w:rsidR="0087652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2127" w:type="dxa"/>
          </w:tcPr>
          <w:p w14:paraId="39678DA6" w14:textId="17D74604" w:rsidR="00864C22" w:rsidRDefault="00864C22" w:rsidP="00864C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£0.486m</w:t>
            </w:r>
          </w:p>
        </w:tc>
      </w:tr>
      <w:tr w:rsidR="00864C22" w14:paraId="0BB8149F" w14:textId="77777777" w:rsidTr="00864C22">
        <w:tc>
          <w:tcPr>
            <w:tcW w:w="1827" w:type="dxa"/>
          </w:tcPr>
          <w:p w14:paraId="4A539DE8" w14:textId="270D3363" w:rsidR="00864C22" w:rsidRDefault="00864C22" w:rsidP="0086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case</w:t>
            </w:r>
          </w:p>
        </w:tc>
        <w:tc>
          <w:tcPr>
            <w:tcW w:w="1984" w:type="dxa"/>
          </w:tcPr>
          <w:p w14:paraId="04DDA0AE" w14:textId="64CAC5EE" w:rsidR="00864C22" w:rsidRDefault="00986C1D" w:rsidP="00864C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£0.532m</w:t>
            </w:r>
          </w:p>
        </w:tc>
        <w:tc>
          <w:tcPr>
            <w:tcW w:w="2127" w:type="dxa"/>
          </w:tcPr>
          <w:p w14:paraId="4569ED0E" w14:textId="38A5D24F" w:rsidR="00864C22" w:rsidRDefault="00864C22" w:rsidP="00864C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£0.271m</w:t>
            </w:r>
          </w:p>
        </w:tc>
      </w:tr>
    </w:tbl>
    <w:p w14:paraId="591CF503" w14:textId="0C1A4775" w:rsidR="00864C22" w:rsidRDefault="00864C22" w:rsidP="00864C22">
      <w:pPr>
        <w:ind w:left="709" w:hanging="709"/>
        <w:rPr>
          <w:rFonts w:ascii="Arial" w:hAnsi="Arial" w:cs="Arial"/>
        </w:rPr>
      </w:pPr>
    </w:p>
    <w:p w14:paraId="2DE7B122" w14:textId="3B603ED4" w:rsidR="0025655E" w:rsidRDefault="00C12D6E" w:rsidP="00F2265C">
      <w:pPr>
        <w:ind w:left="709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64C22">
        <w:rPr>
          <w:rFonts w:ascii="Arial" w:hAnsi="Arial" w:cs="Arial"/>
        </w:rPr>
        <w:t>6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 xml:space="preserve">Local authority place funding </w:t>
      </w:r>
      <w:r w:rsidR="00E840DD">
        <w:rPr>
          <w:rFonts w:ascii="Arial" w:hAnsi="Arial" w:cs="Arial"/>
          <w:u w:val="single"/>
        </w:rPr>
        <w:t>(£0.01</w:t>
      </w:r>
      <w:r w:rsidR="00F02884">
        <w:rPr>
          <w:rFonts w:ascii="Arial" w:hAnsi="Arial" w:cs="Arial"/>
          <w:u w:val="single"/>
        </w:rPr>
        <w:t>5</w:t>
      </w:r>
      <w:r w:rsidR="004853D7" w:rsidRPr="00F2265C">
        <w:rPr>
          <w:rFonts w:ascii="Arial" w:hAnsi="Arial" w:cs="Arial"/>
          <w:u w:val="single"/>
        </w:rPr>
        <w:t>m</w:t>
      </w:r>
      <w:r w:rsidR="00F2265C">
        <w:rPr>
          <w:rFonts w:ascii="Arial" w:hAnsi="Arial" w:cs="Arial"/>
          <w:u w:val="single"/>
        </w:rPr>
        <w:t xml:space="preserve"> overspend</w:t>
      </w:r>
      <w:r w:rsidR="00E840DD">
        <w:rPr>
          <w:rFonts w:ascii="Arial" w:hAnsi="Arial" w:cs="Arial"/>
          <w:u w:val="single"/>
        </w:rPr>
        <w:t xml:space="preserve"> projected</w:t>
      </w:r>
      <w:r w:rsidR="004853D7" w:rsidRPr="00F2265C">
        <w:rPr>
          <w:rFonts w:ascii="Arial" w:hAnsi="Arial" w:cs="Arial"/>
          <w:u w:val="single"/>
        </w:rPr>
        <w:t>)</w:t>
      </w:r>
    </w:p>
    <w:p w14:paraId="2C832CE9" w14:textId="77777777" w:rsidR="00E840DD" w:rsidRDefault="00732263" w:rsidP="00F2265C">
      <w:pPr>
        <w:ind w:left="709" w:hanging="709"/>
        <w:rPr>
          <w:rFonts w:ascii="Arial" w:hAnsi="Arial" w:cs="Arial"/>
        </w:rPr>
      </w:pPr>
      <w:r w:rsidRPr="002F069C">
        <w:rPr>
          <w:rFonts w:ascii="Arial" w:hAnsi="Arial" w:cs="Arial"/>
          <w:b/>
          <w:u w:val="single"/>
        </w:rPr>
        <w:br/>
      </w:r>
      <w:r w:rsidR="00E840DD">
        <w:rPr>
          <w:rFonts w:ascii="Arial" w:hAnsi="Arial" w:cs="Arial"/>
        </w:rPr>
        <w:t xml:space="preserve">Place funding amounts are on budget, with the exception of </w:t>
      </w:r>
      <w:r w:rsidR="006763FB">
        <w:rPr>
          <w:rFonts w:ascii="Arial" w:hAnsi="Arial" w:cs="Arial"/>
        </w:rPr>
        <w:t>six new</w:t>
      </w:r>
      <w:r w:rsidR="00E840DD">
        <w:rPr>
          <w:rFonts w:ascii="Arial" w:hAnsi="Arial" w:cs="Arial"/>
        </w:rPr>
        <w:t xml:space="preserve"> places expected to open in January 2020 following approval of the new SEMH secondary ARP at High Tunstall </w:t>
      </w:r>
      <w:r w:rsidR="0025655E">
        <w:rPr>
          <w:rFonts w:ascii="Arial" w:hAnsi="Arial" w:cs="Arial"/>
        </w:rPr>
        <w:t>S</w:t>
      </w:r>
      <w:r w:rsidR="00E840DD">
        <w:rPr>
          <w:rFonts w:ascii="Arial" w:hAnsi="Arial" w:cs="Arial"/>
        </w:rPr>
        <w:t xml:space="preserve">chool. </w:t>
      </w:r>
      <w:r w:rsidR="006763FB">
        <w:rPr>
          <w:rFonts w:ascii="Arial" w:hAnsi="Arial" w:cs="Arial"/>
        </w:rPr>
        <w:t>The £0.015m reflects one quarter’s payment in 2019/20.</w:t>
      </w:r>
    </w:p>
    <w:p w14:paraId="3F5EAC07" w14:textId="77777777" w:rsidR="002F150B" w:rsidRDefault="00E840DD" w:rsidP="00E840DD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722A">
        <w:rPr>
          <w:rFonts w:ascii="Arial" w:hAnsi="Arial" w:cs="Arial"/>
        </w:rPr>
        <w:t xml:space="preserve"> </w:t>
      </w:r>
    </w:p>
    <w:p w14:paraId="2DFA6A07" w14:textId="07BD9C47" w:rsidR="00F2265C" w:rsidRDefault="00C12D6E">
      <w:pPr>
        <w:pStyle w:val="ListParagraph"/>
        <w:ind w:left="709" w:hanging="644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64C22">
        <w:rPr>
          <w:rFonts w:ascii="Arial" w:hAnsi="Arial" w:cs="Arial"/>
        </w:rPr>
        <w:t>7</w:t>
      </w:r>
      <w:r w:rsidR="00B63511">
        <w:rPr>
          <w:rFonts w:ascii="Arial" w:hAnsi="Arial" w:cs="Arial"/>
        </w:rPr>
        <w:tab/>
      </w:r>
      <w:r w:rsidR="00E0381A" w:rsidRPr="006E3489">
        <w:rPr>
          <w:rFonts w:ascii="Arial" w:hAnsi="Arial" w:cs="Arial"/>
          <w:u w:val="single"/>
        </w:rPr>
        <w:t>Independent</w:t>
      </w:r>
      <w:r w:rsidR="006763FB">
        <w:rPr>
          <w:rFonts w:ascii="Arial" w:hAnsi="Arial" w:cs="Arial"/>
          <w:u w:val="single"/>
        </w:rPr>
        <w:t xml:space="preserve"> school fees (£0.035</w:t>
      </w:r>
      <w:r w:rsidR="00287685">
        <w:rPr>
          <w:rFonts w:ascii="Arial" w:hAnsi="Arial" w:cs="Arial"/>
          <w:u w:val="single"/>
        </w:rPr>
        <w:t>m ov</w:t>
      </w:r>
      <w:r w:rsidR="00F2265C" w:rsidRPr="006E3489">
        <w:rPr>
          <w:rFonts w:ascii="Arial" w:hAnsi="Arial" w:cs="Arial"/>
          <w:u w:val="single"/>
        </w:rPr>
        <w:t>erspend</w:t>
      </w:r>
      <w:r w:rsidR="00F25D68">
        <w:rPr>
          <w:rFonts w:ascii="Arial" w:hAnsi="Arial" w:cs="Arial"/>
          <w:u w:val="single"/>
        </w:rPr>
        <w:t xml:space="preserve"> projected</w:t>
      </w:r>
      <w:r w:rsidR="00A84816">
        <w:rPr>
          <w:rFonts w:ascii="Arial" w:hAnsi="Arial" w:cs="Arial"/>
          <w:u w:val="single"/>
        </w:rPr>
        <w:t xml:space="preserve"> – mid case</w:t>
      </w:r>
      <w:r w:rsidR="00F2265C" w:rsidRPr="006E3489">
        <w:rPr>
          <w:rFonts w:ascii="Arial" w:hAnsi="Arial" w:cs="Arial"/>
          <w:u w:val="single"/>
        </w:rPr>
        <w:t>)</w:t>
      </w:r>
    </w:p>
    <w:p w14:paraId="7AC24E14" w14:textId="77777777" w:rsidR="0025655E" w:rsidRPr="006E3489" w:rsidRDefault="0025655E">
      <w:pPr>
        <w:pStyle w:val="ListParagraph"/>
        <w:ind w:left="709" w:hanging="644"/>
        <w:rPr>
          <w:rFonts w:ascii="Arial" w:hAnsi="Arial" w:cs="Arial"/>
        </w:rPr>
      </w:pPr>
    </w:p>
    <w:p w14:paraId="0B3A56AC" w14:textId="77777777" w:rsidR="006763FB" w:rsidRDefault="00A84816" w:rsidP="00654E0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The mid-case</w:t>
      </w:r>
      <w:r w:rsidR="00654E01">
        <w:rPr>
          <w:rFonts w:ascii="Arial" w:hAnsi="Arial" w:cs="Arial"/>
        </w:rPr>
        <w:t xml:space="preserve"> projection of spend </w:t>
      </w:r>
      <w:r w:rsidR="006763FB">
        <w:rPr>
          <w:rFonts w:ascii="Arial" w:hAnsi="Arial" w:cs="Arial"/>
        </w:rPr>
        <w:t>has improved by an estimated £0.087m from the last update to Forum. A number of estimated p</w:t>
      </w:r>
      <w:r w:rsidR="00AE744C">
        <w:rPr>
          <w:rFonts w:ascii="Arial" w:hAnsi="Arial" w:cs="Arial"/>
        </w:rPr>
        <w:t>lacement costs</w:t>
      </w:r>
      <w:r w:rsidR="006763FB">
        <w:rPr>
          <w:rFonts w:ascii="Arial" w:hAnsi="Arial" w:cs="Arial"/>
        </w:rPr>
        <w:t xml:space="preserve"> have been confirmed during the last quarter and there is an overall financial benefit.</w:t>
      </w:r>
      <w:r w:rsidR="00654E01">
        <w:rPr>
          <w:rFonts w:ascii="Arial" w:hAnsi="Arial" w:cs="Arial"/>
        </w:rPr>
        <w:t xml:space="preserve"> </w:t>
      </w:r>
      <w:r w:rsidR="006763FB">
        <w:rPr>
          <w:rFonts w:ascii="Arial" w:hAnsi="Arial" w:cs="Arial"/>
        </w:rPr>
        <w:t>In addition, some of the estimates included in the last mid-case outturn for potential new places or increased cost of placements are now reduced in financial impact as we move closer to the end of 2019/20 financial year.</w:t>
      </w:r>
    </w:p>
    <w:p w14:paraId="581BAC45" w14:textId="77777777" w:rsidR="006763FB" w:rsidRDefault="006763FB" w:rsidP="00654E01">
      <w:pPr>
        <w:pStyle w:val="ListParagraph"/>
        <w:ind w:left="709"/>
        <w:rPr>
          <w:rFonts w:ascii="Arial" w:hAnsi="Arial" w:cs="Arial"/>
        </w:rPr>
      </w:pPr>
    </w:p>
    <w:p w14:paraId="38ACBE37" w14:textId="77777777" w:rsidR="00654E01" w:rsidRDefault="00654E01" w:rsidP="00654E0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The 2019/20 budget is predicated on 50 placements at an average cost of £49k p</w:t>
      </w:r>
      <w:r w:rsidR="006763FB">
        <w:rPr>
          <w:rFonts w:ascii="Arial" w:hAnsi="Arial" w:cs="Arial"/>
        </w:rPr>
        <w:t>er place. There are currently 47</w:t>
      </w:r>
      <w:r>
        <w:rPr>
          <w:rFonts w:ascii="Arial" w:hAnsi="Arial" w:cs="Arial"/>
        </w:rPr>
        <w:t xml:space="preserve"> children placed in independent schools </w:t>
      </w:r>
      <w:r w:rsidR="006763FB">
        <w:rPr>
          <w:rFonts w:ascii="Arial" w:hAnsi="Arial" w:cs="Arial"/>
        </w:rPr>
        <w:t>at an average cost of £48k</w:t>
      </w:r>
      <w:r>
        <w:rPr>
          <w:rFonts w:ascii="Arial" w:hAnsi="Arial" w:cs="Arial"/>
        </w:rPr>
        <w:t xml:space="preserve"> per place</w:t>
      </w:r>
      <w:r w:rsidR="006763FB">
        <w:rPr>
          <w:rFonts w:ascii="Arial" w:hAnsi="Arial" w:cs="Arial"/>
        </w:rPr>
        <w:t xml:space="preserve"> in 2019/20</w:t>
      </w:r>
      <w:r w:rsidR="003030B3">
        <w:rPr>
          <w:rFonts w:ascii="Arial" w:hAnsi="Arial" w:cs="Arial"/>
        </w:rPr>
        <w:t>. Ten</w:t>
      </w:r>
      <w:r w:rsidR="006763FB">
        <w:rPr>
          <w:rFonts w:ascii="Arial" w:hAnsi="Arial" w:cs="Arial"/>
        </w:rPr>
        <w:t xml:space="preserve"> of the 47</w:t>
      </w:r>
      <w:r>
        <w:rPr>
          <w:rFonts w:ascii="Arial" w:hAnsi="Arial" w:cs="Arial"/>
        </w:rPr>
        <w:t xml:space="preserve"> children are new commitments from </w:t>
      </w:r>
      <w:r>
        <w:rPr>
          <w:rFonts w:ascii="Arial" w:hAnsi="Arial" w:cs="Arial"/>
        </w:rPr>
        <w:lastRenderedPageBreak/>
        <w:t>the st</w:t>
      </w:r>
      <w:r w:rsidR="003030B3">
        <w:rPr>
          <w:rFonts w:ascii="Arial" w:hAnsi="Arial" w:cs="Arial"/>
        </w:rPr>
        <w:t>art of the 2019/20 financial year. Ten</w:t>
      </w:r>
      <w:r>
        <w:rPr>
          <w:rFonts w:ascii="Arial" w:hAnsi="Arial" w:cs="Arial"/>
        </w:rPr>
        <w:t xml:space="preserve"> children have left placements during 2019/20 financial year so far. </w:t>
      </w:r>
    </w:p>
    <w:p w14:paraId="560A1414" w14:textId="77777777" w:rsidR="00654E01" w:rsidRDefault="00654E01" w:rsidP="00654E01">
      <w:pPr>
        <w:pStyle w:val="ListParagraph"/>
        <w:ind w:left="709"/>
        <w:rPr>
          <w:rFonts w:ascii="Arial" w:hAnsi="Arial" w:cs="Arial"/>
        </w:rPr>
      </w:pPr>
    </w:p>
    <w:p w14:paraId="5BB123C6" w14:textId="6E1F8E4E" w:rsidR="004C5FD4" w:rsidRPr="00654E01" w:rsidRDefault="00654E01" w:rsidP="00654E0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</w:t>
      </w:r>
      <w:r w:rsidR="00A84816">
        <w:rPr>
          <w:rFonts w:ascii="Arial" w:hAnsi="Arial" w:cs="Arial"/>
        </w:rPr>
        <w:t xml:space="preserve">mid-case </w:t>
      </w:r>
      <w:r>
        <w:rPr>
          <w:rFonts w:ascii="Arial" w:hAnsi="Arial" w:cs="Arial"/>
        </w:rPr>
        <w:t>outturn</w:t>
      </w:r>
      <w:r w:rsidR="003030B3">
        <w:rPr>
          <w:rFonts w:ascii="Arial" w:hAnsi="Arial" w:cs="Arial"/>
        </w:rPr>
        <w:t xml:space="preserve"> projection </w:t>
      </w:r>
      <w:r w:rsidR="0087652C">
        <w:rPr>
          <w:rFonts w:ascii="Arial" w:hAnsi="Arial" w:cs="Arial"/>
        </w:rPr>
        <w:t>continues to include</w:t>
      </w:r>
      <w:r w:rsidR="003030B3">
        <w:rPr>
          <w:rFonts w:ascii="Arial" w:hAnsi="Arial" w:cs="Arial"/>
        </w:rPr>
        <w:t xml:space="preserve"> </w:t>
      </w:r>
      <w:r w:rsidR="0087652C">
        <w:rPr>
          <w:rFonts w:ascii="Arial" w:hAnsi="Arial" w:cs="Arial"/>
        </w:rPr>
        <w:t xml:space="preserve">an estimated cost for potential </w:t>
      </w:r>
      <w:r w:rsidR="003030B3">
        <w:rPr>
          <w:rFonts w:ascii="Arial" w:hAnsi="Arial" w:cs="Arial"/>
        </w:rPr>
        <w:t>new placements (in addition to the existing 47</w:t>
      </w:r>
      <w:r>
        <w:rPr>
          <w:rFonts w:ascii="Arial" w:hAnsi="Arial" w:cs="Arial"/>
        </w:rPr>
        <w:t xml:space="preserve"> placements)</w:t>
      </w:r>
      <w:r w:rsidR="0087652C">
        <w:rPr>
          <w:rFonts w:ascii="Arial" w:hAnsi="Arial" w:cs="Arial"/>
        </w:rPr>
        <w:t>, along with potential</w:t>
      </w:r>
      <w:r w:rsidR="003030B3">
        <w:rPr>
          <w:rFonts w:ascii="Arial" w:hAnsi="Arial" w:cs="Arial"/>
        </w:rPr>
        <w:t xml:space="preserve"> placement cost increases</w:t>
      </w:r>
      <w:r>
        <w:rPr>
          <w:rFonts w:ascii="Arial" w:hAnsi="Arial" w:cs="Arial"/>
        </w:rPr>
        <w:t xml:space="preserve"> at an estimated</w:t>
      </w:r>
      <w:r w:rsidR="003030B3">
        <w:rPr>
          <w:rFonts w:ascii="Arial" w:hAnsi="Arial" w:cs="Arial"/>
        </w:rPr>
        <w:t xml:space="preserve"> total cost in 2019/20 of £0.129</w:t>
      </w:r>
      <w:r>
        <w:rPr>
          <w:rFonts w:ascii="Arial" w:hAnsi="Arial" w:cs="Arial"/>
        </w:rPr>
        <w:t xml:space="preserve">m. The timing, location and </w:t>
      </w:r>
      <w:r w:rsidR="00AE744C">
        <w:rPr>
          <w:rFonts w:ascii="Arial" w:hAnsi="Arial" w:cs="Arial"/>
        </w:rPr>
        <w:t>cost</w:t>
      </w:r>
      <w:r>
        <w:rPr>
          <w:rFonts w:ascii="Arial" w:hAnsi="Arial" w:cs="Arial"/>
        </w:rPr>
        <w:t xml:space="preserve"> for these </w:t>
      </w:r>
      <w:r w:rsidR="003030B3">
        <w:rPr>
          <w:rFonts w:ascii="Arial" w:hAnsi="Arial" w:cs="Arial"/>
        </w:rPr>
        <w:t>potential changes to</w:t>
      </w:r>
      <w:r>
        <w:rPr>
          <w:rFonts w:ascii="Arial" w:hAnsi="Arial" w:cs="Arial"/>
        </w:rPr>
        <w:t xml:space="preserve"> independent school</w:t>
      </w:r>
      <w:r w:rsidR="003030B3">
        <w:rPr>
          <w:rFonts w:ascii="Arial" w:hAnsi="Arial" w:cs="Arial"/>
        </w:rPr>
        <w:t xml:space="preserve"> places</w:t>
      </w:r>
      <w:r>
        <w:rPr>
          <w:rFonts w:ascii="Arial" w:hAnsi="Arial" w:cs="Arial"/>
        </w:rPr>
        <w:t xml:space="preserve"> </w:t>
      </w:r>
      <w:r w:rsidR="003030B3">
        <w:rPr>
          <w:rFonts w:ascii="Arial" w:hAnsi="Arial" w:cs="Arial"/>
        </w:rPr>
        <w:t>remains</w:t>
      </w:r>
      <w:r>
        <w:rPr>
          <w:rFonts w:ascii="Arial" w:hAnsi="Arial" w:cs="Arial"/>
        </w:rPr>
        <w:t xml:space="preserve"> uncertain.</w:t>
      </w:r>
      <w:r w:rsidRPr="00654E01">
        <w:rPr>
          <w:rFonts w:ascii="Arial" w:hAnsi="Arial" w:cs="Arial"/>
        </w:rPr>
        <w:t xml:space="preserve"> </w:t>
      </w:r>
    </w:p>
    <w:p w14:paraId="35B63AF9" w14:textId="77777777" w:rsidR="00732263" w:rsidRPr="00732263" w:rsidRDefault="00732263" w:rsidP="004E4BFB">
      <w:pPr>
        <w:pStyle w:val="ListParagraph"/>
        <w:rPr>
          <w:rFonts w:ascii="Arial" w:hAnsi="Arial" w:cs="Arial"/>
        </w:rPr>
      </w:pPr>
    </w:p>
    <w:p w14:paraId="2B012658" w14:textId="5E8FB3D7" w:rsidR="00F2265C" w:rsidRDefault="00C12D6E">
      <w:pPr>
        <w:ind w:left="709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64C22">
        <w:rPr>
          <w:rFonts w:ascii="Arial" w:hAnsi="Arial" w:cs="Arial"/>
        </w:rPr>
        <w:t>8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 xml:space="preserve">Out of </w:t>
      </w:r>
      <w:r w:rsidR="0047170C">
        <w:rPr>
          <w:rFonts w:ascii="Arial" w:hAnsi="Arial" w:cs="Arial"/>
          <w:u w:val="single"/>
        </w:rPr>
        <w:t>area top-ups (£0.095</w:t>
      </w:r>
      <w:r w:rsidR="00287685">
        <w:rPr>
          <w:rFonts w:ascii="Arial" w:hAnsi="Arial" w:cs="Arial"/>
          <w:u w:val="single"/>
        </w:rPr>
        <w:t>m und</w:t>
      </w:r>
      <w:r w:rsidR="00B120D0">
        <w:rPr>
          <w:rFonts w:ascii="Arial" w:hAnsi="Arial" w:cs="Arial"/>
          <w:u w:val="single"/>
        </w:rPr>
        <w:t>erspend</w:t>
      </w:r>
      <w:r w:rsidR="00F25D68">
        <w:rPr>
          <w:rFonts w:ascii="Arial" w:hAnsi="Arial" w:cs="Arial"/>
          <w:u w:val="single"/>
        </w:rPr>
        <w:t xml:space="preserve"> projected</w:t>
      </w:r>
      <w:r w:rsidR="00F2265C" w:rsidRPr="00F2265C">
        <w:rPr>
          <w:rFonts w:ascii="Arial" w:hAnsi="Arial" w:cs="Arial"/>
          <w:u w:val="single"/>
        </w:rPr>
        <w:t>)</w:t>
      </w:r>
    </w:p>
    <w:p w14:paraId="6628C72C" w14:textId="77777777" w:rsidR="0025655E" w:rsidRDefault="0025655E">
      <w:pPr>
        <w:ind w:left="709" w:hanging="709"/>
        <w:rPr>
          <w:rFonts w:ascii="Arial" w:hAnsi="Arial" w:cs="Arial"/>
        </w:rPr>
      </w:pPr>
    </w:p>
    <w:p w14:paraId="456DCE95" w14:textId="77777777" w:rsidR="00732263" w:rsidRDefault="00325CB1" w:rsidP="004E4B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2019/20 </w:t>
      </w:r>
      <w:r w:rsidR="0047170C">
        <w:rPr>
          <w:rFonts w:ascii="Arial" w:hAnsi="Arial" w:cs="Arial"/>
        </w:rPr>
        <w:t>forecast has improved by £0.037m from the last update to Forum. The improvement is linked to a small number of recent moves out of Hartlepool for children formerly in out of area provision. New placements out of area are currently unlikely as capacity is limited.</w:t>
      </w:r>
    </w:p>
    <w:p w14:paraId="209AFDAD" w14:textId="77777777" w:rsidR="0022097E" w:rsidRPr="00732263" w:rsidRDefault="0022097E" w:rsidP="004E4BFB">
      <w:pPr>
        <w:pStyle w:val="ListParagraph"/>
        <w:rPr>
          <w:rFonts w:ascii="Arial" w:hAnsi="Arial" w:cs="Arial"/>
        </w:rPr>
      </w:pPr>
    </w:p>
    <w:p w14:paraId="75029DA0" w14:textId="0EAC069B" w:rsidR="00F2265C" w:rsidRDefault="00C12D6E">
      <w:pPr>
        <w:ind w:left="709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64C22">
        <w:rPr>
          <w:rFonts w:ascii="Arial" w:hAnsi="Arial" w:cs="Arial"/>
        </w:rPr>
        <w:t>9</w:t>
      </w:r>
      <w:r w:rsidR="00B63511">
        <w:rPr>
          <w:rFonts w:ascii="Arial" w:hAnsi="Arial" w:cs="Arial"/>
        </w:rPr>
        <w:tab/>
      </w:r>
      <w:r w:rsidR="00F2265C" w:rsidRPr="00F2265C">
        <w:rPr>
          <w:rFonts w:ascii="Arial" w:hAnsi="Arial" w:cs="Arial"/>
          <w:u w:val="single"/>
        </w:rPr>
        <w:t>Top-u</w:t>
      </w:r>
      <w:r w:rsidR="0047170C">
        <w:rPr>
          <w:rFonts w:ascii="Arial" w:hAnsi="Arial" w:cs="Arial"/>
          <w:u w:val="single"/>
        </w:rPr>
        <w:t>p funding and support (£0.185</w:t>
      </w:r>
      <w:r w:rsidR="00F2265C" w:rsidRPr="00F2265C">
        <w:rPr>
          <w:rFonts w:ascii="Arial" w:hAnsi="Arial" w:cs="Arial"/>
          <w:u w:val="single"/>
        </w:rPr>
        <w:t>m overspend</w:t>
      </w:r>
      <w:r w:rsidR="00F25D68">
        <w:rPr>
          <w:rFonts w:ascii="Arial" w:hAnsi="Arial" w:cs="Arial"/>
          <w:u w:val="single"/>
        </w:rPr>
        <w:t xml:space="preserve"> projected</w:t>
      </w:r>
      <w:r w:rsidR="00325CB1">
        <w:rPr>
          <w:rFonts w:ascii="Arial" w:hAnsi="Arial" w:cs="Arial"/>
          <w:u w:val="single"/>
        </w:rPr>
        <w:t xml:space="preserve"> – mid case</w:t>
      </w:r>
      <w:r w:rsidR="00F2265C" w:rsidRPr="00F2265C">
        <w:rPr>
          <w:rFonts w:ascii="Arial" w:hAnsi="Arial" w:cs="Arial"/>
          <w:u w:val="single"/>
        </w:rPr>
        <w:t>)</w:t>
      </w:r>
    </w:p>
    <w:p w14:paraId="006603C8" w14:textId="77777777" w:rsidR="0025655E" w:rsidRDefault="0025655E">
      <w:pPr>
        <w:ind w:left="709" w:hanging="709"/>
        <w:rPr>
          <w:rFonts w:ascii="Arial" w:hAnsi="Arial" w:cs="Arial"/>
        </w:rPr>
      </w:pPr>
    </w:p>
    <w:p w14:paraId="64ABBE7C" w14:textId="77777777" w:rsidR="004A3200" w:rsidRDefault="00287685" w:rsidP="00F2265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Top-up f</w:t>
      </w:r>
      <w:r w:rsidR="00325CB1">
        <w:rPr>
          <w:rFonts w:ascii="Arial" w:hAnsi="Arial" w:cs="Arial"/>
        </w:rPr>
        <w:t>unding and support represents 42</w:t>
      </w:r>
      <w:r>
        <w:rPr>
          <w:rFonts w:ascii="Arial" w:hAnsi="Arial" w:cs="Arial"/>
        </w:rPr>
        <w:t xml:space="preserve">% of the overall high needs budget. This category covers the areas of spend listed in the table below. </w:t>
      </w:r>
    </w:p>
    <w:p w14:paraId="2BB7890B" w14:textId="77777777" w:rsidR="00287685" w:rsidRDefault="00287685" w:rsidP="00F2265C">
      <w:pPr>
        <w:ind w:left="709"/>
        <w:rPr>
          <w:rFonts w:ascii="Arial" w:hAnsi="Arial" w:cs="Arial"/>
        </w:rPr>
      </w:pPr>
    </w:p>
    <w:tbl>
      <w:tblPr>
        <w:tblW w:w="7190" w:type="dxa"/>
        <w:tblInd w:w="641" w:type="dxa"/>
        <w:tblLook w:val="04A0" w:firstRow="1" w:lastRow="0" w:firstColumn="1" w:lastColumn="0" w:noHBand="0" w:noVBand="1"/>
      </w:tblPr>
      <w:tblGrid>
        <w:gridCol w:w="3402"/>
        <w:gridCol w:w="1276"/>
        <w:gridCol w:w="1255"/>
        <w:gridCol w:w="1257"/>
      </w:tblGrid>
      <w:tr w:rsidR="00287685" w:rsidRPr="006670F8" w14:paraId="22BC6496" w14:textId="77777777" w:rsidTr="00536F67"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1145BC" w14:textId="77777777" w:rsidR="00287685" w:rsidRPr="006670F8" w:rsidRDefault="00287685" w:rsidP="00536F6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Top-up Funding and Support (High Needs)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AD15DD" w14:textId="77777777" w:rsidR="00287685" w:rsidRDefault="00287685" w:rsidP="00536F6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Budget 2019/20</w:t>
            </w:r>
          </w:p>
          <w:p w14:paraId="2B2C8D96" w14:textId="77777777" w:rsidR="00287685" w:rsidRPr="006670F8" w:rsidRDefault="00287685" w:rsidP="00536F67">
            <w:pPr>
              <w:jc w:val="center"/>
              <w:rPr>
                <w:rFonts w:ascii="Arial" w:hAnsi="Arial" w:cs="Arial"/>
                <w:color w:val="FFFFFF"/>
              </w:rPr>
            </w:pPr>
            <w:r w:rsidRPr="006670F8"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</w:tcPr>
          <w:p w14:paraId="67408636" w14:textId="77777777" w:rsidR="00287685" w:rsidRDefault="00287685" w:rsidP="00536F6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Projected Outturn 2019/20</w:t>
            </w:r>
          </w:p>
          <w:p w14:paraId="3169B3D7" w14:textId="77777777" w:rsidR="00287685" w:rsidRPr="006670F8" w:rsidRDefault="00287685" w:rsidP="00536F6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</w:tcPr>
          <w:p w14:paraId="3F24FA00" w14:textId="77777777" w:rsidR="00287685" w:rsidRPr="00C434FA" w:rsidRDefault="00287685" w:rsidP="00536F6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Projected</w:t>
            </w:r>
          </w:p>
          <w:p w14:paraId="0897A300" w14:textId="77777777" w:rsidR="00287685" w:rsidRDefault="00287685" w:rsidP="00536F6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Variance 2019/20</w:t>
            </w:r>
          </w:p>
          <w:p w14:paraId="3C54F80A" w14:textId="77777777" w:rsidR="00287685" w:rsidRPr="006670F8" w:rsidRDefault="00287685" w:rsidP="00536F6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£m</w:t>
            </w:r>
          </w:p>
        </w:tc>
      </w:tr>
      <w:tr w:rsidR="00287685" w:rsidRPr="006670F8" w14:paraId="1DAEEA1E" w14:textId="77777777" w:rsidTr="00536F67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96E0" w14:textId="77777777" w:rsidR="00287685" w:rsidRDefault="00287685" w:rsidP="00536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Individual pupil support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4AF" w14:textId="77777777" w:rsidR="00287685" w:rsidRPr="00287685" w:rsidRDefault="00287685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7685">
              <w:rPr>
                <w:rFonts w:ascii="Arial" w:hAnsi="Arial" w:cs="Arial"/>
                <w:color w:val="000000"/>
                <w:sz w:val="22"/>
                <w:szCs w:val="22"/>
              </w:rPr>
              <w:t>1.312</w:t>
            </w:r>
          </w:p>
        </w:tc>
        <w:tc>
          <w:tcPr>
            <w:tcW w:w="12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F71817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1.525</w:t>
            </w:r>
          </w:p>
        </w:tc>
        <w:tc>
          <w:tcPr>
            <w:tcW w:w="12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63EE05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0.213</w:t>
            </w:r>
          </w:p>
        </w:tc>
      </w:tr>
      <w:tr w:rsidR="00287685" w:rsidRPr="006670F8" w14:paraId="03FBE36A" w14:textId="77777777" w:rsidTr="00536F67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527E" w14:textId="77777777" w:rsidR="00287685" w:rsidRPr="0026631E" w:rsidRDefault="00287685" w:rsidP="00536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ARP top-ups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490" w14:textId="77777777" w:rsidR="00287685" w:rsidRPr="00287685" w:rsidRDefault="00287685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7685">
              <w:rPr>
                <w:rFonts w:ascii="Arial" w:hAnsi="Arial" w:cs="Arial"/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12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F2D44D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0.245</w:t>
            </w:r>
          </w:p>
        </w:tc>
        <w:tc>
          <w:tcPr>
            <w:tcW w:w="12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C732FC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(0.015)</w:t>
            </w:r>
          </w:p>
        </w:tc>
      </w:tr>
      <w:tr w:rsidR="00287685" w:rsidRPr="006670F8" w14:paraId="30FF18BB" w14:textId="77777777" w:rsidTr="00536F67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1945" w14:textId="77777777" w:rsidR="00287685" w:rsidRPr="0026631E" w:rsidRDefault="00287685" w:rsidP="00536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Special school top-ups &amp; MFG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C03" w14:textId="77777777" w:rsidR="00287685" w:rsidRPr="00287685" w:rsidRDefault="00287685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7685">
              <w:rPr>
                <w:rFonts w:ascii="Arial" w:hAnsi="Arial" w:cs="Arial"/>
                <w:color w:val="000000"/>
                <w:sz w:val="22"/>
                <w:szCs w:val="22"/>
              </w:rPr>
              <w:t>2.054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4A0F4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2.055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F7D85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0.001</w:t>
            </w:r>
          </w:p>
        </w:tc>
      </w:tr>
      <w:tr w:rsidR="00287685" w:rsidRPr="006670F8" w14:paraId="00ACA38A" w14:textId="77777777" w:rsidTr="00536F67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75D" w14:textId="77777777" w:rsidR="00287685" w:rsidRDefault="00287685" w:rsidP="00536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Hearing impaired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D4ED" w14:textId="77777777" w:rsidR="00287685" w:rsidRPr="00287685" w:rsidRDefault="00287685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7685">
              <w:rPr>
                <w:rFonts w:ascii="Arial" w:hAnsi="Arial" w:cs="Arial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A4F47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0460F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(0.011)</w:t>
            </w:r>
          </w:p>
        </w:tc>
      </w:tr>
      <w:tr w:rsidR="00287685" w:rsidRPr="006670F8" w14:paraId="63AFC78D" w14:textId="77777777" w:rsidTr="00536F67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A2CC" w14:textId="77777777" w:rsidR="00287685" w:rsidRDefault="00287685" w:rsidP="00536F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Visually impaired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58C3" w14:textId="77777777" w:rsidR="00287685" w:rsidRPr="00287685" w:rsidRDefault="00287685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7685">
              <w:rPr>
                <w:rFonts w:ascii="Arial" w:hAnsi="Arial" w:cs="Arial"/>
                <w:color w:val="000000"/>
                <w:sz w:val="22"/>
                <w:szCs w:val="22"/>
              </w:rPr>
              <w:t>0.075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DD806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0.072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55E4E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(0.003)</w:t>
            </w:r>
          </w:p>
        </w:tc>
      </w:tr>
      <w:tr w:rsidR="00287685" w:rsidRPr="006670F8" w14:paraId="149AA57A" w14:textId="77777777" w:rsidTr="00536F67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57AB" w14:textId="77777777" w:rsidR="00287685" w:rsidRDefault="00287685" w:rsidP="00536F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Small Steps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2719" w14:textId="77777777" w:rsidR="00287685" w:rsidRPr="00287685" w:rsidRDefault="00287685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7685">
              <w:rPr>
                <w:rFonts w:ascii="Arial" w:hAnsi="Arial" w:cs="Arial"/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793BE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B991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287685" w:rsidRPr="006670F8" w14:paraId="1039BE37" w14:textId="77777777" w:rsidTr="00536F67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FCD6" w14:textId="77777777" w:rsidR="00287685" w:rsidRDefault="00287685" w:rsidP="00536F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Home and Hospital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441C" w14:textId="77777777" w:rsidR="00287685" w:rsidRPr="00287685" w:rsidRDefault="00287685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7685">
              <w:rPr>
                <w:rFonts w:ascii="Arial" w:hAnsi="Arial" w:cs="Arial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99A6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246FB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287685" w:rsidRPr="006670F8" w14:paraId="184E0207" w14:textId="77777777" w:rsidTr="00536F67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1242EBD8" w14:textId="77777777" w:rsidR="00287685" w:rsidRPr="00212490" w:rsidRDefault="00287685" w:rsidP="00536F6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Total Projection 2019/20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C5E8939" w14:textId="77777777" w:rsidR="00287685" w:rsidRPr="00287685" w:rsidRDefault="00325CB1" w:rsidP="00536F67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4.135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1C31BAF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4.320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509E974" w14:textId="77777777" w:rsidR="00287685" w:rsidRPr="00287685" w:rsidRDefault="0047170C" w:rsidP="00536F67">
            <w:p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0.185</w:t>
            </w:r>
          </w:p>
        </w:tc>
      </w:tr>
    </w:tbl>
    <w:p w14:paraId="03B075D4" w14:textId="77777777" w:rsidR="00287685" w:rsidRDefault="00287685" w:rsidP="00F2265C">
      <w:pPr>
        <w:ind w:left="709"/>
        <w:rPr>
          <w:rFonts w:ascii="Arial" w:hAnsi="Arial" w:cs="Arial"/>
          <w:highlight w:val="yellow"/>
        </w:rPr>
      </w:pPr>
    </w:p>
    <w:p w14:paraId="23A4EABC" w14:textId="77777777" w:rsidR="00E415C5" w:rsidRDefault="00C75E2A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The significant area</w:t>
      </w:r>
      <w:r w:rsidR="00E415C5">
        <w:rPr>
          <w:rFonts w:ascii="Arial" w:hAnsi="Arial" w:cs="Arial"/>
        </w:rPr>
        <w:t xml:space="preserve"> of financial pressure</w:t>
      </w:r>
      <w:r>
        <w:rPr>
          <w:rFonts w:ascii="Arial" w:hAnsi="Arial" w:cs="Arial"/>
        </w:rPr>
        <w:t xml:space="preserve"> within top-up funding and support relates to Individual Pupil Support as</w:t>
      </w:r>
      <w:r w:rsidR="00E415C5">
        <w:rPr>
          <w:rFonts w:ascii="Arial" w:hAnsi="Arial" w:cs="Arial"/>
        </w:rPr>
        <w:t xml:space="preserve"> explained in more detail below.</w:t>
      </w:r>
    </w:p>
    <w:p w14:paraId="08CDE1ED" w14:textId="77777777" w:rsidR="00E415C5" w:rsidRDefault="00E415C5">
      <w:pPr>
        <w:ind w:left="709" w:hanging="709"/>
        <w:rPr>
          <w:rFonts w:ascii="Arial" w:hAnsi="Arial" w:cs="Arial"/>
        </w:rPr>
      </w:pPr>
    </w:p>
    <w:p w14:paraId="5D60FA57" w14:textId="4CF8B347" w:rsidR="00991602" w:rsidRDefault="00864C22" w:rsidP="0099160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4.9</w:t>
      </w:r>
      <w:r w:rsidR="00991602">
        <w:rPr>
          <w:rFonts w:ascii="Arial" w:hAnsi="Arial" w:cs="Arial"/>
        </w:rPr>
        <w:t>.1</w:t>
      </w:r>
      <w:r w:rsidR="00991602">
        <w:rPr>
          <w:rFonts w:ascii="Arial" w:hAnsi="Arial" w:cs="Arial"/>
        </w:rPr>
        <w:tab/>
      </w:r>
      <w:r w:rsidR="00E415C5" w:rsidRPr="00991602">
        <w:rPr>
          <w:rFonts w:ascii="Arial" w:hAnsi="Arial" w:cs="Arial"/>
          <w:u w:val="single"/>
        </w:rPr>
        <w:t>Individual Pupil Su</w:t>
      </w:r>
      <w:r w:rsidR="00991602" w:rsidRPr="00991602">
        <w:rPr>
          <w:rFonts w:ascii="Arial" w:hAnsi="Arial" w:cs="Arial"/>
          <w:u w:val="single"/>
        </w:rPr>
        <w:t>ppo</w:t>
      </w:r>
      <w:r w:rsidR="00E415C5" w:rsidRPr="00991602">
        <w:rPr>
          <w:rFonts w:ascii="Arial" w:hAnsi="Arial" w:cs="Arial"/>
          <w:u w:val="single"/>
        </w:rPr>
        <w:t>rt</w:t>
      </w:r>
      <w:r w:rsidR="00C75E2A">
        <w:rPr>
          <w:rFonts w:ascii="Arial" w:hAnsi="Arial" w:cs="Arial"/>
          <w:u w:val="single"/>
        </w:rPr>
        <w:t xml:space="preserve"> (£0.213</w:t>
      </w:r>
      <w:r w:rsidR="00C342A0">
        <w:rPr>
          <w:rFonts w:ascii="Arial" w:hAnsi="Arial" w:cs="Arial"/>
          <w:u w:val="single"/>
        </w:rPr>
        <w:t>m overspend projected)</w:t>
      </w:r>
    </w:p>
    <w:p w14:paraId="6C70D31D" w14:textId="77777777" w:rsidR="0025655E" w:rsidRDefault="0025655E" w:rsidP="00991602">
      <w:pPr>
        <w:rPr>
          <w:rFonts w:ascii="Arial" w:hAnsi="Arial" w:cs="Arial"/>
        </w:rPr>
      </w:pPr>
    </w:p>
    <w:p w14:paraId="3F5FF4E0" w14:textId="77777777" w:rsidR="00385AB3" w:rsidRDefault="00E415C5" w:rsidP="00E415C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The Individual pupil support (IPS) budget provides additional funding to mainstream schools to support pupils with SEN to remain in a mainstream setting. The budget is a key line of defence in avoiding other potential costly support options. All IPS approvals, other than where a child has an EHCP in place, are subject to panel review and approval. The IPS budget also funds a small number of exceptional items where there is a particular financial need over and above the sta</w:t>
      </w:r>
      <w:r w:rsidR="00991602">
        <w:rPr>
          <w:rFonts w:ascii="Arial" w:hAnsi="Arial" w:cs="Arial"/>
        </w:rPr>
        <w:t>ndard top-up</w:t>
      </w:r>
      <w:r>
        <w:rPr>
          <w:rFonts w:ascii="Arial" w:hAnsi="Arial" w:cs="Arial"/>
        </w:rPr>
        <w:t xml:space="preserve"> payment.</w:t>
      </w:r>
    </w:p>
    <w:p w14:paraId="5F41FA3C" w14:textId="77777777" w:rsidR="00E415C5" w:rsidRDefault="00E415C5">
      <w:pPr>
        <w:ind w:left="709" w:hanging="709"/>
        <w:rPr>
          <w:rFonts w:ascii="Arial" w:hAnsi="Arial" w:cs="Arial"/>
        </w:rPr>
      </w:pPr>
    </w:p>
    <w:p w14:paraId="0129A6DE" w14:textId="77777777" w:rsidR="00E415C5" w:rsidRDefault="00991602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 at </w:t>
      </w:r>
      <w:r w:rsidR="00C75E2A">
        <w:rPr>
          <w:rFonts w:ascii="Arial" w:hAnsi="Arial" w:cs="Arial"/>
        </w:rPr>
        <w:t>November panel</w:t>
      </w:r>
      <w:r>
        <w:rPr>
          <w:rFonts w:ascii="Arial" w:hAnsi="Arial" w:cs="Arial"/>
        </w:rPr>
        <w:t xml:space="preserve"> 2019, the IPS budget is providing top-up </w:t>
      </w:r>
      <w:r w:rsidRPr="00EF6999">
        <w:rPr>
          <w:rFonts w:ascii="Arial" w:hAnsi="Arial" w:cs="Arial"/>
        </w:rPr>
        <w:t xml:space="preserve">payments for </w:t>
      </w:r>
      <w:r w:rsidR="00EF6999" w:rsidRPr="00EF6999">
        <w:rPr>
          <w:rFonts w:ascii="Arial" w:hAnsi="Arial" w:cs="Arial"/>
        </w:rPr>
        <w:t>336</w:t>
      </w:r>
      <w:r>
        <w:rPr>
          <w:rFonts w:ascii="Arial" w:hAnsi="Arial" w:cs="Arial"/>
        </w:rPr>
        <w:t xml:space="preserve"> pupils with SEN</w:t>
      </w:r>
      <w:r w:rsidR="00EF699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This compares </w:t>
      </w:r>
      <w:r w:rsidRPr="00595393">
        <w:rPr>
          <w:rFonts w:ascii="Arial" w:hAnsi="Arial" w:cs="Arial"/>
        </w:rPr>
        <w:t xml:space="preserve">to </w:t>
      </w:r>
      <w:r w:rsidR="00595393">
        <w:rPr>
          <w:rFonts w:ascii="Arial" w:hAnsi="Arial" w:cs="Arial"/>
        </w:rPr>
        <w:t>318</w:t>
      </w:r>
      <w:r w:rsidRPr="00595393">
        <w:rPr>
          <w:rFonts w:ascii="Arial" w:hAnsi="Arial" w:cs="Arial"/>
        </w:rPr>
        <w:t xml:space="preserve"> pupils</w:t>
      </w:r>
      <w:r>
        <w:rPr>
          <w:rFonts w:ascii="Arial" w:hAnsi="Arial" w:cs="Arial"/>
        </w:rPr>
        <w:t xml:space="preserve"> with top-up payments as at 31 March 2019. Funding of </w:t>
      </w:r>
      <w:r w:rsidRPr="00595393">
        <w:rPr>
          <w:rFonts w:ascii="Arial" w:hAnsi="Arial" w:cs="Arial"/>
        </w:rPr>
        <w:t xml:space="preserve">exceptional items is projected at </w:t>
      </w:r>
      <w:r w:rsidR="00325CB1" w:rsidRPr="00595393">
        <w:rPr>
          <w:rFonts w:ascii="Arial" w:hAnsi="Arial" w:cs="Arial"/>
        </w:rPr>
        <w:t>£0.</w:t>
      </w:r>
      <w:r w:rsidR="00C75E2A">
        <w:rPr>
          <w:rFonts w:ascii="Arial" w:hAnsi="Arial" w:cs="Arial"/>
        </w:rPr>
        <w:t>353</w:t>
      </w:r>
      <w:r w:rsidR="00325CB1" w:rsidRPr="00595393">
        <w:rPr>
          <w:rFonts w:ascii="Arial" w:hAnsi="Arial" w:cs="Arial"/>
        </w:rPr>
        <w:t>m</w:t>
      </w:r>
      <w:r w:rsidRPr="00595393">
        <w:rPr>
          <w:rFonts w:ascii="Arial" w:hAnsi="Arial" w:cs="Arial"/>
        </w:rPr>
        <w:t xml:space="preserve"> in 2019/20 compared to actual spending of </w:t>
      </w:r>
      <w:r w:rsidR="00595393" w:rsidRPr="00595393">
        <w:rPr>
          <w:rFonts w:ascii="Arial" w:hAnsi="Arial" w:cs="Arial"/>
        </w:rPr>
        <w:t>£0.249m</w:t>
      </w:r>
      <w:r w:rsidRPr="00595393">
        <w:rPr>
          <w:rFonts w:ascii="Arial" w:hAnsi="Arial" w:cs="Arial"/>
        </w:rPr>
        <w:t xml:space="preserve"> for 2018</w:t>
      </w:r>
      <w:r>
        <w:rPr>
          <w:rFonts w:ascii="Arial" w:hAnsi="Arial" w:cs="Arial"/>
        </w:rPr>
        <w:t>/19.</w:t>
      </w:r>
      <w:r w:rsidR="00EF6999">
        <w:rPr>
          <w:rFonts w:ascii="Arial" w:hAnsi="Arial" w:cs="Arial"/>
        </w:rPr>
        <w:t xml:space="preserve"> The projected expenditure for exceptional items has risen by £0.061m since the last forecast presented to Schools’ Forum.</w:t>
      </w:r>
    </w:p>
    <w:p w14:paraId="35F348AC" w14:textId="77777777" w:rsidR="00C342A0" w:rsidRDefault="00C342A0">
      <w:pPr>
        <w:ind w:left="709" w:hanging="709"/>
        <w:rPr>
          <w:rFonts w:ascii="Arial" w:hAnsi="Arial" w:cs="Arial"/>
        </w:rPr>
      </w:pPr>
    </w:p>
    <w:p w14:paraId="7F4493D6" w14:textId="77777777" w:rsidR="003B577C" w:rsidRDefault="003B577C">
      <w:pPr>
        <w:ind w:left="709" w:hanging="709"/>
        <w:rPr>
          <w:rFonts w:ascii="Arial" w:hAnsi="Arial" w:cs="Arial"/>
        </w:rPr>
      </w:pPr>
    </w:p>
    <w:p w14:paraId="04E872E1" w14:textId="77777777" w:rsidR="003B577C" w:rsidRDefault="003B577C">
      <w:pPr>
        <w:ind w:left="709" w:hanging="709"/>
        <w:rPr>
          <w:rFonts w:ascii="Arial" w:hAnsi="Arial" w:cs="Arial"/>
        </w:rPr>
      </w:pPr>
    </w:p>
    <w:p w14:paraId="648BD836" w14:textId="77777777" w:rsidR="003B577C" w:rsidRDefault="003B577C">
      <w:pPr>
        <w:ind w:left="709" w:hanging="709"/>
        <w:rPr>
          <w:rFonts w:ascii="Arial" w:hAnsi="Arial" w:cs="Arial"/>
        </w:rPr>
      </w:pPr>
    </w:p>
    <w:p w14:paraId="5137C6E6" w14:textId="05CFA1BD" w:rsidR="00906AE4" w:rsidRDefault="00C12D6E" w:rsidP="00906AE4">
      <w:pPr>
        <w:ind w:left="709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864C22">
        <w:rPr>
          <w:rFonts w:ascii="Arial" w:hAnsi="Arial" w:cs="Arial"/>
        </w:rPr>
        <w:t>10</w:t>
      </w:r>
      <w:r w:rsidR="00B63511">
        <w:rPr>
          <w:rFonts w:ascii="Arial" w:hAnsi="Arial" w:cs="Arial"/>
        </w:rPr>
        <w:tab/>
      </w:r>
      <w:r w:rsidR="00EF6999">
        <w:rPr>
          <w:rFonts w:ascii="Arial" w:hAnsi="Arial" w:cs="Arial"/>
          <w:u w:val="single"/>
        </w:rPr>
        <w:t>Exclusions (£0.524</w:t>
      </w:r>
      <w:r w:rsidR="00906AE4" w:rsidRPr="00C342A0">
        <w:rPr>
          <w:rFonts w:ascii="Arial" w:hAnsi="Arial" w:cs="Arial"/>
          <w:u w:val="single"/>
        </w:rPr>
        <w:t>m overspend projected</w:t>
      </w:r>
      <w:r w:rsidR="00906AE4">
        <w:rPr>
          <w:rFonts w:ascii="Arial" w:hAnsi="Arial" w:cs="Arial"/>
          <w:u w:val="single"/>
        </w:rPr>
        <w:t xml:space="preserve"> – mid case</w:t>
      </w:r>
      <w:r w:rsidR="00906AE4" w:rsidRPr="00C342A0">
        <w:rPr>
          <w:rFonts w:ascii="Arial" w:hAnsi="Arial" w:cs="Arial"/>
          <w:u w:val="single"/>
        </w:rPr>
        <w:t>)</w:t>
      </w:r>
    </w:p>
    <w:p w14:paraId="63D657BE" w14:textId="77777777" w:rsidR="0025655E" w:rsidRPr="00C342A0" w:rsidRDefault="0025655E" w:rsidP="00906AE4">
      <w:pPr>
        <w:ind w:left="709" w:hanging="709"/>
        <w:rPr>
          <w:rFonts w:ascii="Arial" w:hAnsi="Arial" w:cs="Arial"/>
          <w:u w:val="single"/>
        </w:rPr>
      </w:pPr>
    </w:p>
    <w:p w14:paraId="30F10D55" w14:textId="77777777" w:rsidR="00906AE4" w:rsidRDefault="00906AE4" w:rsidP="00906AE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This</w:t>
      </w:r>
      <w:r w:rsidR="00EF6999">
        <w:rPr>
          <w:rFonts w:ascii="Arial" w:hAnsi="Arial" w:cs="Arial"/>
        </w:rPr>
        <w:t xml:space="preserve"> area of expenditure </w:t>
      </w:r>
      <w:r>
        <w:rPr>
          <w:rFonts w:ascii="Arial" w:hAnsi="Arial" w:cs="Arial"/>
        </w:rPr>
        <w:t>combines the funding of excluded pupils placed in the PRU, along with</w:t>
      </w:r>
      <w:r w:rsidR="00EF6999">
        <w:rPr>
          <w:rFonts w:ascii="Arial" w:hAnsi="Arial" w:cs="Arial"/>
        </w:rPr>
        <w:t xml:space="preserve"> the costs of alternative</w:t>
      </w:r>
      <w:r w:rsidR="00AC289C">
        <w:rPr>
          <w:rFonts w:ascii="Arial" w:hAnsi="Arial" w:cs="Arial"/>
        </w:rPr>
        <w:t xml:space="preserve"> provision. The projected</w:t>
      </w:r>
      <w:r>
        <w:rPr>
          <w:rFonts w:ascii="Arial" w:hAnsi="Arial" w:cs="Arial"/>
        </w:rPr>
        <w:t xml:space="preserve"> </w:t>
      </w:r>
      <w:r w:rsidR="00AC289C">
        <w:rPr>
          <w:rFonts w:ascii="Arial" w:hAnsi="Arial" w:cs="Arial"/>
        </w:rPr>
        <w:t>expenditure of £0.656m</w:t>
      </w:r>
      <w:r>
        <w:rPr>
          <w:rFonts w:ascii="Arial" w:hAnsi="Arial" w:cs="Arial"/>
        </w:rPr>
        <w:t xml:space="preserve"> is net of the amount of funding able to be clawed back from the relevant home school for excluded pupils. </w:t>
      </w:r>
      <w:r w:rsidR="00AC289C">
        <w:rPr>
          <w:rFonts w:ascii="Arial" w:hAnsi="Arial" w:cs="Arial"/>
        </w:rPr>
        <w:t>As previously reported to Schools’ Forum, t</w:t>
      </w:r>
      <w:r>
        <w:rPr>
          <w:rFonts w:ascii="Arial" w:hAnsi="Arial" w:cs="Arial"/>
        </w:rPr>
        <w:t>he cost of exclusions on the high needs block is growing and has increased significantly during 2018/19 and 2019/20.</w:t>
      </w:r>
    </w:p>
    <w:p w14:paraId="2A9952A4" w14:textId="77777777" w:rsidR="00AC289C" w:rsidRDefault="00AC289C" w:rsidP="00906AE4">
      <w:pPr>
        <w:ind w:left="709" w:hanging="709"/>
        <w:rPr>
          <w:rFonts w:ascii="Arial" w:hAnsi="Arial" w:cs="Arial"/>
        </w:rPr>
      </w:pPr>
    </w:p>
    <w:p w14:paraId="57043279" w14:textId="77777777" w:rsidR="00AC289C" w:rsidRDefault="00AC289C" w:rsidP="00906AE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projected outturn of £0.656m now includes the cost of the estimated deficit for the PRU in 2019/20 of £0.230m. This is one of the key reasons for the </w:t>
      </w:r>
      <w:r w:rsidR="00AE744C">
        <w:rPr>
          <w:rFonts w:ascii="Arial" w:hAnsi="Arial" w:cs="Arial"/>
        </w:rPr>
        <w:t>increased deficit ou</w:t>
      </w:r>
      <w:r>
        <w:rPr>
          <w:rFonts w:ascii="Arial" w:hAnsi="Arial" w:cs="Arial"/>
        </w:rPr>
        <w:t xml:space="preserve">tturn projection from the last forecast. The projected overspend (mid-case) has increased from £0.165m to £0.524m in this update. The other key change relates to the anticipated expenditure for alternative provision that has increased significantly during the last quarter. </w:t>
      </w:r>
    </w:p>
    <w:p w14:paraId="57111E14" w14:textId="77777777" w:rsidR="00906AE4" w:rsidRDefault="00906AE4" w:rsidP="00906AE4">
      <w:pPr>
        <w:ind w:left="709" w:hanging="709"/>
        <w:rPr>
          <w:rFonts w:ascii="Arial" w:hAnsi="Arial" w:cs="Arial"/>
        </w:rPr>
      </w:pPr>
    </w:p>
    <w:p w14:paraId="46BBC21A" w14:textId="0680C141" w:rsidR="00F2265C" w:rsidRDefault="00906AE4">
      <w:pPr>
        <w:ind w:left="709" w:hanging="709"/>
        <w:rPr>
          <w:rFonts w:ascii="Arial" w:hAnsi="Arial" w:cs="Arial"/>
          <w:u w:val="single"/>
        </w:rPr>
      </w:pPr>
      <w:r w:rsidRPr="00906AE4">
        <w:rPr>
          <w:rFonts w:ascii="Arial" w:hAnsi="Arial" w:cs="Arial"/>
        </w:rPr>
        <w:t>4.</w:t>
      </w:r>
      <w:r w:rsidR="00864C22">
        <w:rPr>
          <w:rFonts w:ascii="Arial" w:hAnsi="Arial" w:cs="Arial"/>
        </w:rPr>
        <w:t>11</w:t>
      </w:r>
      <w:r w:rsidRPr="00906AE4">
        <w:rPr>
          <w:rFonts w:ascii="Arial" w:hAnsi="Arial" w:cs="Arial"/>
        </w:rPr>
        <w:tab/>
      </w:r>
      <w:r w:rsidR="00F2265C" w:rsidRPr="00906AE4">
        <w:rPr>
          <w:rFonts w:ascii="Arial" w:hAnsi="Arial" w:cs="Arial"/>
          <w:u w:val="single"/>
        </w:rPr>
        <w:t>Po</w:t>
      </w:r>
      <w:r w:rsidR="00E840DD" w:rsidRPr="00906AE4">
        <w:rPr>
          <w:rFonts w:ascii="Arial" w:hAnsi="Arial" w:cs="Arial"/>
          <w:u w:val="single"/>
        </w:rPr>
        <w:t>st-16 top-up funding (£0.093</w:t>
      </w:r>
      <w:r w:rsidR="00E0381A" w:rsidRPr="00906AE4">
        <w:rPr>
          <w:rFonts w:ascii="Arial" w:hAnsi="Arial" w:cs="Arial"/>
          <w:u w:val="single"/>
        </w:rPr>
        <w:t>m und</w:t>
      </w:r>
      <w:r w:rsidR="00725E24" w:rsidRPr="00906AE4">
        <w:rPr>
          <w:rFonts w:ascii="Arial" w:hAnsi="Arial" w:cs="Arial"/>
          <w:u w:val="single"/>
        </w:rPr>
        <w:t>erspend</w:t>
      </w:r>
      <w:r w:rsidR="00F25D68" w:rsidRPr="00906AE4">
        <w:rPr>
          <w:rFonts w:ascii="Arial" w:hAnsi="Arial" w:cs="Arial"/>
          <w:u w:val="single"/>
        </w:rPr>
        <w:t xml:space="preserve"> projected</w:t>
      </w:r>
      <w:r w:rsidR="00F2265C" w:rsidRPr="00906AE4">
        <w:rPr>
          <w:rFonts w:ascii="Arial" w:hAnsi="Arial" w:cs="Arial"/>
          <w:u w:val="single"/>
        </w:rPr>
        <w:t>)</w:t>
      </w:r>
    </w:p>
    <w:p w14:paraId="2C123B4F" w14:textId="77777777" w:rsidR="0025655E" w:rsidRPr="00906AE4" w:rsidRDefault="0025655E">
      <w:pPr>
        <w:ind w:left="709" w:hanging="709"/>
        <w:rPr>
          <w:rFonts w:ascii="Arial" w:hAnsi="Arial" w:cs="Arial"/>
        </w:rPr>
      </w:pPr>
    </w:p>
    <w:p w14:paraId="527A13B3" w14:textId="77777777" w:rsidR="004C5FD4" w:rsidRDefault="00E840DD" w:rsidP="00F2265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25E24">
        <w:rPr>
          <w:rFonts w:ascii="Arial" w:hAnsi="Arial" w:cs="Arial"/>
        </w:rPr>
        <w:t xml:space="preserve">n-year spending is difficult to predict </w:t>
      </w:r>
      <w:r w:rsidR="00A673B8">
        <w:rPr>
          <w:rFonts w:ascii="Arial" w:hAnsi="Arial" w:cs="Arial"/>
        </w:rPr>
        <w:t xml:space="preserve">owing </w:t>
      </w:r>
      <w:r w:rsidR="00725E24">
        <w:rPr>
          <w:rFonts w:ascii="Arial" w:hAnsi="Arial" w:cs="Arial"/>
        </w:rPr>
        <w:t xml:space="preserve">to the learning choices available to individual learners. However, </w:t>
      </w:r>
      <w:r>
        <w:rPr>
          <w:rFonts w:ascii="Arial" w:hAnsi="Arial" w:cs="Arial"/>
        </w:rPr>
        <w:t xml:space="preserve">payments relating to academic year 2018/19 have now been confirmed and estimates of 2019/20 academic year payments has been collated. </w:t>
      </w:r>
      <w:r w:rsidR="002B2F47">
        <w:rPr>
          <w:rFonts w:ascii="Arial" w:hAnsi="Arial" w:cs="Arial"/>
        </w:rPr>
        <w:t xml:space="preserve">Final payments for the 2019/20 academic year will be known at the end of October 2019. Based on current estimates, </w:t>
      </w:r>
      <w:proofErr w:type="gramStart"/>
      <w:r w:rsidR="002B2F47">
        <w:rPr>
          <w:rFonts w:ascii="Arial" w:hAnsi="Arial" w:cs="Arial"/>
        </w:rPr>
        <w:t>an underspend</w:t>
      </w:r>
      <w:proofErr w:type="gramEnd"/>
      <w:r w:rsidR="002B2F47">
        <w:rPr>
          <w:rFonts w:ascii="Arial" w:hAnsi="Arial" w:cs="Arial"/>
        </w:rPr>
        <w:t xml:space="preserve"> of £0.093m is projected.</w:t>
      </w:r>
      <w:r>
        <w:rPr>
          <w:rFonts w:ascii="Arial" w:hAnsi="Arial" w:cs="Arial"/>
        </w:rPr>
        <w:t xml:space="preserve"> </w:t>
      </w:r>
      <w:r w:rsidR="00307A19">
        <w:rPr>
          <w:rFonts w:ascii="Arial" w:hAnsi="Arial" w:cs="Arial"/>
        </w:rPr>
        <w:t>This projection is unchanged from the last update to Forum.</w:t>
      </w:r>
    </w:p>
    <w:p w14:paraId="3052973D" w14:textId="77777777" w:rsidR="004C5FD4" w:rsidRDefault="004C5FD4">
      <w:pPr>
        <w:rPr>
          <w:rFonts w:ascii="Arial" w:hAnsi="Arial" w:cs="Arial"/>
        </w:rPr>
      </w:pPr>
    </w:p>
    <w:p w14:paraId="6B80D780" w14:textId="72497ABA" w:rsidR="00F2265C" w:rsidRDefault="00906AE4">
      <w:pPr>
        <w:ind w:left="709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4.</w:t>
      </w:r>
      <w:r w:rsidR="00864C22">
        <w:rPr>
          <w:rFonts w:ascii="Arial" w:hAnsi="Arial" w:cs="Arial"/>
        </w:rPr>
        <w:t>12</w:t>
      </w:r>
      <w:r w:rsidR="00C12D6E">
        <w:rPr>
          <w:rFonts w:ascii="Arial" w:hAnsi="Arial" w:cs="Arial"/>
        </w:rPr>
        <w:tab/>
      </w:r>
      <w:r w:rsidR="005E2E8A">
        <w:rPr>
          <w:rFonts w:ascii="Arial" w:hAnsi="Arial" w:cs="Arial"/>
          <w:u w:val="single"/>
        </w:rPr>
        <w:t>Support Services (nil variance</w:t>
      </w:r>
      <w:r w:rsidR="00F25D68">
        <w:rPr>
          <w:rFonts w:ascii="Arial" w:hAnsi="Arial" w:cs="Arial"/>
          <w:u w:val="single"/>
        </w:rPr>
        <w:t xml:space="preserve"> projected</w:t>
      </w:r>
      <w:r w:rsidR="00F2265C" w:rsidRPr="004A3200">
        <w:rPr>
          <w:rFonts w:ascii="Arial" w:hAnsi="Arial" w:cs="Arial"/>
          <w:u w:val="single"/>
        </w:rPr>
        <w:t>)</w:t>
      </w:r>
    </w:p>
    <w:p w14:paraId="48D82942" w14:textId="77777777" w:rsidR="0025655E" w:rsidRDefault="0025655E">
      <w:pPr>
        <w:ind w:left="709" w:hanging="709"/>
        <w:rPr>
          <w:rFonts w:ascii="Arial" w:hAnsi="Arial" w:cs="Arial"/>
        </w:rPr>
      </w:pPr>
    </w:p>
    <w:p w14:paraId="27B3A836" w14:textId="77777777" w:rsidR="00D22808" w:rsidRDefault="00F2265C" w:rsidP="00F2265C">
      <w:pPr>
        <w:ind w:left="709"/>
        <w:rPr>
          <w:rFonts w:ascii="Arial" w:hAnsi="Arial" w:cs="Arial"/>
          <w:noProof/>
          <w:color w:val="000000" w:themeColor="text1"/>
          <w:lang w:eastAsia="en-GB"/>
        </w:rPr>
      </w:pPr>
      <w:r>
        <w:rPr>
          <w:rFonts w:ascii="Arial" w:hAnsi="Arial" w:cs="Arial"/>
        </w:rPr>
        <w:t xml:space="preserve">The contribution from </w:t>
      </w:r>
      <w:r w:rsidR="0025655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high needs </w:t>
      </w:r>
      <w:r w:rsidR="0025655E">
        <w:rPr>
          <w:rFonts w:ascii="Arial" w:hAnsi="Arial" w:cs="Arial"/>
        </w:rPr>
        <w:t xml:space="preserve">block </w:t>
      </w:r>
      <w:r>
        <w:rPr>
          <w:rFonts w:ascii="Arial" w:hAnsi="Arial" w:cs="Arial"/>
        </w:rPr>
        <w:t>to local authority support services has been maintained at budget level</w:t>
      </w:r>
      <w:r w:rsidR="00E840DD">
        <w:rPr>
          <w:rFonts w:ascii="Arial" w:hAnsi="Arial" w:cs="Arial"/>
        </w:rPr>
        <w:t xml:space="preserve"> for 2019/20</w:t>
      </w:r>
      <w:r>
        <w:rPr>
          <w:rFonts w:ascii="Arial" w:hAnsi="Arial" w:cs="Arial"/>
        </w:rPr>
        <w:t>, with inflationary increases being absorbed by the local authority.</w:t>
      </w:r>
      <w:r w:rsidR="00D22808" w:rsidRPr="00BA251F">
        <w:rPr>
          <w:rFonts w:ascii="Arial" w:hAnsi="Arial" w:cs="Arial"/>
          <w:noProof/>
          <w:color w:val="000000" w:themeColor="text1"/>
          <w:lang w:eastAsia="en-GB"/>
        </w:rPr>
        <w:t xml:space="preserve"> </w:t>
      </w:r>
    </w:p>
    <w:p w14:paraId="3248F44A" w14:textId="77777777" w:rsidR="00C434FA" w:rsidRDefault="00C434FA" w:rsidP="00F2265C">
      <w:pPr>
        <w:ind w:left="709"/>
        <w:rPr>
          <w:rFonts w:ascii="Arial" w:hAnsi="Arial" w:cs="Arial"/>
          <w:noProof/>
          <w:color w:val="000000" w:themeColor="text1"/>
          <w:lang w:eastAsia="en-GB"/>
        </w:rPr>
      </w:pPr>
    </w:p>
    <w:p w14:paraId="33D0781A" w14:textId="5155E402" w:rsidR="00A64FDC" w:rsidRDefault="00906AE4" w:rsidP="00950E89">
      <w:pPr>
        <w:ind w:left="709" w:hanging="709"/>
        <w:rPr>
          <w:rFonts w:ascii="Arial" w:hAnsi="Arial" w:cs="Arial"/>
          <w:noProof/>
          <w:color w:val="000000" w:themeColor="text1"/>
          <w:lang w:eastAsia="en-GB"/>
        </w:rPr>
      </w:pPr>
      <w:r>
        <w:rPr>
          <w:rFonts w:ascii="Arial" w:hAnsi="Arial" w:cs="Arial"/>
          <w:noProof/>
          <w:color w:val="000000" w:themeColor="text1"/>
          <w:lang w:eastAsia="en-GB"/>
        </w:rPr>
        <w:t>4.</w:t>
      </w:r>
      <w:r w:rsidR="00C012C1">
        <w:rPr>
          <w:rFonts w:ascii="Arial" w:hAnsi="Arial" w:cs="Arial"/>
          <w:noProof/>
          <w:color w:val="000000" w:themeColor="text1"/>
          <w:lang w:eastAsia="en-GB"/>
        </w:rPr>
        <w:t>1</w:t>
      </w:r>
      <w:r w:rsidR="00864C22">
        <w:rPr>
          <w:rFonts w:ascii="Arial" w:hAnsi="Arial" w:cs="Arial"/>
          <w:noProof/>
          <w:color w:val="000000" w:themeColor="text1"/>
          <w:lang w:eastAsia="en-GB"/>
        </w:rPr>
        <w:t>3</w:t>
      </w:r>
      <w:r w:rsidR="00C434FA">
        <w:rPr>
          <w:rFonts w:ascii="Arial" w:hAnsi="Arial" w:cs="Arial"/>
          <w:noProof/>
          <w:color w:val="000000" w:themeColor="text1"/>
          <w:lang w:eastAsia="en-GB"/>
        </w:rPr>
        <w:tab/>
      </w:r>
      <w:r w:rsidR="005E2E8A">
        <w:rPr>
          <w:rFonts w:ascii="Arial" w:hAnsi="Arial" w:cs="Arial"/>
          <w:noProof/>
          <w:color w:val="000000" w:themeColor="text1"/>
          <w:lang w:eastAsia="en-GB"/>
        </w:rPr>
        <w:tab/>
      </w:r>
      <w:r w:rsidR="007515E2">
        <w:rPr>
          <w:rFonts w:ascii="Arial" w:hAnsi="Arial" w:cs="Arial"/>
          <w:noProof/>
          <w:color w:val="000000" w:themeColor="text1"/>
          <w:lang w:eastAsia="en-GB"/>
        </w:rPr>
        <w:t>T</w:t>
      </w:r>
      <w:r w:rsidR="00A55305">
        <w:rPr>
          <w:rFonts w:ascii="Arial" w:hAnsi="Arial" w:cs="Arial"/>
          <w:noProof/>
          <w:color w:val="000000" w:themeColor="text1"/>
          <w:lang w:eastAsia="en-GB"/>
        </w:rPr>
        <w:t>he projected</w:t>
      </w:r>
      <w:r w:rsidR="00725E24">
        <w:rPr>
          <w:rFonts w:ascii="Arial" w:hAnsi="Arial" w:cs="Arial"/>
          <w:noProof/>
          <w:color w:val="000000" w:themeColor="text1"/>
          <w:lang w:eastAsia="en-GB"/>
        </w:rPr>
        <w:t xml:space="preserve"> outturn positio</w:t>
      </w:r>
      <w:r w:rsidR="00A55305">
        <w:rPr>
          <w:rFonts w:ascii="Arial" w:hAnsi="Arial" w:cs="Arial"/>
          <w:noProof/>
          <w:color w:val="000000" w:themeColor="text1"/>
          <w:lang w:eastAsia="en-GB"/>
        </w:rPr>
        <w:t>n</w:t>
      </w:r>
      <w:r w:rsidR="00A64FDC">
        <w:rPr>
          <w:rFonts w:ascii="Arial" w:hAnsi="Arial" w:cs="Arial"/>
          <w:noProof/>
          <w:color w:val="000000" w:themeColor="text1"/>
          <w:lang w:eastAsia="en-GB"/>
        </w:rPr>
        <w:t xml:space="preserve"> (mid-case)</w:t>
      </w:r>
      <w:r w:rsidR="00A55305">
        <w:rPr>
          <w:rFonts w:ascii="Arial" w:hAnsi="Arial" w:cs="Arial"/>
          <w:noProof/>
          <w:color w:val="000000" w:themeColor="text1"/>
          <w:lang w:eastAsia="en-GB"/>
        </w:rPr>
        <w:t xml:space="preserve"> on high needs spending in 2019/20 is an ov</w:t>
      </w:r>
      <w:r w:rsidR="00725E24">
        <w:rPr>
          <w:rFonts w:ascii="Arial" w:hAnsi="Arial" w:cs="Arial"/>
          <w:noProof/>
          <w:color w:val="000000" w:themeColor="text1"/>
          <w:lang w:eastAsia="en-GB"/>
        </w:rPr>
        <w:t xml:space="preserve">erspend of </w:t>
      </w:r>
      <w:r w:rsidR="00A64FDC">
        <w:rPr>
          <w:rFonts w:ascii="Arial" w:hAnsi="Arial" w:cs="Arial"/>
          <w:b/>
          <w:noProof/>
          <w:color w:val="000000" w:themeColor="text1"/>
          <w:lang w:eastAsia="en-GB"/>
        </w:rPr>
        <w:t>£0.</w:t>
      </w:r>
      <w:r w:rsidR="007515E2">
        <w:rPr>
          <w:rFonts w:ascii="Arial" w:hAnsi="Arial" w:cs="Arial"/>
          <w:b/>
          <w:noProof/>
          <w:color w:val="000000" w:themeColor="text1"/>
          <w:lang w:eastAsia="en-GB"/>
        </w:rPr>
        <w:t>739</w:t>
      </w:r>
      <w:r w:rsidR="00725E24" w:rsidRPr="00A8059B">
        <w:rPr>
          <w:rFonts w:ascii="Arial" w:hAnsi="Arial" w:cs="Arial"/>
          <w:b/>
          <w:noProof/>
          <w:color w:val="000000" w:themeColor="text1"/>
          <w:lang w:eastAsia="en-GB"/>
        </w:rPr>
        <w:t>m</w:t>
      </w:r>
      <w:r w:rsidR="00496346">
        <w:rPr>
          <w:rFonts w:ascii="Arial" w:hAnsi="Arial" w:cs="Arial"/>
          <w:noProof/>
          <w:color w:val="000000" w:themeColor="text1"/>
          <w:lang w:eastAsia="en-GB"/>
        </w:rPr>
        <w:t xml:space="preserve">. There is currently </w:t>
      </w:r>
      <w:r w:rsidR="00496346" w:rsidRPr="00496346">
        <w:rPr>
          <w:rFonts w:ascii="Arial" w:hAnsi="Arial" w:cs="Arial"/>
          <w:b/>
          <w:noProof/>
          <w:color w:val="000000" w:themeColor="text1"/>
          <w:lang w:eastAsia="en-GB"/>
        </w:rPr>
        <w:t>£0.314m</w:t>
      </w:r>
      <w:r w:rsidR="00496346">
        <w:rPr>
          <w:rFonts w:ascii="Arial" w:hAnsi="Arial" w:cs="Arial"/>
          <w:noProof/>
          <w:color w:val="000000" w:themeColor="text1"/>
          <w:lang w:eastAsia="en-GB"/>
        </w:rPr>
        <w:t xml:space="preserve"> earmarked in DSG reserves to </w:t>
      </w:r>
      <w:r w:rsidR="00393BBE">
        <w:rPr>
          <w:rFonts w:ascii="Arial" w:hAnsi="Arial" w:cs="Arial"/>
          <w:noProof/>
          <w:color w:val="000000" w:themeColor="text1"/>
          <w:lang w:eastAsia="en-GB"/>
        </w:rPr>
        <w:t xml:space="preserve">partially </w:t>
      </w:r>
      <w:r w:rsidR="00A40C03">
        <w:rPr>
          <w:rFonts w:ascii="Arial" w:hAnsi="Arial" w:cs="Arial"/>
          <w:noProof/>
          <w:color w:val="000000" w:themeColor="text1"/>
          <w:lang w:eastAsia="en-GB"/>
        </w:rPr>
        <w:t>f</w:t>
      </w:r>
      <w:r w:rsidR="00496346">
        <w:rPr>
          <w:rFonts w:ascii="Arial" w:hAnsi="Arial" w:cs="Arial"/>
          <w:noProof/>
          <w:color w:val="000000" w:themeColor="text1"/>
          <w:lang w:eastAsia="en-GB"/>
        </w:rPr>
        <w:t>und this poten</w:t>
      </w:r>
      <w:r w:rsidR="00A40C03">
        <w:rPr>
          <w:rFonts w:ascii="Arial" w:hAnsi="Arial" w:cs="Arial"/>
          <w:noProof/>
          <w:color w:val="000000" w:themeColor="text1"/>
          <w:lang w:eastAsia="en-GB"/>
        </w:rPr>
        <w:t>tial</w:t>
      </w:r>
      <w:r w:rsidR="00496346">
        <w:rPr>
          <w:rFonts w:ascii="Arial" w:hAnsi="Arial" w:cs="Arial"/>
          <w:noProof/>
          <w:color w:val="000000" w:themeColor="text1"/>
          <w:lang w:eastAsia="en-GB"/>
        </w:rPr>
        <w:t xml:space="preserve"> overspend.</w:t>
      </w:r>
    </w:p>
    <w:p w14:paraId="6718F7B7" w14:textId="77777777" w:rsidR="007515E2" w:rsidRDefault="007515E2" w:rsidP="00950E89">
      <w:pPr>
        <w:ind w:left="709" w:hanging="709"/>
        <w:rPr>
          <w:rFonts w:ascii="Arial" w:hAnsi="Arial" w:cs="Arial"/>
          <w:noProof/>
          <w:color w:val="000000" w:themeColor="text1"/>
          <w:lang w:eastAsia="en-GB"/>
        </w:rPr>
      </w:pPr>
    </w:p>
    <w:p w14:paraId="43E42343" w14:textId="07DE7ACD" w:rsidR="007515E2" w:rsidRDefault="007515E2" w:rsidP="00950E89">
      <w:pPr>
        <w:ind w:left="709" w:hanging="709"/>
        <w:rPr>
          <w:rFonts w:ascii="Arial" w:hAnsi="Arial" w:cs="Arial"/>
          <w:noProof/>
          <w:color w:val="000000" w:themeColor="text1"/>
          <w:lang w:eastAsia="en-GB"/>
        </w:rPr>
      </w:pPr>
      <w:r>
        <w:rPr>
          <w:rFonts w:ascii="Arial" w:hAnsi="Arial" w:cs="Arial"/>
          <w:noProof/>
          <w:color w:val="000000" w:themeColor="text1"/>
          <w:lang w:eastAsia="en-GB"/>
        </w:rPr>
        <w:t>4.14</w:t>
      </w:r>
      <w:r>
        <w:rPr>
          <w:rFonts w:ascii="Arial" w:hAnsi="Arial" w:cs="Arial"/>
          <w:noProof/>
          <w:color w:val="000000" w:themeColor="text1"/>
          <w:lang w:eastAsia="en-GB"/>
        </w:rPr>
        <w:tab/>
      </w:r>
      <w:r w:rsidRPr="00FD58CF">
        <w:rPr>
          <w:rFonts w:ascii="Arial" w:hAnsi="Arial" w:cs="Arial"/>
          <w:noProof/>
          <w:color w:val="000000" w:themeColor="text1"/>
          <w:lang w:eastAsia="en-GB"/>
        </w:rPr>
        <w:t>Were the projected £0.739m to materialise, the deficit of £0.425m would need to be repaid. Repayment of an estimated deficit (up to £0.531m) has been assumed in the high needs block budget requirement for 2020/21.</w:t>
      </w:r>
      <w:r>
        <w:rPr>
          <w:rFonts w:ascii="Arial" w:hAnsi="Arial" w:cs="Arial"/>
          <w:noProof/>
          <w:color w:val="000000" w:themeColor="text1"/>
          <w:lang w:eastAsia="en-GB"/>
        </w:rPr>
        <w:t xml:space="preserve"> </w:t>
      </w:r>
    </w:p>
    <w:p w14:paraId="5F9C4048" w14:textId="77777777" w:rsidR="00DD0E20" w:rsidRDefault="00DD0E20" w:rsidP="005E2E8A">
      <w:pPr>
        <w:ind w:left="709" w:hanging="709"/>
        <w:rPr>
          <w:rFonts w:ascii="Arial" w:hAnsi="Arial" w:cs="Arial"/>
          <w:noProof/>
          <w:color w:val="000000" w:themeColor="text1"/>
          <w:lang w:eastAsia="en-GB"/>
        </w:rPr>
      </w:pPr>
    </w:p>
    <w:p w14:paraId="085AE4E6" w14:textId="77777777" w:rsidR="00D22808" w:rsidRPr="004E4BFB" w:rsidRDefault="00276FC8" w:rsidP="00D22808">
      <w:p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D22808" w:rsidRPr="00741D19">
        <w:rPr>
          <w:rFonts w:ascii="Arial" w:hAnsi="Arial" w:cs="Arial"/>
          <w:b/>
        </w:rPr>
        <w:t xml:space="preserve">. </w:t>
      </w:r>
      <w:r w:rsidR="00D22808" w:rsidRPr="00741D19">
        <w:rPr>
          <w:rFonts w:ascii="Arial" w:hAnsi="Arial" w:cs="Arial"/>
          <w:b/>
        </w:rPr>
        <w:tab/>
      </w:r>
      <w:r w:rsidR="00D22808" w:rsidRPr="00741D19">
        <w:rPr>
          <w:rFonts w:ascii="Arial" w:hAnsi="Arial" w:cs="Arial"/>
          <w:b/>
        </w:rPr>
        <w:tab/>
      </w:r>
      <w:r w:rsidR="00771B60">
        <w:rPr>
          <w:rFonts w:ascii="Arial" w:hAnsi="Arial" w:cs="Arial"/>
          <w:b/>
          <w:u w:val="single"/>
        </w:rPr>
        <w:t>Looking Ahead to 2020/21</w:t>
      </w:r>
    </w:p>
    <w:p w14:paraId="220BFDC2" w14:textId="77777777" w:rsidR="00D22808" w:rsidRPr="00D22808" w:rsidRDefault="00D22808" w:rsidP="00D22808">
      <w:pPr>
        <w:rPr>
          <w:rFonts w:ascii="Arial" w:hAnsi="Arial" w:cs="Arial"/>
        </w:rPr>
      </w:pPr>
    </w:p>
    <w:p w14:paraId="4112C9C7" w14:textId="74AECB0B" w:rsidR="004D7443" w:rsidRDefault="00276FC8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44CFF">
        <w:rPr>
          <w:rFonts w:ascii="Arial" w:hAnsi="Arial" w:cs="Arial"/>
        </w:rPr>
        <w:t>.1</w:t>
      </w:r>
      <w:r w:rsidR="00744CFF">
        <w:rPr>
          <w:rFonts w:ascii="Arial" w:hAnsi="Arial" w:cs="Arial"/>
        </w:rPr>
        <w:tab/>
      </w:r>
      <w:r w:rsidR="004D7443">
        <w:rPr>
          <w:rFonts w:ascii="Arial" w:hAnsi="Arial" w:cs="Arial"/>
        </w:rPr>
        <w:t>The outturn projection contained in this report reflects yet further financial pr</w:t>
      </w:r>
      <w:r w:rsidR="003A3717">
        <w:rPr>
          <w:rFonts w:ascii="Arial" w:hAnsi="Arial" w:cs="Arial"/>
        </w:rPr>
        <w:t xml:space="preserve">essure for high needs spending. The </w:t>
      </w:r>
      <w:r w:rsidR="00AE744C">
        <w:rPr>
          <w:rFonts w:ascii="Arial" w:hAnsi="Arial" w:cs="Arial"/>
        </w:rPr>
        <w:t xml:space="preserve">deficit on the </w:t>
      </w:r>
      <w:r w:rsidR="003A3717">
        <w:rPr>
          <w:rFonts w:ascii="Arial" w:hAnsi="Arial" w:cs="Arial"/>
        </w:rPr>
        <w:t xml:space="preserve">mid-case projection presented in this report has </w:t>
      </w:r>
      <w:r w:rsidR="00AE744C">
        <w:rPr>
          <w:rFonts w:ascii="Arial" w:hAnsi="Arial" w:cs="Arial"/>
        </w:rPr>
        <w:t>increased</w:t>
      </w:r>
      <w:r w:rsidR="00BB7DDF">
        <w:rPr>
          <w:rFonts w:ascii="Arial" w:hAnsi="Arial" w:cs="Arial"/>
        </w:rPr>
        <w:t xml:space="preserve"> by £0.252</w:t>
      </w:r>
      <w:r w:rsidR="00D74A1E">
        <w:rPr>
          <w:rFonts w:ascii="Arial" w:hAnsi="Arial" w:cs="Arial"/>
        </w:rPr>
        <w:t>m</w:t>
      </w:r>
      <w:r w:rsidR="00BB7DDF">
        <w:rPr>
          <w:rFonts w:ascii="Arial" w:hAnsi="Arial" w:cs="Arial"/>
        </w:rPr>
        <w:t xml:space="preserve"> </w:t>
      </w:r>
      <w:r w:rsidR="003A3717">
        <w:rPr>
          <w:rFonts w:ascii="Arial" w:hAnsi="Arial" w:cs="Arial"/>
        </w:rPr>
        <w:t>since the last update.</w:t>
      </w:r>
    </w:p>
    <w:p w14:paraId="08D3AA04" w14:textId="77777777" w:rsidR="004D7443" w:rsidRDefault="004D7443" w:rsidP="00E60B25">
      <w:pPr>
        <w:ind w:left="720" w:hanging="720"/>
        <w:rPr>
          <w:rFonts w:ascii="Arial" w:hAnsi="Arial" w:cs="Arial"/>
        </w:rPr>
      </w:pPr>
    </w:p>
    <w:p w14:paraId="3B2E234F" w14:textId="77777777" w:rsidR="004D7443" w:rsidRDefault="004D7443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  <w:t>Delivery of the outcomes and actions from the High Needs Task and Finish Group, along with the op</w:t>
      </w:r>
      <w:r w:rsidR="003A3717">
        <w:rPr>
          <w:rFonts w:ascii="Arial" w:hAnsi="Arial" w:cs="Arial"/>
        </w:rPr>
        <w:t>ening of the new Free School remain</w:t>
      </w:r>
      <w:r>
        <w:rPr>
          <w:rFonts w:ascii="Arial" w:hAnsi="Arial" w:cs="Arial"/>
        </w:rPr>
        <w:t xml:space="preserve"> critical to </w:t>
      </w:r>
      <w:r w:rsidR="00331102">
        <w:rPr>
          <w:rFonts w:ascii="Arial" w:hAnsi="Arial" w:cs="Arial"/>
        </w:rPr>
        <w:t>addressing the ongoing increase in demand, complexity of need and associated financial pressure</w:t>
      </w:r>
      <w:r w:rsidR="00342DD9">
        <w:rPr>
          <w:rFonts w:ascii="Arial" w:hAnsi="Arial" w:cs="Arial"/>
        </w:rPr>
        <w:t>s</w:t>
      </w:r>
      <w:r w:rsidR="00331102">
        <w:rPr>
          <w:rFonts w:ascii="Arial" w:hAnsi="Arial" w:cs="Arial"/>
        </w:rPr>
        <w:t>.</w:t>
      </w:r>
    </w:p>
    <w:p w14:paraId="740D6EF4" w14:textId="77777777" w:rsidR="00331102" w:rsidRDefault="00331102" w:rsidP="00E60B25">
      <w:pPr>
        <w:ind w:left="720" w:hanging="720"/>
        <w:rPr>
          <w:rFonts w:ascii="Arial" w:hAnsi="Arial" w:cs="Arial"/>
        </w:rPr>
      </w:pPr>
    </w:p>
    <w:p w14:paraId="42667E00" w14:textId="0EBC3FC9" w:rsidR="00E53F95" w:rsidRDefault="00331102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5.4</w:t>
      </w:r>
      <w:r>
        <w:rPr>
          <w:rFonts w:ascii="Arial" w:hAnsi="Arial" w:cs="Arial"/>
        </w:rPr>
        <w:tab/>
      </w:r>
      <w:r w:rsidR="003A3717">
        <w:rPr>
          <w:rFonts w:ascii="Arial" w:hAnsi="Arial" w:cs="Arial"/>
        </w:rPr>
        <w:t xml:space="preserve">The budget requirement presented to Schools’ Forum for </w:t>
      </w:r>
      <w:r w:rsidR="00950E89">
        <w:rPr>
          <w:rFonts w:ascii="Arial" w:hAnsi="Arial" w:cs="Arial"/>
        </w:rPr>
        <w:t>2020/21 for high needs that prompted the £0.550m block transfer was predicated on the worse-case scenario for 2019/20 reported in the last update to Forum. Therefore, the position presented in this report currently remains in line with the estimated budget requirement for 2020/21</w:t>
      </w:r>
      <w:r w:rsidR="001E3076">
        <w:rPr>
          <w:rFonts w:ascii="Arial" w:hAnsi="Arial" w:cs="Arial"/>
        </w:rPr>
        <w:t xml:space="preserve"> of £11.381m</w:t>
      </w:r>
      <w:r w:rsidR="00950E89">
        <w:rPr>
          <w:rFonts w:ascii="Arial" w:hAnsi="Arial" w:cs="Arial"/>
        </w:rPr>
        <w:t xml:space="preserve">. However, clearly the position continues to require very careful monitoring. </w:t>
      </w:r>
    </w:p>
    <w:p w14:paraId="7D19CA88" w14:textId="77777777" w:rsidR="007515E2" w:rsidRDefault="007515E2" w:rsidP="00E60B25">
      <w:pPr>
        <w:ind w:left="720" w:hanging="720"/>
        <w:rPr>
          <w:rFonts w:ascii="Arial" w:hAnsi="Arial" w:cs="Arial"/>
        </w:rPr>
      </w:pPr>
    </w:p>
    <w:p w14:paraId="617BCF39" w14:textId="47F88C72" w:rsidR="007515E2" w:rsidRDefault="007515E2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5.5</w:t>
      </w:r>
      <w:r>
        <w:rPr>
          <w:rFonts w:ascii="Arial" w:hAnsi="Arial" w:cs="Arial"/>
        </w:rPr>
        <w:tab/>
        <w:t>Schools’ Forum will recall that there is an estimated unfunded amount against the 2020/21 budget requirement of £0.127m as reported to Forum on 25 October 2019. Once the final outturn for 2019/20 is known, the position on any repayment of deficit and a revised figure for any unfunded amount in 2020/21 can be confirmed.</w:t>
      </w:r>
    </w:p>
    <w:p w14:paraId="66121BAF" w14:textId="77777777" w:rsidR="003B577C" w:rsidRDefault="003B577C" w:rsidP="00E60B25">
      <w:pPr>
        <w:ind w:left="720" w:hanging="720"/>
        <w:rPr>
          <w:rFonts w:ascii="Arial" w:hAnsi="Arial" w:cs="Arial"/>
        </w:rPr>
      </w:pPr>
    </w:p>
    <w:p w14:paraId="5FBCE5C9" w14:textId="77777777" w:rsidR="003B577C" w:rsidRDefault="003B577C" w:rsidP="00E60B25">
      <w:pPr>
        <w:ind w:left="720" w:hanging="720"/>
        <w:rPr>
          <w:rFonts w:ascii="Arial" w:hAnsi="Arial" w:cs="Arial"/>
        </w:rPr>
      </w:pPr>
    </w:p>
    <w:p w14:paraId="2897F53E" w14:textId="77777777" w:rsidR="00FC2304" w:rsidRDefault="00276FC8" w:rsidP="00FC2304">
      <w:pPr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6</w:t>
      </w:r>
      <w:r w:rsidR="00D22808" w:rsidRPr="00D22808">
        <w:rPr>
          <w:rFonts w:ascii="Arial" w:hAnsi="Arial" w:cs="Arial"/>
          <w:b/>
        </w:rPr>
        <w:t>.</w:t>
      </w:r>
      <w:r w:rsidR="00FC2304">
        <w:rPr>
          <w:rFonts w:ascii="Arial" w:hAnsi="Arial" w:cs="Arial"/>
        </w:rPr>
        <w:tab/>
      </w:r>
      <w:r w:rsidR="00FC2304" w:rsidRPr="00FC2304">
        <w:rPr>
          <w:rFonts w:ascii="Arial" w:hAnsi="Arial" w:cs="Arial"/>
          <w:b/>
          <w:u w:val="single"/>
        </w:rPr>
        <w:t>Recommendations</w:t>
      </w:r>
    </w:p>
    <w:p w14:paraId="68A80FC8" w14:textId="77777777" w:rsidR="00FC2304" w:rsidRDefault="00FC2304" w:rsidP="00FC2304">
      <w:pPr>
        <w:ind w:left="709" w:hanging="709"/>
        <w:rPr>
          <w:rFonts w:ascii="Arial" w:hAnsi="Arial" w:cs="Arial"/>
          <w:b/>
          <w:u w:val="single"/>
        </w:rPr>
      </w:pPr>
    </w:p>
    <w:p w14:paraId="127257B5" w14:textId="77777777" w:rsidR="00D22808" w:rsidRDefault="00276FC8" w:rsidP="00DB2661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22808">
        <w:rPr>
          <w:rFonts w:ascii="Arial" w:hAnsi="Arial" w:cs="Arial"/>
        </w:rPr>
        <w:t>.1</w:t>
      </w:r>
      <w:r w:rsidR="00D22808">
        <w:rPr>
          <w:rFonts w:ascii="Arial" w:hAnsi="Arial" w:cs="Arial"/>
        </w:rPr>
        <w:tab/>
        <w:t>Forum is recommended to</w:t>
      </w:r>
      <w:r w:rsidR="00DB2661">
        <w:rPr>
          <w:rFonts w:ascii="Arial" w:hAnsi="Arial" w:cs="Arial"/>
        </w:rPr>
        <w:t xml:space="preserve"> note the contents of the report.</w:t>
      </w:r>
    </w:p>
    <w:p w14:paraId="479B6B62" w14:textId="77777777" w:rsidR="00DB2661" w:rsidRDefault="00DB2661" w:rsidP="00DB2661">
      <w:pPr>
        <w:ind w:left="709" w:hanging="709"/>
        <w:rPr>
          <w:rFonts w:ascii="Arial" w:hAnsi="Arial" w:cs="Arial"/>
        </w:rPr>
      </w:pPr>
    </w:p>
    <w:p w14:paraId="30736405" w14:textId="2F39973A" w:rsidR="00A40C03" w:rsidRDefault="00DB2661" w:rsidP="00DB2661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 xml:space="preserve">Note </w:t>
      </w:r>
      <w:r w:rsidR="00A40C03">
        <w:rPr>
          <w:rFonts w:ascii="Arial" w:hAnsi="Arial" w:cs="Arial"/>
        </w:rPr>
        <w:t xml:space="preserve">that should the mid-case scenario materialise that there </w:t>
      </w:r>
      <w:r w:rsidR="00393BBE">
        <w:rPr>
          <w:rFonts w:ascii="Arial" w:hAnsi="Arial" w:cs="Arial"/>
        </w:rPr>
        <w:t xml:space="preserve">are insufficient </w:t>
      </w:r>
      <w:r w:rsidR="00A40C03">
        <w:rPr>
          <w:rFonts w:ascii="Arial" w:hAnsi="Arial" w:cs="Arial"/>
        </w:rPr>
        <w:t>earmark</w:t>
      </w:r>
      <w:r w:rsidR="00393BBE">
        <w:rPr>
          <w:rFonts w:ascii="Arial" w:hAnsi="Arial" w:cs="Arial"/>
        </w:rPr>
        <w:t>ed DSG reserves to fund the full amount</w:t>
      </w:r>
      <w:r>
        <w:rPr>
          <w:rFonts w:ascii="Arial" w:hAnsi="Arial" w:cs="Arial"/>
        </w:rPr>
        <w:t>.</w:t>
      </w:r>
      <w:r w:rsidR="00393BBE">
        <w:rPr>
          <w:rFonts w:ascii="Arial" w:hAnsi="Arial" w:cs="Arial"/>
        </w:rPr>
        <w:t xml:space="preserve"> </w:t>
      </w:r>
      <w:r w:rsidR="007515E2">
        <w:rPr>
          <w:rFonts w:ascii="Arial" w:hAnsi="Arial" w:cs="Arial"/>
        </w:rPr>
        <w:t xml:space="preserve">This would require a plan for repayment of the deficit. </w:t>
      </w:r>
      <w:r w:rsidR="00FD58CF">
        <w:rPr>
          <w:rFonts w:ascii="Arial" w:hAnsi="Arial" w:cs="Arial"/>
        </w:rPr>
        <w:t xml:space="preserve">Although the deficit would not result in a DSG deficit of &lt; 1% necessitating a formal recovery plan submission to </w:t>
      </w:r>
      <w:proofErr w:type="spellStart"/>
      <w:r w:rsidR="00FD58CF">
        <w:rPr>
          <w:rFonts w:ascii="Arial" w:hAnsi="Arial" w:cs="Arial"/>
        </w:rPr>
        <w:t>DfE</w:t>
      </w:r>
      <w:proofErr w:type="spellEnd"/>
      <w:r w:rsidR="00203345">
        <w:rPr>
          <w:rFonts w:ascii="Arial" w:hAnsi="Arial" w:cs="Arial"/>
        </w:rPr>
        <w:t>, the authority would require a</w:t>
      </w:r>
      <w:r w:rsidR="00FD58CF">
        <w:rPr>
          <w:rFonts w:ascii="Arial" w:hAnsi="Arial" w:cs="Arial"/>
        </w:rPr>
        <w:t xml:space="preserve"> plan to repay the deficit.</w:t>
      </w:r>
    </w:p>
    <w:p w14:paraId="55D0F05A" w14:textId="77777777" w:rsidR="00A40C03" w:rsidRPr="00A40C03" w:rsidRDefault="00A40C03" w:rsidP="003A3717">
      <w:pPr>
        <w:rPr>
          <w:rFonts w:ascii="Arial" w:hAnsi="Arial" w:cs="Arial"/>
        </w:rPr>
      </w:pPr>
    </w:p>
    <w:p w14:paraId="4BA1930C" w14:textId="77777777" w:rsidR="00A40C03" w:rsidRDefault="00A40C03" w:rsidP="00FC2304">
      <w:pPr>
        <w:ind w:left="709" w:hanging="709"/>
        <w:rPr>
          <w:rFonts w:ascii="Arial" w:hAnsi="Arial" w:cs="Arial"/>
        </w:rPr>
      </w:pPr>
    </w:p>
    <w:p w14:paraId="109311D9" w14:textId="77777777" w:rsidR="00A40C03" w:rsidRPr="00D22808" w:rsidRDefault="00A40C03" w:rsidP="00FC230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20672E" w14:textId="77777777" w:rsidR="00D22808" w:rsidRDefault="00D22808" w:rsidP="005E2E8A">
      <w:pPr>
        <w:rPr>
          <w:rFonts w:ascii="Arial" w:hAnsi="Arial" w:cs="Arial"/>
        </w:rPr>
      </w:pPr>
    </w:p>
    <w:sectPr w:rsidR="00D22808" w:rsidSect="0075449A">
      <w:headerReference w:type="default" r:id="rId8"/>
      <w:footerReference w:type="default" r:id="rId9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F315D" w14:textId="77777777" w:rsidR="00A5513A" w:rsidRDefault="00A5513A" w:rsidP="00E471C6">
      <w:r>
        <w:separator/>
      </w:r>
    </w:p>
  </w:endnote>
  <w:endnote w:type="continuationSeparator" w:id="0">
    <w:p w14:paraId="78512DBF" w14:textId="77777777" w:rsidR="00A5513A" w:rsidRDefault="00A5513A" w:rsidP="00E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A2A1" w14:textId="77777777" w:rsidR="0045093E" w:rsidRPr="00E471C6" w:rsidRDefault="00E57780" w:rsidP="00E471C6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fldChar w:fldCharType="begin"/>
    </w:r>
    <w:r>
      <w:rPr>
        <w:rFonts w:ascii="Arial" w:hAnsi="Arial" w:cs="Arial"/>
        <w:noProof/>
        <w:sz w:val="12"/>
        <w:szCs w:val="12"/>
      </w:rPr>
      <w:instrText xml:space="preserve"> FILENAME  \* Lower \p  \* MERGEFORMAT </w:instrText>
    </w:r>
    <w:r>
      <w:rPr>
        <w:rFonts w:ascii="Arial" w:hAnsi="Arial" w:cs="Arial"/>
        <w:noProof/>
        <w:sz w:val="12"/>
        <w:szCs w:val="12"/>
      </w:rPr>
      <w:fldChar w:fldCharType="separate"/>
    </w:r>
    <w:r w:rsidR="004D6D5C">
      <w:rPr>
        <w:rFonts w:ascii="Arial" w:hAnsi="Arial" w:cs="Arial"/>
        <w:noProof/>
        <w:sz w:val="12"/>
        <w:szCs w:val="12"/>
      </w:rPr>
      <w:t>g:\schools forum\meeting minutes and papers\sept 2019 - aug 2020\6) 26 november 2019\item 5 2019 1126 hnb projected outturn 2019-20 v3.docx</w:t>
    </w:r>
    <w:r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C124A" w14:textId="77777777" w:rsidR="00A5513A" w:rsidRDefault="00A5513A" w:rsidP="00E471C6">
      <w:r>
        <w:separator/>
      </w:r>
    </w:p>
  </w:footnote>
  <w:footnote w:type="continuationSeparator" w:id="0">
    <w:p w14:paraId="36D80346" w14:textId="77777777" w:rsidR="00A5513A" w:rsidRDefault="00A5513A" w:rsidP="00E4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01386"/>
      <w:docPartObj>
        <w:docPartGallery w:val="Page Numbers (Top of Page)"/>
        <w:docPartUnique/>
      </w:docPartObj>
    </w:sdtPr>
    <w:sdtEndPr/>
    <w:sdtContent>
      <w:p w14:paraId="3B407DA2" w14:textId="77777777" w:rsidR="0045093E" w:rsidRDefault="0045093E">
        <w:pPr>
          <w:pStyle w:val="Header"/>
          <w:jc w:val="right"/>
        </w:pPr>
        <w:r w:rsidRPr="004C5FD4">
          <w:rPr>
            <w:rFonts w:ascii="Arial" w:hAnsi="Arial" w:cs="Arial"/>
            <w:sz w:val="16"/>
            <w:szCs w:val="16"/>
          </w:rPr>
          <w:t xml:space="preserve">Page 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4D6D5C">
          <w:rPr>
            <w:rFonts w:ascii="Arial" w:hAnsi="Arial" w:cs="Arial"/>
            <w:b/>
            <w:noProof/>
            <w:sz w:val="16"/>
            <w:szCs w:val="16"/>
          </w:rPr>
          <w:t>5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end"/>
        </w:r>
        <w:r w:rsidRPr="004C5FD4">
          <w:rPr>
            <w:rFonts w:ascii="Arial" w:hAnsi="Arial" w:cs="Arial"/>
            <w:sz w:val="16"/>
            <w:szCs w:val="16"/>
          </w:rPr>
          <w:t xml:space="preserve"> of 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4D6D5C">
          <w:rPr>
            <w:rFonts w:ascii="Arial" w:hAnsi="Arial" w:cs="Arial"/>
            <w:b/>
            <w:noProof/>
            <w:sz w:val="16"/>
            <w:szCs w:val="16"/>
          </w:rPr>
          <w:t>5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14:paraId="34208EA3" w14:textId="77777777" w:rsidR="0045093E" w:rsidRDefault="0045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1A9"/>
    <w:multiLevelType w:val="multilevel"/>
    <w:tmpl w:val="99B42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D8560B2"/>
    <w:multiLevelType w:val="hybridMultilevel"/>
    <w:tmpl w:val="C1183A2E"/>
    <w:lvl w:ilvl="0" w:tplc="3800C5D2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D722C9"/>
    <w:multiLevelType w:val="multilevel"/>
    <w:tmpl w:val="411C4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BF42110"/>
    <w:multiLevelType w:val="multilevel"/>
    <w:tmpl w:val="40CAD6E2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468" w:hanging="46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262922EA"/>
    <w:multiLevelType w:val="multilevel"/>
    <w:tmpl w:val="2264B0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F7B030B"/>
    <w:multiLevelType w:val="multilevel"/>
    <w:tmpl w:val="D586F776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C77D56"/>
    <w:multiLevelType w:val="hybridMultilevel"/>
    <w:tmpl w:val="5BB6B7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FF3467"/>
    <w:multiLevelType w:val="hybridMultilevel"/>
    <w:tmpl w:val="3E4C649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4F63570A"/>
    <w:multiLevelType w:val="hybridMultilevel"/>
    <w:tmpl w:val="D236E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1E22A4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5496584D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58697234"/>
    <w:multiLevelType w:val="multilevel"/>
    <w:tmpl w:val="079E844E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CE36E8"/>
    <w:multiLevelType w:val="multilevel"/>
    <w:tmpl w:val="500C4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6D471DEB"/>
    <w:multiLevelType w:val="multilevel"/>
    <w:tmpl w:val="DAFEC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F9B6804"/>
    <w:multiLevelType w:val="multilevel"/>
    <w:tmpl w:val="7BE44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72D64CC1"/>
    <w:multiLevelType w:val="hybridMultilevel"/>
    <w:tmpl w:val="3F96E7F6"/>
    <w:lvl w:ilvl="0" w:tplc="320667B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A58A5"/>
    <w:multiLevelType w:val="hybridMultilevel"/>
    <w:tmpl w:val="0D34005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14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16"/>
  </w:num>
  <w:num w:numId="14">
    <w:abstractNumId w:val="7"/>
  </w:num>
  <w:num w:numId="15">
    <w:abstractNumId w:val="8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0"/>
    <w:rsid w:val="00011F8F"/>
    <w:rsid w:val="00015EDE"/>
    <w:rsid w:val="000403CC"/>
    <w:rsid w:val="00047CB7"/>
    <w:rsid w:val="00062C85"/>
    <w:rsid w:val="0008240B"/>
    <w:rsid w:val="000A37B6"/>
    <w:rsid w:val="000E2576"/>
    <w:rsid w:val="000F04A7"/>
    <w:rsid w:val="000F185B"/>
    <w:rsid w:val="000F7239"/>
    <w:rsid w:val="0010706F"/>
    <w:rsid w:val="00171A1E"/>
    <w:rsid w:val="001C1CEC"/>
    <w:rsid w:val="001D58E7"/>
    <w:rsid w:val="001E3076"/>
    <w:rsid w:val="001F2A93"/>
    <w:rsid w:val="001F30E6"/>
    <w:rsid w:val="001F530F"/>
    <w:rsid w:val="001F63D1"/>
    <w:rsid w:val="00203345"/>
    <w:rsid w:val="0022097E"/>
    <w:rsid w:val="00250751"/>
    <w:rsid w:val="0025655E"/>
    <w:rsid w:val="0026631E"/>
    <w:rsid w:val="00270F89"/>
    <w:rsid w:val="00273464"/>
    <w:rsid w:val="00276FC8"/>
    <w:rsid w:val="00282753"/>
    <w:rsid w:val="00287685"/>
    <w:rsid w:val="00287C2A"/>
    <w:rsid w:val="002A5C86"/>
    <w:rsid w:val="002B2F47"/>
    <w:rsid w:val="002B4790"/>
    <w:rsid w:val="002E08A2"/>
    <w:rsid w:val="002F069C"/>
    <w:rsid w:val="002F150B"/>
    <w:rsid w:val="003030B3"/>
    <w:rsid w:val="00307A19"/>
    <w:rsid w:val="003204CE"/>
    <w:rsid w:val="00325CB1"/>
    <w:rsid w:val="0033037F"/>
    <w:rsid w:val="00331102"/>
    <w:rsid w:val="00342DD9"/>
    <w:rsid w:val="00350471"/>
    <w:rsid w:val="00374383"/>
    <w:rsid w:val="00381270"/>
    <w:rsid w:val="00385AB3"/>
    <w:rsid w:val="003871F0"/>
    <w:rsid w:val="0039065B"/>
    <w:rsid w:val="00393BBE"/>
    <w:rsid w:val="003A3717"/>
    <w:rsid w:val="003A3E4F"/>
    <w:rsid w:val="003B0996"/>
    <w:rsid w:val="003B27BE"/>
    <w:rsid w:val="003B577C"/>
    <w:rsid w:val="003C21DE"/>
    <w:rsid w:val="003E16A5"/>
    <w:rsid w:val="0040116D"/>
    <w:rsid w:val="00411684"/>
    <w:rsid w:val="0043458F"/>
    <w:rsid w:val="0045093E"/>
    <w:rsid w:val="004560D4"/>
    <w:rsid w:val="0047170C"/>
    <w:rsid w:val="00484477"/>
    <w:rsid w:val="004853D7"/>
    <w:rsid w:val="00496346"/>
    <w:rsid w:val="004A3200"/>
    <w:rsid w:val="004C0F8F"/>
    <w:rsid w:val="004C5FD4"/>
    <w:rsid w:val="004D6D5C"/>
    <w:rsid w:val="004D7443"/>
    <w:rsid w:val="004E4BFB"/>
    <w:rsid w:val="004E613E"/>
    <w:rsid w:val="004F29AC"/>
    <w:rsid w:val="00507133"/>
    <w:rsid w:val="00507549"/>
    <w:rsid w:val="00507E13"/>
    <w:rsid w:val="0051272C"/>
    <w:rsid w:val="00512A39"/>
    <w:rsid w:val="0051311E"/>
    <w:rsid w:val="005317D4"/>
    <w:rsid w:val="0054743C"/>
    <w:rsid w:val="0057428A"/>
    <w:rsid w:val="00595393"/>
    <w:rsid w:val="005962C8"/>
    <w:rsid w:val="005B4F82"/>
    <w:rsid w:val="005C0147"/>
    <w:rsid w:val="005D1A77"/>
    <w:rsid w:val="005E2E8A"/>
    <w:rsid w:val="005E5F47"/>
    <w:rsid w:val="006266F4"/>
    <w:rsid w:val="006306AD"/>
    <w:rsid w:val="00633917"/>
    <w:rsid w:val="00654E01"/>
    <w:rsid w:val="00663FCF"/>
    <w:rsid w:val="006732F1"/>
    <w:rsid w:val="006763FB"/>
    <w:rsid w:val="0068513C"/>
    <w:rsid w:val="00685EDF"/>
    <w:rsid w:val="006A3E9F"/>
    <w:rsid w:val="006B68F2"/>
    <w:rsid w:val="006E3489"/>
    <w:rsid w:val="00725E24"/>
    <w:rsid w:val="00727711"/>
    <w:rsid w:val="00732263"/>
    <w:rsid w:val="0073581B"/>
    <w:rsid w:val="00741D19"/>
    <w:rsid w:val="00744CFF"/>
    <w:rsid w:val="007515E2"/>
    <w:rsid w:val="0075449A"/>
    <w:rsid w:val="0075722A"/>
    <w:rsid w:val="007608C2"/>
    <w:rsid w:val="00771B60"/>
    <w:rsid w:val="00780177"/>
    <w:rsid w:val="007D7C94"/>
    <w:rsid w:val="00822771"/>
    <w:rsid w:val="0086108B"/>
    <w:rsid w:val="00864C22"/>
    <w:rsid w:val="0087652C"/>
    <w:rsid w:val="008911E4"/>
    <w:rsid w:val="008A226A"/>
    <w:rsid w:val="008A7ED3"/>
    <w:rsid w:val="008B6D18"/>
    <w:rsid w:val="00906AE4"/>
    <w:rsid w:val="009357D5"/>
    <w:rsid w:val="00936635"/>
    <w:rsid w:val="00950E89"/>
    <w:rsid w:val="009651FB"/>
    <w:rsid w:val="0097087A"/>
    <w:rsid w:val="00980EB8"/>
    <w:rsid w:val="00981C57"/>
    <w:rsid w:val="00986C1D"/>
    <w:rsid w:val="00991602"/>
    <w:rsid w:val="0099785C"/>
    <w:rsid w:val="009C16A3"/>
    <w:rsid w:val="009D0919"/>
    <w:rsid w:val="009D456A"/>
    <w:rsid w:val="009D7961"/>
    <w:rsid w:val="009E43D5"/>
    <w:rsid w:val="009F26E4"/>
    <w:rsid w:val="00A06DE7"/>
    <w:rsid w:val="00A315BC"/>
    <w:rsid w:val="00A40C03"/>
    <w:rsid w:val="00A5513A"/>
    <w:rsid w:val="00A55305"/>
    <w:rsid w:val="00A61498"/>
    <w:rsid w:val="00A64FDC"/>
    <w:rsid w:val="00A673B8"/>
    <w:rsid w:val="00A8059B"/>
    <w:rsid w:val="00A84816"/>
    <w:rsid w:val="00AA194E"/>
    <w:rsid w:val="00AC289C"/>
    <w:rsid w:val="00AE744C"/>
    <w:rsid w:val="00AF4D11"/>
    <w:rsid w:val="00B120D0"/>
    <w:rsid w:val="00B51317"/>
    <w:rsid w:val="00B63511"/>
    <w:rsid w:val="00B72C8B"/>
    <w:rsid w:val="00BB7DDF"/>
    <w:rsid w:val="00BC3D28"/>
    <w:rsid w:val="00BD0C0C"/>
    <w:rsid w:val="00BD4F0F"/>
    <w:rsid w:val="00BE56CB"/>
    <w:rsid w:val="00BE6D2A"/>
    <w:rsid w:val="00C00559"/>
    <w:rsid w:val="00C012C1"/>
    <w:rsid w:val="00C026FB"/>
    <w:rsid w:val="00C12D6E"/>
    <w:rsid w:val="00C27453"/>
    <w:rsid w:val="00C342A0"/>
    <w:rsid w:val="00C434FA"/>
    <w:rsid w:val="00C67430"/>
    <w:rsid w:val="00C75E2A"/>
    <w:rsid w:val="00C93284"/>
    <w:rsid w:val="00CA3206"/>
    <w:rsid w:val="00CC75F9"/>
    <w:rsid w:val="00D22808"/>
    <w:rsid w:val="00D74A1E"/>
    <w:rsid w:val="00D87564"/>
    <w:rsid w:val="00D904CF"/>
    <w:rsid w:val="00D91329"/>
    <w:rsid w:val="00DA41FA"/>
    <w:rsid w:val="00DB1989"/>
    <w:rsid w:val="00DB2661"/>
    <w:rsid w:val="00DC3355"/>
    <w:rsid w:val="00DD0E20"/>
    <w:rsid w:val="00DD3C56"/>
    <w:rsid w:val="00E0381A"/>
    <w:rsid w:val="00E213DA"/>
    <w:rsid w:val="00E409C8"/>
    <w:rsid w:val="00E415C5"/>
    <w:rsid w:val="00E471C6"/>
    <w:rsid w:val="00E50CEE"/>
    <w:rsid w:val="00E53F95"/>
    <w:rsid w:val="00E57780"/>
    <w:rsid w:val="00E60B25"/>
    <w:rsid w:val="00E62BA1"/>
    <w:rsid w:val="00E744A1"/>
    <w:rsid w:val="00E840DD"/>
    <w:rsid w:val="00E90F23"/>
    <w:rsid w:val="00EB32BC"/>
    <w:rsid w:val="00EC2B20"/>
    <w:rsid w:val="00ED4F3E"/>
    <w:rsid w:val="00EF5032"/>
    <w:rsid w:val="00EF6999"/>
    <w:rsid w:val="00F02884"/>
    <w:rsid w:val="00F2265C"/>
    <w:rsid w:val="00F25D68"/>
    <w:rsid w:val="00F545DB"/>
    <w:rsid w:val="00F86583"/>
    <w:rsid w:val="00F94AE0"/>
    <w:rsid w:val="00F967A3"/>
    <w:rsid w:val="00FA2FC6"/>
    <w:rsid w:val="00FB6C7E"/>
    <w:rsid w:val="00FB6CDF"/>
    <w:rsid w:val="00FC2304"/>
    <w:rsid w:val="00FD58CF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ACDA"/>
  <w15:docId w15:val="{C7B609B8-B687-4DCB-A57A-C1D7ABC9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B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B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F8E76-48E8-4AEF-BB69-DC622687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Patton</dc:creator>
  <cp:lastModifiedBy>Eileen Larkin</cp:lastModifiedBy>
  <cp:revision>3</cp:revision>
  <cp:lastPrinted>2019-11-21T10:20:00Z</cp:lastPrinted>
  <dcterms:created xsi:type="dcterms:W3CDTF">2019-11-21T10:20:00Z</dcterms:created>
  <dcterms:modified xsi:type="dcterms:W3CDTF">2019-11-21T10:21:00Z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-176006279</vt:i4>
  </property>
  <property fmtid="{D5CDD505-2E9C-101B-9397-08002B2CF9AE}" pid="3" name="_NewReviewCycle">
    <vt:lpwstr/>
  </property>
  <property fmtid="{D5CDD505-2E9C-101B-9397-08002B2CF9AE}" pid="4" name="_EmailSubject">
    <vt:lpwstr>Schools Forum - 26 November 2019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143747582</vt:i4>
  </property>
</Properties>
</file>