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58" w:rsidRDefault="00AA5B58" w:rsidP="00101CFE">
      <w:pPr>
        <w:pStyle w:val="ListParagraph"/>
        <w:spacing w:after="200"/>
        <w:ind w:left="1418" w:hanging="1418"/>
        <w:contextualSpacing/>
        <w:rPr>
          <w:rFonts w:ascii="Arial" w:hAnsi="Arial" w:cs="Arial"/>
        </w:rPr>
      </w:pPr>
    </w:p>
    <w:p w:rsidR="00D6440E" w:rsidRPr="00107F84" w:rsidRDefault="00D6440E" w:rsidP="00D6440E">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w:t>
      </w:r>
      <w:r w:rsidR="007F5463">
        <w:rPr>
          <w:rFonts w:ascii="Arial" w:hAnsi="Arial" w:cs="Arial"/>
          <w:b/>
          <w:bCs/>
        </w:rPr>
        <w:t>Hartlepool</w:t>
      </w:r>
      <w:r w:rsidR="00ED11FF">
        <w:rPr>
          <w:rFonts w:ascii="Arial" w:hAnsi="Arial" w:cs="Arial"/>
          <w:b/>
          <w:bCs/>
        </w:rPr>
        <w:t xml:space="preserve"> </w:t>
      </w:r>
      <w:r w:rsidRPr="00107F84">
        <w:rPr>
          <w:rFonts w:ascii="Arial" w:hAnsi="Arial" w:cs="Arial"/>
          <w:b/>
          <w:bCs/>
        </w:rPr>
        <w:t xml:space="preserve">Schools’ Forum </w:t>
      </w:r>
      <w:r w:rsidR="0056337B">
        <w:rPr>
          <w:rFonts w:ascii="Arial" w:hAnsi="Arial" w:cs="Arial"/>
          <w:b/>
          <w:bCs/>
        </w:rPr>
        <w:t xml:space="preserve">7 May </w:t>
      </w:r>
      <w:r w:rsidR="007F5463">
        <w:rPr>
          <w:rFonts w:ascii="Arial" w:hAnsi="Arial" w:cs="Arial"/>
          <w:b/>
          <w:bCs/>
        </w:rPr>
        <w:t>2019</w:t>
      </w:r>
    </w:p>
    <w:p w:rsidR="00D6440E" w:rsidRPr="00BD5981" w:rsidRDefault="00D6440E" w:rsidP="00D6440E">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7C035E">
        <w:rPr>
          <w:rFonts w:ascii="Arial" w:hAnsi="Arial" w:cs="Arial"/>
          <w:b/>
          <w:bCs/>
        </w:rPr>
        <w:t>Penny Thompson</w:t>
      </w:r>
      <w:r w:rsidR="003807C2">
        <w:rPr>
          <w:rFonts w:ascii="Arial" w:hAnsi="Arial" w:cs="Arial"/>
          <w:b/>
          <w:bCs/>
        </w:rPr>
        <w:t xml:space="preserve"> – </w:t>
      </w:r>
      <w:r w:rsidR="007C035E">
        <w:rPr>
          <w:rFonts w:ascii="Arial" w:hAnsi="Arial" w:cs="Arial"/>
          <w:b/>
          <w:bCs/>
        </w:rPr>
        <w:t>Head of Service, The Children’s Hub</w:t>
      </w:r>
      <w:r w:rsidR="008A535B">
        <w:rPr>
          <w:rFonts w:ascii="Arial" w:hAnsi="Arial" w:cs="Arial"/>
          <w:b/>
          <w:bCs/>
        </w:rPr>
        <w:t xml:space="preserve"> and Partnerships</w:t>
      </w:r>
    </w:p>
    <w:p w:rsidR="00CD73A2" w:rsidRPr="00CD73A2" w:rsidRDefault="00CD73A2" w:rsidP="00D6440E">
      <w:pPr>
        <w:rPr>
          <w:rFonts w:ascii="Arial" w:hAnsi="Arial" w:cs="Arial"/>
          <w:b/>
          <w:bCs/>
          <w:color w:val="0000CC"/>
          <w:sz w:val="10"/>
          <w:szCs w:val="10"/>
        </w:rPr>
      </w:pPr>
    </w:p>
    <w:p w:rsidR="00CD73A2" w:rsidRPr="00CD73A2" w:rsidRDefault="00CD73A2" w:rsidP="00D6440E">
      <w:pPr>
        <w:rPr>
          <w:rFonts w:ascii="Arial" w:hAnsi="Arial" w:cs="Arial"/>
          <w:b/>
          <w:bCs/>
          <w:color w:val="0000CC"/>
          <w:sz w:val="10"/>
          <w:szCs w:val="10"/>
        </w:rPr>
      </w:pPr>
    </w:p>
    <w:p w:rsidR="00D6440E" w:rsidRPr="00D6440E" w:rsidRDefault="00D6440E" w:rsidP="00D6440E">
      <w:pPr>
        <w:pStyle w:val="Heading1"/>
      </w:pPr>
      <w:r w:rsidRPr="00107F84">
        <w:t>Agenda Item</w:t>
      </w:r>
      <w:r w:rsidR="007C035E" w:rsidRPr="00714A49">
        <w:t xml:space="preserve"> </w:t>
      </w:r>
      <w:r w:rsidR="00714A49" w:rsidRPr="00714A49">
        <w:t>12</w:t>
      </w:r>
      <w:r w:rsidRPr="00107F84">
        <w:t xml:space="preserve"> </w:t>
      </w:r>
      <w:r>
        <w:t xml:space="preserve">– </w:t>
      </w:r>
      <w:r w:rsidR="008A535B">
        <w:t xml:space="preserve">Funding for </w:t>
      </w:r>
      <w:r w:rsidR="007C035E">
        <w:t xml:space="preserve">Designated Education Officer </w:t>
      </w:r>
      <w:r w:rsidR="00B2006A">
        <w:t xml:space="preserve"> </w:t>
      </w:r>
    </w:p>
    <w:p w:rsidR="00B341FE" w:rsidRDefault="00B341FE" w:rsidP="00D6440E">
      <w:pPr>
        <w:rPr>
          <w:rFonts w:ascii="Arial" w:hAnsi="Arial" w:cs="Arial"/>
        </w:rPr>
      </w:pPr>
    </w:p>
    <w:p w:rsidR="00F32AE6" w:rsidRPr="00F1682A" w:rsidRDefault="00F32AE6" w:rsidP="00D6440E">
      <w:pPr>
        <w:rPr>
          <w:rFonts w:ascii="Arial" w:hAnsi="Arial" w:cs="Arial"/>
        </w:rPr>
      </w:pPr>
    </w:p>
    <w:p w:rsidR="00D6440E" w:rsidRDefault="003D73DC" w:rsidP="00B55C16">
      <w:pPr>
        <w:numPr>
          <w:ilvl w:val="0"/>
          <w:numId w:val="1"/>
        </w:numPr>
        <w:tabs>
          <w:tab w:val="clear" w:pos="360"/>
          <w:tab w:val="num" w:pos="709"/>
        </w:tabs>
        <w:ind w:left="709" w:hanging="709"/>
        <w:rPr>
          <w:rFonts w:ascii="Arial" w:hAnsi="Arial" w:cs="Arial"/>
          <w:b/>
          <w:bCs/>
          <w:u w:val="single"/>
        </w:rPr>
      </w:pPr>
      <w:r>
        <w:rPr>
          <w:rFonts w:ascii="Arial" w:hAnsi="Arial" w:cs="Arial"/>
          <w:b/>
          <w:bCs/>
          <w:u w:val="single"/>
        </w:rPr>
        <w:t>Purpose of Report</w:t>
      </w:r>
      <w:r w:rsidR="00D6440E">
        <w:rPr>
          <w:rFonts w:ascii="Arial" w:hAnsi="Arial" w:cs="Arial"/>
          <w:b/>
          <w:bCs/>
          <w:u w:val="single"/>
        </w:rPr>
        <w:t xml:space="preserve"> </w:t>
      </w:r>
    </w:p>
    <w:p w:rsidR="0058614F" w:rsidRDefault="0058614F" w:rsidP="0058614F">
      <w:pPr>
        <w:ind w:left="709"/>
        <w:rPr>
          <w:rFonts w:ascii="Arial" w:hAnsi="Arial" w:cs="Arial"/>
          <w:b/>
          <w:bCs/>
          <w:u w:val="single"/>
        </w:rPr>
      </w:pPr>
    </w:p>
    <w:p w:rsidR="007C035E" w:rsidRPr="006574C8" w:rsidRDefault="00052AFF" w:rsidP="00052AFF">
      <w:pPr>
        <w:ind w:left="709" w:hanging="709"/>
        <w:rPr>
          <w:rFonts w:ascii="Arial" w:hAnsi="Arial" w:cs="Arial"/>
          <w:bCs/>
        </w:rPr>
      </w:pPr>
      <w:r>
        <w:rPr>
          <w:rFonts w:ascii="Arial" w:hAnsi="Arial" w:cs="Arial"/>
          <w:bCs/>
        </w:rPr>
        <w:t>1.1</w:t>
      </w:r>
      <w:r>
        <w:rPr>
          <w:rFonts w:ascii="Arial" w:hAnsi="Arial" w:cs="Arial"/>
          <w:bCs/>
        </w:rPr>
        <w:tab/>
      </w:r>
      <w:r w:rsidR="00245A18" w:rsidRPr="007C035E">
        <w:rPr>
          <w:rFonts w:ascii="Arial" w:hAnsi="Arial" w:cs="Arial"/>
          <w:bCs/>
        </w:rPr>
        <w:t>Th</w:t>
      </w:r>
      <w:r w:rsidR="003D73DC" w:rsidRPr="007C035E">
        <w:rPr>
          <w:rFonts w:ascii="Arial" w:hAnsi="Arial" w:cs="Arial"/>
          <w:bCs/>
        </w:rPr>
        <w:t xml:space="preserve">e purpose of the report </w:t>
      </w:r>
      <w:r w:rsidR="007C035E" w:rsidRPr="007C035E">
        <w:rPr>
          <w:rFonts w:ascii="Arial" w:hAnsi="Arial" w:cs="Arial"/>
          <w:bCs/>
        </w:rPr>
        <w:t xml:space="preserve">is to </w:t>
      </w:r>
      <w:r w:rsidR="00F61FF4">
        <w:rPr>
          <w:rFonts w:ascii="Arial" w:hAnsi="Arial" w:cs="Arial"/>
          <w:bCs/>
        </w:rPr>
        <w:t>choose a suitable option</w:t>
      </w:r>
      <w:r w:rsidR="007F5463">
        <w:rPr>
          <w:rFonts w:ascii="Arial" w:hAnsi="Arial" w:cs="Arial"/>
          <w:bCs/>
        </w:rPr>
        <w:t xml:space="preserve"> for the </w:t>
      </w:r>
      <w:r w:rsidR="00F61FF4">
        <w:rPr>
          <w:rFonts w:ascii="Arial" w:hAnsi="Arial" w:cs="Arial"/>
          <w:bCs/>
        </w:rPr>
        <w:t xml:space="preserve">future </w:t>
      </w:r>
      <w:r w:rsidR="007F5463">
        <w:rPr>
          <w:rFonts w:ascii="Arial" w:hAnsi="Arial" w:cs="Arial"/>
          <w:bCs/>
        </w:rPr>
        <w:t xml:space="preserve">funding of the Designated Education Officer </w:t>
      </w:r>
      <w:r>
        <w:rPr>
          <w:rFonts w:ascii="Arial" w:hAnsi="Arial" w:cs="Arial"/>
          <w:bCs/>
        </w:rPr>
        <w:t xml:space="preserve">(DEO) </w:t>
      </w:r>
      <w:r w:rsidR="007F5463">
        <w:rPr>
          <w:rFonts w:ascii="Arial" w:hAnsi="Arial" w:cs="Arial"/>
          <w:bCs/>
        </w:rPr>
        <w:t xml:space="preserve">for 2019/20.  </w:t>
      </w:r>
    </w:p>
    <w:p w:rsidR="002F61DB" w:rsidRPr="002F61DB" w:rsidRDefault="002F61DB" w:rsidP="002F61DB">
      <w:pPr>
        <w:ind w:left="1080"/>
        <w:rPr>
          <w:rFonts w:ascii="Arial" w:hAnsi="Arial" w:cs="Arial"/>
          <w:bCs/>
        </w:rPr>
      </w:pPr>
    </w:p>
    <w:p w:rsidR="00A16F23" w:rsidRDefault="00A16F23" w:rsidP="00B55C16">
      <w:pPr>
        <w:rPr>
          <w:rFonts w:ascii="Arial" w:hAnsi="Arial" w:cs="Arial"/>
          <w:b/>
          <w:bCs/>
          <w:u w:val="single"/>
        </w:rPr>
      </w:pPr>
      <w:r w:rsidRPr="003C5BC8">
        <w:rPr>
          <w:rFonts w:ascii="Arial" w:hAnsi="Arial" w:cs="Arial"/>
          <w:b/>
          <w:bCs/>
        </w:rPr>
        <w:t>2.</w:t>
      </w:r>
      <w:r w:rsidRPr="003C5BC8">
        <w:rPr>
          <w:rFonts w:ascii="Arial" w:hAnsi="Arial" w:cs="Arial"/>
          <w:b/>
          <w:bCs/>
        </w:rPr>
        <w:tab/>
      </w:r>
      <w:r w:rsidRPr="00A16F23">
        <w:rPr>
          <w:rFonts w:ascii="Arial" w:hAnsi="Arial" w:cs="Arial"/>
          <w:b/>
          <w:bCs/>
          <w:u w:val="single"/>
        </w:rPr>
        <w:t>Background</w:t>
      </w:r>
    </w:p>
    <w:p w:rsidR="0058614F" w:rsidRPr="00A16F23" w:rsidRDefault="0058614F" w:rsidP="00B55C16">
      <w:pPr>
        <w:rPr>
          <w:rFonts w:ascii="Arial" w:hAnsi="Arial" w:cs="Arial"/>
          <w:b/>
          <w:bCs/>
          <w:u w:val="single"/>
        </w:rPr>
      </w:pPr>
    </w:p>
    <w:p w:rsidR="00FC1FB5" w:rsidRDefault="00E51FA1" w:rsidP="00FC1FB5">
      <w:pPr>
        <w:ind w:left="720" w:hanging="720"/>
        <w:rPr>
          <w:rFonts w:ascii="Arial" w:hAnsi="Arial" w:cs="Arial"/>
        </w:rPr>
      </w:pPr>
      <w:r>
        <w:rPr>
          <w:rFonts w:ascii="Arial" w:hAnsi="Arial" w:cs="Arial"/>
        </w:rPr>
        <w:t>2.1</w:t>
      </w:r>
      <w:r>
        <w:rPr>
          <w:rFonts w:ascii="Arial" w:hAnsi="Arial" w:cs="Arial"/>
        </w:rPr>
        <w:tab/>
      </w:r>
      <w:r w:rsidR="00FC1FB5">
        <w:rPr>
          <w:rFonts w:ascii="Arial" w:hAnsi="Arial" w:cs="Arial"/>
        </w:rPr>
        <w:t>A detailed report was presented to Schools’ Forum on the 15 March 2019. Forum representatives were asked to consult with the schools they represent in order that a decision could be made at today’s meeting.</w:t>
      </w:r>
    </w:p>
    <w:p w:rsidR="00FC1FB5" w:rsidRDefault="00FC1FB5" w:rsidP="00FC1FB5">
      <w:pPr>
        <w:ind w:left="720" w:hanging="720"/>
        <w:rPr>
          <w:rFonts w:ascii="Arial" w:hAnsi="Arial" w:cs="Arial"/>
        </w:rPr>
      </w:pPr>
    </w:p>
    <w:p w:rsidR="006574C8" w:rsidRPr="00FC1FB5" w:rsidRDefault="00FC1FB5" w:rsidP="00FC1FB5">
      <w:pPr>
        <w:ind w:left="720" w:hanging="720"/>
        <w:rPr>
          <w:rFonts w:ascii="Arial" w:hAnsi="Arial" w:cs="Arial"/>
        </w:rPr>
      </w:pPr>
      <w:r>
        <w:rPr>
          <w:rFonts w:ascii="Arial" w:hAnsi="Arial" w:cs="Arial"/>
        </w:rPr>
        <w:t>2.2</w:t>
      </w:r>
      <w:r>
        <w:rPr>
          <w:rFonts w:ascii="Arial" w:hAnsi="Arial" w:cs="Arial"/>
        </w:rPr>
        <w:tab/>
        <w:t>It was noted that, although the cost of this post to Hartlepool schools has been split evenly over all schools at a cost of £505 per school, that this had an adverse impact on small schools. It was requested that the costs could be recalculated using pupil numbers from the October census. This information was circulated with the minutes of the meeting and included in the table below as Option 4.</w:t>
      </w:r>
      <w:r w:rsidR="006574C8">
        <w:rPr>
          <w:rFonts w:ascii="Arial" w:hAnsi="Arial" w:cs="Arial"/>
          <w:vanish/>
        </w:rPr>
        <w:t xml:space="preserve">ub to make </w:t>
      </w:r>
    </w:p>
    <w:p w:rsidR="00693485" w:rsidRDefault="00693485" w:rsidP="004C4821">
      <w:pPr>
        <w:pStyle w:val="ListParagraph"/>
        <w:tabs>
          <w:tab w:val="left" w:pos="709"/>
        </w:tabs>
        <w:spacing w:after="200"/>
        <w:ind w:left="0"/>
        <w:contextualSpacing/>
        <w:rPr>
          <w:rFonts w:ascii="Arial" w:hAnsi="Arial" w:cs="Arial"/>
          <w:b/>
        </w:rPr>
      </w:pPr>
    </w:p>
    <w:p w:rsidR="00327E4A" w:rsidRDefault="00FC1FB5" w:rsidP="004C4821">
      <w:pPr>
        <w:pStyle w:val="ListParagraph"/>
        <w:tabs>
          <w:tab w:val="left" w:pos="709"/>
        </w:tabs>
        <w:spacing w:after="200"/>
        <w:ind w:left="0"/>
        <w:contextualSpacing/>
        <w:rPr>
          <w:rFonts w:ascii="Arial" w:hAnsi="Arial" w:cs="Arial"/>
          <w:b/>
          <w:u w:val="single"/>
        </w:rPr>
      </w:pPr>
      <w:r>
        <w:rPr>
          <w:rFonts w:ascii="Arial" w:hAnsi="Arial" w:cs="Arial"/>
          <w:b/>
        </w:rPr>
        <w:t>3</w:t>
      </w:r>
      <w:r w:rsidR="00693485">
        <w:rPr>
          <w:rFonts w:ascii="Arial" w:hAnsi="Arial" w:cs="Arial"/>
          <w:b/>
        </w:rPr>
        <w:t>.0</w:t>
      </w:r>
      <w:r w:rsidR="00693485">
        <w:rPr>
          <w:rFonts w:ascii="Arial" w:hAnsi="Arial" w:cs="Arial"/>
          <w:b/>
        </w:rPr>
        <w:tab/>
      </w:r>
      <w:r w:rsidR="008A535B">
        <w:rPr>
          <w:rFonts w:ascii="Arial" w:hAnsi="Arial" w:cs="Arial"/>
          <w:b/>
          <w:u w:val="single"/>
        </w:rPr>
        <w:t xml:space="preserve">Options </w:t>
      </w:r>
      <w:r w:rsidR="004A7741" w:rsidRPr="0022220D">
        <w:rPr>
          <w:rFonts w:ascii="Arial" w:hAnsi="Arial" w:cs="Arial"/>
          <w:b/>
          <w:u w:val="single"/>
        </w:rPr>
        <w:t xml:space="preserve"> </w:t>
      </w:r>
    </w:p>
    <w:p w:rsidR="0058614F" w:rsidRPr="0022220D" w:rsidRDefault="0058614F" w:rsidP="004C4821">
      <w:pPr>
        <w:pStyle w:val="ListParagraph"/>
        <w:tabs>
          <w:tab w:val="left" w:pos="709"/>
        </w:tabs>
        <w:spacing w:after="200"/>
        <w:ind w:left="0"/>
        <w:contextualSpacing/>
        <w:rPr>
          <w:rFonts w:ascii="Arial" w:hAnsi="Arial" w:cs="Arial"/>
          <w:b/>
          <w:u w:val="single"/>
        </w:rPr>
      </w:pPr>
    </w:p>
    <w:p w:rsidR="00342347" w:rsidRDefault="00FC1FB5" w:rsidP="00517E03">
      <w:pPr>
        <w:pStyle w:val="ListParagraph"/>
        <w:tabs>
          <w:tab w:val="left" w:pos="709"/>
        </w:tabs>
        <w:spacing w:after="200"/>
        <w:ind w:left="709" w:hanging="709"/>
        <w:contextualSpacing/>
        <w:rPr>
          <w:rFonts w:ascii="Arial" w:hAnsi="Arial" w:cs="Arial"/>
        </w:rPr>
      </w:pPr>
      <w:r>
        <w:rPr>
          <w:rFonts w:ascii="Arial" w:hAnsi="Arial" w:cs="Arial"/>
        </w:rPr>
        <w:t>3</w:t>
      </w:r>
      <w:r w:rsidR="00517E03">
        <w:rPr>
          <w:rFonts w:ascii="Arial" w:hAnsi="Arial" w:cs="Arial"/>
        </w:rPr>
        <w:t>.1</w:t>
      </w:r>
      <w:r w:rsidR="00517E03">
        <w:rPr>
          <w:rFonts w:ascii="Arial" w:hAnsi="Arial" w:cs="Arial"/>
        </w:rPr>
        <w:tab/>
      </w:r>
      <w:r>
        <w:rPr>
          <w:rFonts w:ascii="Arial" w:hAnsi="Arial" w:cs="Arial"/>
        </w:rPr>
        <w:t>Options for the DEO role:</w:t>
      </w:r>
      <w:r w:rsidR="00047BD3">
        <w:rPr>
          <w:rFonts w:ascii="Arial" w:hAnsi="Arial" w:cs="Arial"/>
        </w:rPr>
        <w:t xml:space="preserve"> </w:t>
      </w:r>
    </w:p>
    <w:p w:rsidR="00776D22" w:rsidRDefault="00776D22" w:rsidP="00517E03">
      <w:pPr>
        <w:pStyle w:val="ListParagraph"/>
        <w:tabs>
          <w:tab w:val="left" w:pos="709"/>
        </w:tabs>
        <w:spacing w:after="200"/>
        <w:ind w:left="709" w:hanging="709"/>
        <w:contextualSpacing/>
        <w:rPr>
          <w:rFonts w:ascii="Arial" w:hAnsi="Arial" w:cs="Arial"/>
        </w:rPr>
      </w:pPr>
      <w:r>
        <w:rPr>
          <w:rFonts w:ascii="Arial" w:hAnsi="Arial" w:cs="Arial"/>
        </w:rPr>
        <w:tab/>
      </w:r>
    </w:p>
    <w:tbl>
      <w:tblPr>
        <w:tblStyle w:val="TableGrid"/>
        <w:tblW w:w="9381" w:type="dxa"/>
        <w:tblInd w:w="709" w:type="dxa"/>
        <w:tblLook w:val="04A0"/>
      </w:tblPr>
      <w:tblGrid>
        <w:gridCol w:w="466"/>
        <w:gridCol w:w="1470"/>
        <w:gridCol w:w="2802"/>
        <w:gridCol w:w="4643"/>
      </w:tblGrid>
      <w:tr w:rsidR="00776D22" w:rsidTr="00FC6A24">
        <w:tc>
          <w:tcPr>
            <w:tcW w:w="468" w:type="dxa"/>
          </w:tcPr>
          <w:p w:rsidR="00776D22" w:rsidRDefault="00776D22" w:rsidP="00517E03">
            <w:pPr>
              <w:pStyle w:val="ListParagraph"/>
              <w:tabs>
                <w:tab w:val="left" w:pos="709"/>
              </w:tabs>
              <w:spacing w:after="200"/>
              <w:ind w:left="0"/>
              <w:contextualSpacing/>
              <w:rPr>
                <w:rFonts w:ascii="Arial" w:hAnsi="Arial" w:cs="Arial"/>
              </w:rPr>
            </w:pPr>
          </w:p>
        </w:tc>
        <w:tc>
          <w:tcPr>
            <w:tcW w:w="1341" w:type="dxa"/>
          </w:tcPr>
          <w:p w:rsidR="00776D22" w:rsidRDefault="00776D22" w:rsidP="00517E03">
            <w:pPr>
              <w:pStyle w:val="ListParagraph"/>
              <w:tabs>
                <w:tab w:val="left" w:pos="709"/>
              </w:tabs>
              <w:spacing w:after="200"/>
              <w:ind w:left="0"/>
              <w:contextualSpacing/>
              <w:rPr>
                <w:rFonts w:ascii="Arial" w:hAnsi="Arial" w:cs="Arial"/>
              </w:rPr>
            </w:pPr>
            <w:r>
              <w:rPr>
                <w:rFonts w:ascii="Arial" w:hAnsi="Arial" w:cs="Arial"/>
              </w:rPr>
              <w:t>Option</w:t>
            </w:r>
          </w:p>
        </w:tc>
        <w:tc>
          <w:tcPr>
            <w:tcW w:w="2835" w:type="dxa"/>
          </w:tcPr>
          <w:p w:rsidR="00776D22" w:rsidRDefault="00776D22" w:rsidP="00517E03">
            <w:pPr>
              <w:pStyle w:val="ListParagraph"/>
              <w:tabs>
                <w:tab w:val="left" w:pos="709"/>
              </w:tabs>
              <w:spacing w:after="200"/>
              <w:ind w:left="0"/>
              <w:contextualSpacing/>
              <w:rPr>
                <w:rFonts w:ascii="Arial" w:hAnsi="Arial" w:cs="Arial"/>
              </w:rPr>
            </w:pPr>
            <w:r>
              <w:rPr>
                <w:rFonts w:ascii="Arial" w:hAnsi="Arial" w:cs="Arial"/>
              </w:rPr>
              <w:t>Pro</w:t>
            </w:r>
            <w:r w:rsidR="00D52EE2">
              <w:rPr>
                <w:rFonts w:ascii="Arial" w:hAnsi="Arial" w:cs="Arial"/>
              </w:rPr>
              <w:t>s</w:t>
            </w:r>
          </w:p>
        </w:tc>
        <w:tc>
          <w:tcPr>
            <w:tcW w:w="4737" w:type="dxa"/>
          </w:tcPr>
          <w:p w:rsidR="00776D22" w:rsidRDefault="00776D22" w:rsidP="00517E03">
            <w:pPr>
              <w:pStyle w:val="ListParagraph"/>
              <w:tabs>
                <w:tab w:val="left" w:pos="709"/>
              </w:tabs>
              <w:spacing w:after="200"/>
              <w:ind w:left="0"/>
              <w:contextualSpacing/>
              <w:rPr>
                <w:rFonts w:ascii="Arial" w:hAnsi="Arial" w:cs="Arial"/>
              </w:rPr>
            </w:pPr>
            <w:r>
              <w:rPr>
                <w:rFonts w:ascii="Arial" w:hAnsi="Arial" w:cs="Arial"/>
              </w:rPr>
              <w:t>Con</w:t>
            </w:r>
            <w:r w:rsidR="00D52EE2">
              <w:rPr>
                <w:rFonts w:ascii="Arial" w:hAnsi="Arial" w:cs="Arial"/>
              </w:rPr>
              <w:t>s</w:t>
            </w:r>
          </w:p>
        </w:tc>
      </w:tr>
      <w:tr w:rsidR="00776D22" w:rsidTr="00FC6A24">
        <w:tc>
          <w:tcPr>
            <w:tcW w:w="468" w:type="dxa"/>
          </w:tcPr>
          <w:p w:rsidR="00776D22" w:rsidRDefault="00776D22" w:rsidP="00517E03">
            <w:pPr>
              <w:pStyle w:val="ListParagraph"/>
              <w:tabs>
                <w:tab w:val="left" w:pos="709"/>
              </w:tabs>
              <w:spacing w:after="200"/>
              <w:ind w:left="0"/>
              <w:contextualSpacing/>
              <w:rPr>
                <w:rFonts w:ascii="Arial" w:hAnsi="Arial" w:cs="Arial"/>
              </w:rPr>
            </w:pPr>
            <w:r>
              <w:rPr>
                <w:rFonts w:ascii="Arial" w:hAnsi="Arial" w:cs="Arial"/>
              </w:rPr>
              <w:t>1.</w:t>
            </w:r>
          </w:p>
        </w:tc>
        <w:tc>
          <w:tcPr>
            <w:tcW w:w="1341" w:type="dxa"/>
          </w:tcPr>
          <w:p w:rsidR="00776D22" w:rsidRDefault="00776D22" w:rsidP="00E32FE5">
            <w:pPr>
              <w:pStyle w:val="ListParagraph"/>
              <w:tabs>
                <w:tab w:val="left" w:pos="709"/>
              </w:tabs>
              <w:spacing w:after="200"/>
              <w:ind w:left="0"/>
              <w:contextualSpacing/>
              <w:rPr>
                <w:rFonts w:ascii="Arial" w:hAnsi="Arial" w:cs="Arial"/>
              </w:rPr>
            </w:pPr>
            <w:r>
              <w:rPr>
                <w:rFonts w:ascii="Arial" w:hAnsi="Arial" w:cs="Arial"/>
              </w:rPr>
              <w:t xml:space="preserve">Allow </w:t>
            </w:r>
            <w:r w:rsidR="00D52EE2">
              <w:rPr>
                <w:rFonts w:ascii="Arial" w:hAnsi="Arial" w:cs="Arial"/>
              </w:rPr>
              <w:t xml:space="preserve">the post to come to an </w:t>
            </w:r>
            <w:r>
              <w:rPr>
                <w:rFonts w:ascii="Arial" w:hAnsi="Arial" w:cs="Arial"/>
              </w:rPr>
              <w:t>end</w:t>
            </w:r>
            <w:r w:rsidR="00E32FE5">
              <w:rPr>
                <w:rFonts w:ascii="Arial" w:hAnsi="Arial" w:cs="Arial"/>
              </w:rPr>
              <w:t>/ n</w:t>
            </w:r>
            <w:r>
              <w:rPr>
                <w:rFonts w:ascii="Arial" w:hAnsi="Arial" w:cs="Arial"/>
              </w:rPr>
              <w:t>o longer fund the role.</w:t>
            </w:r>
          </w:p>
        </w:tc>
        <w:tc>
          <w:tcPr>
            <w:tcW w:w="2835" w:type="dxa"/>
          </w:tcPr>
          <w:p w:rsidR="00776D22" w:rsidRDefault="00776D22" w:rsidP="00517E03">
            <w:pPr>
              <w:pStyle w:val="ListParagraph"/>
              <w:tabs>
                <w:tab w:val="left" w:pos="709"/>
              </w:tabs>
              <w:spacing w:after="200"/>
              <w:ind w:left="0"/>
              <w:contextualSpacing/>
              <w:rPr>
                <w:rFonts w:ascii="Arial" w:hAnsi="Arial" w:cs="Arial"/>
              </w:rPr>
            </w:pPr>
            <w:r>
              <w:rPr>
                <w:rFonts w:ascii="Arial" w:hAnsi="Arial" w:cs="Arial"/>
              </w:rPr>
              <w:t>Schools will not be expected to fund the role.</w:t>
            </w:r>
          </w:p>
          <w:p w:rsidR="00693485" w:rsidRDefault="00693485" w:rsidP="00517E03">
            <w:pPr>
              <w:pStyle w:val="ListParagraph"/>
              <w:tabs>
                <w:tab w:val="left" w:pos="709"/>
              </w:tabs>
              <w:spacing w:after="200"/>
              <w:ind w:left="0"/>
              <w:contextualSpacing/>
              <w:rPr>
                <w:rFonts w:ascii="Arial" w:hAnsi="Arial" w:cs="Arial"/>
              </w:rPr>
            </w:pPr>
          </w:p>
          <w:p w:rsidR="00912091" w:rsidRDefault="000804E1" w:rsidP="00517E03">
            <w:pPr>
              <w:pStyle w:val="ListParagraph"/>
              <w:tabs>
                <w:tab w:val="left" w:pos="709"/>
              </w:tabs>
              <w:spacing w:after="200"/>
              <w:ind w:left="0"/>
              <w:contextualSpacing/>
              <w:rPr>
                <w:rFonts w:ascii="Arial" w:hAnsi="Arial" w:cs="Arial"/>
              </w:rPr>
            </w:pPr>
            <w:r>
              <w:rPr>
                <w:rFonts w:ascii="Arial" w:hAnsi="Arial" w:cs="Arial"/>
              </w:rPr>
              <w:t>Ongoing inspections have</w:t>
            </w:r>
            <w:r w:rsidR="00693485">
              <w:rPr>
                <w:rFonts w:ascii="Arial" w:hAnsi="Arial" w:cs="Arial"/>
              </w:rPr>
              <w:t xml:space="preserve"> highlighted the role as excellent practice.  </w:t>
            </w:r>
          </w:p>
          <w:p w:rsidR="000804E1" w:rsidRDefault="000804E1" w:rsidP="00517E03">
            <w:pPr>
              <w:pStyle w:val="ListParagraph"/>
              <w:tabs>
                <w:tab w:val="left" w:pos="709"/>
              </w:tabs>
              <w:spacing w:after="200"/>
              <w:ind w:left="0"/>
              <w:contextualSpacing/>
              <w:rPr>
                <w:rFonts w:ascii="Arial" w:hAnsi="Arial" w:cs="Arial"/>
              </w:rPr>
            </w:pPr>
          </w:p>
          <w:p w:rsidR="00693485" w:rsidRDefault="00693485" w:rsidP="00693485">
            <w:pPr>
              <w:pStyle w:val="ListParagraph"/>
              <w:tabs>
                <w:tab w:val="left" w:pos="709"/>
              </w:tabs>
              <w:spacing w:after="200"/>
              <w:ind w:left="0"/>
              <w:contextualSpacing/>
              <w:rPr>
                <w:rFonts w:ascii="Arial" w:hAnsi="Arial" w:cs="Arial"/>
              </w:rPr>
            </w:pPr>
            <w:r>
              <w:rPr>
                <w:rFonts w:ascii="Arial" w:hAnsi="Arial" w:cs="Arial"/>
              </w:rPr>
              <w:t xml:space="preserve">National research consistently shows that a dedicated education specialist is vital to the effectiveness of a </w:t>
            </w:r>
            <w:r w:rsidR="000804E1">
              <w:rPr>
                <w:rFonts w:ascii="Arial" w:hAnsi="Arial" w:cs="Arial"/>
              </w:rPr>
              <w:t>safeguarding hub</w:t>
            </w:r>
            <w:r w:rsidR="00E32FE5">
              <w:rPr>
                <w:rFonts w:ascii="Arial" w:hAnsi="Arial" w:cs="Arial"/>
              </w:rPr>
              <w:t xml:space="preserve">.  </w:t>
            </w:r>
            <w:r>
              <w:rPr>
                <w:rFonts w:ascii="Arial" w:hAnsi="Arial" w:cs="Arial"/>
              </w:rPr>
              <w:t xml:space="preserve"> </w:t>
            </w:r>
          </w:p>
          <w:p w:rsidR="00693485" w:rsidRDefault="00693485" w:rsidP="00693485">
            <w:pPr>
              <w:pStyle w:val="ListParagraph"/>
              <w:tabs>
                <w:tab w:val="left" w:pos="709"/>
              </w:tabs>
              <w:spacing w:after="200"/>
              <w:ind w:left="0"/>
              <w:contextualSpacing/>
              <w:rPr>
                <w:rFonts w:ascii="Arial" w:hAnsi="Arial" w:cs="Arial"/>
              </w:rPr>
            </w:pPr>
          </w:p>
          <w:p w:rsidR="00191893" w:rsidRDefault="00E068D1" w:rsidP="00E32FE5">
            <w:pPr>
              <w:pStyle w:val="ListParagraph"/>
              <w:tabs>
                <w:tab w:val="left" w:pos="709"/>
              </w:tabs>
              <w:spacing w:after="200"/>
              <w:ind w:left="0"/>
              <w:contextualSpacing/>
              <w:rPr>
                <w:rFonts w:ascii="Arial" w:hAnsi="Arial" w:cs="Arial"/>
              </w:rPr>
            </w:pPr>
            <w:r>
              <w:rPr>
                <w:rFonts w:ascii="Arial" w:hAnsi="Arial" w:cs="Arial"/>
              </w:rPr>
              <w:lastRenderedPageBreak/>
              <w:t>The current DEO is a qualified teacher and has a clear understanding of the education system.</w:t>
            </w:r>
            <w:r w:rsidR="00191893">
              <w:rPr>
                <w:rFonts w:ascii="Arial" w:hAnsi="Arial" w:cs="Arial"/>
              </w:rPr>
              <w:t xml:space="preserve"> </w:t>
            </w:r>
          </w:p>
        </w:tc>
        <w:tc>
          <w:tcPr>
            <w:tcW w:w="4737" w:type="dxa"/>
          </w:tcPr>
          <w:p w:rsidR="004F3C4E" w:rsidRDefault="00F62ED7" w:rsidP="00F62ED7">
            <w:pPr>
              <w:pStyle w:val="ListParagraph"/>
              <w:tabs>
                <w:tab w:val="left" w:pos="709"/>
              </w:tabs>
              <w:spacing w:after="200"/>
              <w:ind w:left="0"/>
              <w:contextualSpacing/>
              <w:rPr>
                <w:rFonts w:ascii="Arial" w:hAnsi="Arial" w:cs="Arial"/>
              </w:rPr>
            </w:pPr>
            <w:r w:rsidRPr="00FC6A24">
              <w:rPr>
                <w:rFonts w:ascii="Arial" w:hAnsi="Arial" w:cs="Arial"/>
              </w:rPr>
              <w:lastRenderedPageBreak/>
              <w:t xml:space="preserve">To cease funding an </w:t>
            </w:r>
            <w:r w:rsidR="00FC6A24" w:rsidRPr="00FC6A24">
              <w:rPr>
                <w:rFonts w:ascii="Arial" w:hAnsi="Arial" w:cs="Arial"/>
              </w:rPr>
              <w:t>education</w:t>
            </w:r>
            <w:r w:rsidR="00353D09" w:rsidRPr="00FC6A24">
              <w:rPr>
                <w:rFonts w:ascii="Arial" w:hAnsi="Arial" w:cs="Arial"/>
              </w:rPr>
              <w:t xml:space="preserve"> presence would not be in line with positive </w:t>
            </w:r>
            <w:r w:rsidRPr="00FC6A24">
              <w:rPr>
                <w:rFonts w:ascii="Arial" w:hAnsi="Arial" w:cs="Arial"/>
              </w:rPr>
              <w:t xml:space="preserve">verbal </w:t>
            </w:r>
            <w:r w:rsidR="00496173" w:rsidRPr="00FC6A24">
              <w:rPr>
                <w:rFonts w:ascii="Arial" w:hAnsi="Arial" w:cs="Arial"/>
              </w:rPr>
              <w:t>feedback</w:t>
            </w:r>
            <w:r w:rsidR="00FC6A24" w:rsidRPr="00FC6A24">
              <w:rPr>
                <w:rFonts w:ascii="Arial" w:hAnsi="Arial" w:cs="Arial"/>
              </w:rPr>
              <w:t xml:space="preserve"> </w:t>
            </w:r>
            <w:r w:rsidR="00353D09" w:rsidRPr="00FC6A24">
              <w:rPr>
                <w:rFonts w:ascii="Arial" w:hAnsi="Arial" w:cs="Arial"/>
              </w:rPr>
              <w:t>r</w:t>
            </w:r>
            <w:r w:rsidR="00496173" w:rsidRPr="00FC6A24">
              <w:rPr>
                <w:rFonts w:ascii="Arial" w:hAnsi="Arial" w:cs="Arial"/>
              </w:rPr>
              <w:t>eceived from head teachers and Designated Safeguarding L</w:t>
            </w:r>
            <w:r w:rsidR="00353D09" w:rsidRPr="00FC6A24">
              <w:rPr>
                <w:rFonts w:ascii="Arial" w:hAnsi="Arial" w:cs="Arial"/>
              </w:rPr>
              <w:t>eads</w:t>
            </w:r>
            <w:r w:rsidR="00E32FE5">
              <w:rPr>
                <w:rFonts w:ascii="Arial" w:hAnsi="Arial" w:cs="Arial"/>
              </w:rPr>
              <w:t xml:space="preserve">. </w:t>
            </w:r>
          </w:p>
          <w:p w:rsidR="00E32FE5" w:rsidRDefault="00E32FE5" w:rsidP="00F62ED7">
            <w:pPr>
              <w:pStyle w:val="ListParagraph"/>
              <w:tabs>
                <w:tab w:val="left" w:pos="709"/>
              </w:tabs>
              <w:spacing w:after="200"/>
              <w:ind w:left="0"/>
              <w:contextualSpacing/>
              <w:rPr>
                <w:rFonts w:ascii="Arial" w:hAnsi="Arial" w:cs="Arial"/>
                <w:highlight w:val="yellow"/>
              </w:rPr>
            </w:pPr>
          </w:p>
          <w:p w:rsidR="00FC6A24" w:rsidRDefault="00776D22" w:rsidP="00F62ED7">
            <w:pPr>
              <w:pStyle w:val="ListParagraph"/>
              <w:tabs>
                <w:tab w:val="left" w:pos="709"/>
              </w:tabs>
              <w:spacing w:after="200"/>
              <w:ind w:left="0"/>
              <w:contextualSpacing/>
              <w:rPr>
                <w:rFonts w:ascii="Arial" w:hAnsi="Arial" w:cs="Arial"/>
              </w:rPr>
            </w:pPr>
            <w:r>
              <w:rPr>
                <w:rFonts w:ascii="Arial" w:hAnsi="Arial" w:cs="Arial"/>
              </w:rPr>
              <w:t xml:space="preserve">The </w:t>
            </w:r>
            <w:r w:rsidR="00693485">
              <w:rPr>
                <w:rFonts w:ascii="Arial" w:hAnsi="Arial" w:cs="Arial"/>
              </w:rPr>
              <w:t>C</w:t>
            </w:r>
            <w:r>
              <w:rPr>
                <w:rFonts w:ascii="Arial" w:hAnsi="Arial" w:cs="Arial"/>
              </w:rPr>
              <w:t xml:space="preserve">Hub will no longer have a dedicated education specialist in the team.  Schools will no longer have a ‘go to’ contact for </w:t>
            </w:r>
            <w:r w:rsidR="00D52EE2">
              <w:rPr>
                <w:rFonts w:ascii="Arial" w:hAnsi="Arial" w:cs="Arial"/>
              </w:rPr>
              <w:t xml:space="preserve">general </w:t>
            </w:r>
            <w:r>
              <w:rPr>
                <w:rFonts w:ascii="Arial" w:hAnsi="Arial" w:cs="Arial"/>
              </w:rPr>
              <w:t xml:space="preserve">safeguarding advice.  </w:t>
            </w:r>
          </w:p>
          <w:p w:rsidR="00FC6A24" w:rsidRDefault="00FC6A24" w:rsidP="00F62ED7">
            <w:pPr>
              <w:pStyle w:val="ListParagraph"/>
              <w:tabs>
                <w:tab w:val="left" w:pos="709"/>
              </w:tabs>
              <w:spacing w:after="200"/>
              <w:ind w:left="0"/>
              <w:contextualSpacing/>
              <w:rPr>
                <w:rFonts w:ascii="Arial" w:hAnsi="Arial" w:cs="Arial"/>
              </w:rPr>
            </w:pPr>
          </w:p>
          <w:p w:rsidR="00FC6A24" w:rsidRDefault="00776D22" w:rsidP="00F62ED7">
            <w:pPr>
              <w:pStyle w:val="ListParagraph"/>
              <w:tabs>
                <w:tab w:val="left" w:pos="709"/>
              </w:tabs>
              <w:spacing w:after="200"/>
              <w:ind w:left="0"/>
              <w:contextualSpacing/>
              <w:rPr>
                <w:rFonts w:ascii="Arial" w:hAnsi="Arial" w:cs="Arial"/>
              </w:rPr>
            </w:pPr>
            <w:r>
              <w:rPr>
                <w:rFonts w:ascii="Arial" w:hAnsi="Arial" w:cs="Arial"/>
              </w:rPr>
              <w:lastRenderedPageBreak/>
              <w:t>Schools will need to participate fully in strategies</w:t>
            </w:r>
            <w:r w:rsidR="00D52EE2">
              <w:rPr>
                <w:rFonts w:ascii="Arial" w:hAnsi="Arial" w:cs="Arial"/>
              </w:rPr>
              <w:t xml:space="preserve"> and supply the </w:t>
            </w:r>
            <w:r w:rsidR="00693485">
              <w:rPr>
                <w:rFonts w:ascii="Arial" w:hAnsi="Arial" w:cs="Arial"/>
              </w:rPr>
              <w:t>C</w:t>
            </w:r>
            <w:r w:rsidR="00D52EE2">
              <w:rPr>
                <w:rFonts w:ascii="Arial" w:hAnsi="Arial" w:cs="Arial"/>
              </w:rPr>
              <w:t>Hub with all information relevant to a safeguarding enquiry</w:t>
            </w:r>
            <w:r>
              <w:rPr>
                <w:rFonts w:ascii="Arial" w:hAnsi="Arial" w:cs="Arial"/>
              </w:rPr>
              <w:t>.</w:t>
            </w:r>
            <w:r w:rsidR="00D52EE2">
              <w:rPr>
                <w:rFonts w:ascii="Arial" w:hAnsi="Arial" w:cs="Arial"/>
              </w:rPr>
              <w:t xml:space="preserve"> </w:t>
            </w:r>
          </w:p>
          <w:p w:rsidR="00FC6A24" w:rsidRDefault="00FC6A24" w:rsidP="00F62ED7">
            <w:pPr>
              <w:pStyle w:val="ListParagraph"/>
              <w:tabs>
                <w:tab w:val="left" w:pos="709"/>
              </w:tabs>
              <w:spacing w:after="200"/>
              <w:ind w:left="0"/>
              <w:contextualSpacing/>
              <w:rPr>
                <w:rFonts w:ascii="Arial" w:hAnsi="Arial" w:cs="Arial"/>
              </w:rPr>
            </w:pPr>
          </w:p>
          <w:p w:rsidR="000804E1" w:rsidRDefault="0043176B" w:rsidP="00FC6A24">
            <w:pPr>
              <w:pStyle w:val="ListParagraph"/>
              <w:tabs>
                <w:tab w:val="left" w:pos="709"/>
              </w:tabs>
              <w:spacing w:after="200"/>
              <w:ind w:left="0"/>
              <w:contextualSpacing/>
              <w:rPr>
                <w:rFonts w:ascii="Arial" w:hAnsi="Arial" w:cs="Arial"/>
              </w:rPr>
            </w:pPr>
            <w:r w:rsidRPr="00FC6A24">
              <w:rPr>
                <w:rFonts w:ascii="Arial" w:hAnsi="Arial" w:cs="Arial"/>
              </w:rPr>
              <w:t xml:space="preserve">DEO would no longer be able to </w:t>
            </w:r>
            <w:r w:rsidR="00FC6A24" w:rsidRPr="00FC6A24">
              <w:rPr>
                <w:rFonts w:ascii="Arial" w:hAnsi="Arial" w:cs="Arial"/>
              </w:rPr>
              <w:t xml:space="preserve">contribute to </w:t>
            </w:r>
            <w:r w:rsidRPr="00FC6A24">
              <w:rPr>
                <w:rFonts w:ascii="Arial" w:hAnsi="Arial" w:cs="Arial"/>
              </w:rPr>
              <w:t xml:space="preserve">training for Designated Safeguarding Leads. </w:t>
            </w:r>
          </w:p>
          <w:p w:rsidR="000804E1" w:rsidRDefault="000804E1" w:rsidP="00FC6A24">
            <w:pPr>
              <w:pStyle w:val="ListParagraph"/>
              <w:tabs>
                <w:tab w:val="left" w:pos="709"/>
              </w:tabs>
              <w:spacing w:after="200"/>
              <w:ind w:left="0"/>
              <w:contextualSpacing/>
              <w:rPr>
                <w:rFonts w:ascii="Arial" w:hAnsi="Arial" w:cs="Arial"/>
              </w:rPr>
            </w:pPr>
          </w:p>
          <w:p w:rsidR="002744AE" w:rsidRDefault="002744AE" w:rsidP="000804E1">
            <w:pPr>
              <w:pStyle w:val="ListParagraph"/>
              <w:tabs>
                <w:tab w:val="left" w:pos="709"/>
              </w:tabs>
              <w:spacing w:after="200"/>
              <w:ind w:left="0"/>
              <w:contextualSpacing/>
              <w:rPr>
                <w:rFonts w:ascii="Arial" w:hAnsi="Arial" w:cs="Arial"/>
              </w:rPr>
            </w:pPr>
          </w:p>
        </w:tc>
      </w:tr>
      <w:tr w:rsidR="00776D22" w:rsidTr="00FC6A24">
        <w:tc>
          <w:tcPr>
            <w:tcW w:w="468" w:type="dxa"/>
          </w:tcPr>
          <w:p w:rsidR="00776D22" w:rsidRDefault="00776D22" w:rsidP="00517E03">
            <w:pPr>
              <w:pStyle w:val="ListParagraph"/>
              <w:tabs>
                <w:tab w:val="left" w:pos="709"/>
              </w:tabs>
              <w:spacing w:after="200"/>
              <w:ind w:left="0"/>
              <w:contextualSpacing/>
              <w:rPr>
                <w:rFonts w:ascii="Arial" w:hAnsi="Arial" w:cs="Arial"/>
              </w:rPr>
            </w:pPr>
            <w:r>
              <w:rPr>
                <w:rFonts w:ascii="Arial" w:hAnsi="Arial" w:cs="Arial"/>
              </w:rPr>
              <w:lastRenderedPageBreak/>
              <w:t>2.</w:t>
            </w:r>
          </w:p>
        </w:tc>
        <w:tc>
          <w:tcPr>
            <w:tcW w:w="1341" w:type="dxa"/>
          </w:tcPr>
          <w:p w:rsidR="00776D22" w:rsidRDefault="00776D22" w:rsidP="00C169CE">
            <w:pPr>
              <w:pStyle w:val="ListParagraph"/>
              <w:tabs>
                <w:tab w:val="left" w:pos="709"/>
              </w:tabs>
              <w:spacing w:after="200"/>
              <w:ind w:left="0"/>
              <w:contextualSpacing/>
              <w:rPr>
                <w:rFonts w:ascii="Arial" w:hAnsi="Arial" w:cs="Arial"/>
              </w:rPr>
            </w:pPr>
            <w:r>
              <w:rPr>
                <w:rFonts w:ascii="Arial" w:hAnsi="Arial" w:cs="Arial"/>
              </w:rPr>
              <w:t xml:space="preserve">Stockton schools to fund 66% of the role and Hartlepool schools to fund 34% of the role.  </w:t>
            </w:r>
            <w:r w:rsidR="00E32FE5">
              <w:rPr>
                <w:rFonts w:ascii="Arial" w:hAnsi="Arial" w:cs="Arial"/>
              </w:rPr>
              <w:t xml:space="preserve">The cost would be shared out equally across all schools </w:t>
            </w:r>
            <w:r w:rsidR="00E32FE5">
              <w:rPr>
                <w:rFonts w:ascii="Arial" w:hAnsi="Arial" w:cs="Arial"/>
              </w:rPr>
              <w:lastRenderedPageBreak/>
              <w:t xml:space="preserve">regardless of pupil numbers.  </w:t>
            </w:r>
          </w:p>
        </w:tc>
        <w:tc>
          <w:tcPr>
            <w:tcW w:w="2835" w:type="dxa"/>
          </w:tcPr>
          <w:p w:rsidR="00D52EE2" w:rsidRPr="00CD64BE" w:rsidRDefault="00776D22" w:rsidP="00D52EE2">
            <w:pPr>
              <w:pStyle w:val="ListParagraph"/>
              <w:tabs>
                <w:tab w:val="left" w:pos="709"/>
              </w:tabs>
              <w:spacing w:after="200"/>
              <w:ind w:left="0"/>
              <w:contextualSpacing/>
              <w:rPr>
                <w:rFonts w:ascii="Arial" w:hAnsi="Arial" w:cs="Arial"/>
              </w:rPr>
            </w:pPr>
            <w:r w:rsidRPr="00CD64BE">
              <w:rPr>
                <w:rFonts w:ascii="Arial" w:hAnsi="Arial" w:cs="Arial"/>
              </w:rPr>
              <w:lastRenderedPageBreak/>
              <w:t>If all schools agreed this would equate to</w:t>
            </w:r>
            <w:r w:rsidR="00D52EE2" w:rsidRPr="00CD64BE">
              <w:rPr>
                <w:rFonts w:ascii="Arial" w:hAnsi="Arial" w:cs="Arial"/>
              </w:rPr>
              <w:t xml:space="preserve"> </w:t>
            </w:r>
            <w:r w:rsidR="00E32FE5">
              <w:rPr>
                <w:rFonts w:ascii="Arial" w:hAnsi="Arial" w:cs="Arial"/>
              </w:rPr>
              <w:t xml:space="preserve">each Hartlepool school contributing £505.  </w:t>
            </w:r>
          </w:p>
          <w:p w:rsidR="00191893" w:rsidRDefault="00191893" w:rsidP="00D52EE2">
            <w:pPr>
              <w:pStyle w:val="ListParagraph"/>
              <w:tabs>
                <w:tab w:val="left" w:pos="709"/>
              </w:tabs>
              <w:spacing w:after="200"/>
              <w:ind w:left="0"/>
              <w:contextualSpacing/>
              <w:rPr>
                <w:rFonts w:ascii="Arial" w:hAnsi="Arial" w:cs="Arial"/>
              </w:rPr>
            </w:pPr>
          </w:p>
          <w:p w:rsidR="00191893" w:rsidRDefault="00191893" w:rsidP="005A1316">
            <w:pPr>
              <w:pStyle w:val="ListParagraph"/>
              <w:tabs>
                <w:tab w:val="left" w:pos="709"/>
              </w:tabs>
              <w:spacing w:after="200"/>
              <w:ind w:left="0"/>
              <w:contextualSpacing/>
              <w:rPr>
                <w:rFonts w:ascii="Arial" w:hAnsi="Arial" w:cs="Arial"/>
              </w:rPr>
            </w:pPr>
          </w:p>
        </w:tc>
        <w:tc>
          <w:tcPr>
            <w:tcW w:w="4737" w:type="dxa"/>
          </w:tcPr>
          <w:p w:rsidR="00776D22" w:rsidRDefault="00776D22" w:rsidP="00D52EE2">
            <w:pPr>
              <w:pStyle w:val="ListParagraph"/>
              <w:tabs>
                <w:tab w:val="left" w:pos="709"/>
              </w:tabs>
              <w:spacing w:after="200"/>
              <w:ind w:left="0"/>
              <w:contextualSpacing/>
              <w:rPr>
                <w:rFonts w:ascii="Arial" w:hAnsi="Arial" w:cs="Arial"/>
              </w:rPr>
            </w:pPr>
            <w:r>
              <w:rPr>
                <w:rFonts w:ascii="Arial" w:hAnsi="Arial" w:cs="Arial"/>
              </w:rPr>
              <w:t xml:space="preserve">Not all schools would </w:t>
            </w:r>
            <w:r w:rsidR="00D52EE2">
              <w:rPr>
                <w:rFonts w:ascii="Arial" w:hAnsi="Arial" w:cs="Arial"/>
              </w:rPr>
              <w:t>necessarily</w:t>
            </w:r>
            <w:r>
              <w:rPr>
                <w:rFonts w:ascii="Arial" w:hAnsi="Arial" w:cs="Arial"/>
              </w:rPr>
              <w:t xml:space="preserve"> use the role</w:t>
            </w:r>
            <w:r w:rsidR="00D52EE2">
              <w:rPr>
                <w:rFonts w:ascii="Arial" w:hAnsi="Arial" w:cs="Arial"/>
              </w:rPr>
              <w:t xml:space="preserve"> fully </w:t>
            </w:r>
            <w:r>
              <w:rPr>
                <w:rFonts w:ascii="Arial" w:hAnsi="Arial" w:cs="Arial"/>
              </w:rPr>
              <w:t xml:space="preserve">if they had no safeguarding concerns in that year.  </w:t>
            </w:r>
          </w:p>
          <w:p w:rsidR="00C169CE" w:rsidRDefault="00C169CE" w:rsidP="00D52EE2">
            <w:pPr>
              <w:pStyle w:val="ListParagraph"/>
              <w:tabs>
                <w:tab w:val="left" w:pos="709"/>
              </w:tabs>
              <w:spacing w:after="200"/>
              <w:ind w:left="0"/>
              <w:contextualSpacing/>
              <w:rPr>
                <w:rFonts w:ascii="Arial" w:hAnsi="Arial" w:cs="Arial"/>
              </w:rPr>
            </w:pPr>
          </w:p>
          <w:p w:rsidR="00C169CE" w:rsidRDefault="00C169CE" w:rsidP="00D52EE2">
            <w:pPr>
              <w:pStyle w:val="ListParagraph"/>
              <w:tabs>
                <w:tab w:val="left" w:pos="709"/>
              </w:tabs>
              <w:spacing w:after="200"/>
              <w:ind w:left="0"/>
              <w:contextualSpacing/>
              <w:rPr>
                <w:rFonts w:ascii="Arial" w:hAnsi="Arial" w:cs="Arial"/>
              </w:rPr>
            </w:pPr>
            <w:r>
              <w:rPr>
                <w:rFonts w:ascii="Arial" w:hAnsi="Arial" w:cs="Arial"/>
              </w:rPr>
              <w:t xml:space="preserve">Some schools may have low levels (or no) contact with the DEO if the majority of their </w:t>
            </w:r>
            <w:r>
              <w:rPr>
                <w:rFonts w:ascii="Arial" w:hAnsi="Arial" w:cs="Arial"/>
              </w:rPr>
              <w:lastRenderedPageBreak/>
              <w:t>cohort was already a CiN as the DEO only deals with children with no current active worker.</w:t>
            </w:r>
          </w:p>
        </w:tc>
      </w:tr>
      <w:tr w:rsidR="00776D22" w:rsidTr="00FC6A24">
        <w:tc>
          <w:tcPr>
            <w:tcW w:w="468" w:type="dxa"/>
          </w:tcPr>
          <w:p w:rsidR="00776D22" w:rsidRDefault="00776D22" w:rsidP="00517E03">
            <w:pPr>
              <w:pStyle w:val="ListParagraph"/>
              <w:tabs>
                <w:tab w:val="left" w:pos="709"/>
              </w:tabs>
              <w:spacing w:after="200"/>
              <w:ind w:left="0"/>
              <w:contextualSpacing/>
              <w:rPr>
                <w:rFonts w:ascii="Arial" w:hAnsi="Arial" w:cs="Arial"/>
              </w:rPr>
            </w:pPr>
            <w:r>
              <w:rPr>
                <w:rFonts w:ascii="Arial" w:hAnsi="Arial" w:cs="Arial"/>
              </w:rPr>
              <w:lastRenderedPageBreak/>
              <w:t>3.</w:t>
            </w:r>
          </w:p>
        </w:tc>
        <w:tc>
          <w:tcPr>
            <w:tcW w:w="1341" w:type="dxa"/>
          </w:tcPr>
          <w:p w:rsidR="00776D22" w:rsidRDefault="00FC6A24" w:rsidP="00517E03">
            <w:pPr>
              <w:pStyle w:val="ListParagraph"/>
              <w:tabs>
                <w:tab w:val="left" w:pos="709"/>
              </w:tabs>
              <w:spacing w:after="200"/>
              <w:ind w:left="0"/>
              <w:contextualSpacing/>
              <w:rPr>
                <w:rFonts w:ascii="Arial" w:hAnsi="Arial" w:cs="Arial"/>
              </w:rPr>
            </w:pPr>
            <w:r>
              <w:rPr>
                <w:rFonts w:ascii="Arial" w:hAnsi="Arial" w:cs="Arial"/>
              </w:rPr>
              <w:t xml:space="preserve">Schools choose to ‘buy back’ into the DEO role.  </w:t>
            </w:r>
          </w:p>
          <w:p w:rsidR="00776D22" w:rsidRDefault="00776D22" w:rsidP="00517E03">
            <w:pPr>
              <w:pStyle w:val="ListParagraph"/>
              <w:tabs>
                <w:tab w:val="left" w:pos="709"/>
              </w:tabs>
              <w:spacing w:after="200"/>
              <w:ind w:left="0"/>
              <w:contextualSpacing/>
              <w:rPr>
                <w:rFonts w:ascii="Arial" w:hAnsi="Arial" w:cs="Arial"/>
              </w:rPr>
            </w:pPr>
          </w:p>
          <w:p w:rsidR="00776D22" w:rsidRDefault="00776D22" w:rsidP="00517E03">
            <w:pPr>
              <w:pStyle w:val="ListParagraph"/>
              <w:tabs>
                <w:tab w:val="left" w:pos="709"/>
              </w:tabs>
              <w:spacing w:after="200"/>
              <w:ind w:left="0"/>
              <w:contextualSpacing/>
              <w:rPr>
                <w:rFonts w:ascii="Arial" w:hAnsi="Arial" w:cs="Arial"/>
              </w:rPr>
            </w:pPr>
          </w:p>
          <w:p w:rsidR="00776D22" w:rsidRDefault="00776D22" w:rsidP="00517E03">
            <w:pPr>
              <w:pStyle w:val="ListParagraph"/>
              <w:tabs>
                <w:tab w:val="left" w:pos="709"/>
              </w:tabs>
              <w:spacing w:after="200"/>
              <w:ind w:left="0"/>
              <w:contextualSpacing/>
              <w:rPr>
                <w:rFonts w:ascii="Arial" w:hAnsi="Arial" w:cs="Arial"/>
              </w:rPr>
            </w:pPr>
          </w:p>
          <w:p w:rsidR="00776D22" w:rsidRDefault="00776D22" w:rsidP="00517E03">
            <w:pPr>
              <w:pStyle w:val="ListParagraph"/>
              <w:tabs>
                <w:tab w:val="left" w:pos="709"/>
              </w:tabs>
              <w:spacing w:after="200"/>
              <w:ind w:left="0"/>
              <w:contextualSpacing/>
              <w:rPr>
                <w:rFonts w:ascii="Arial" w:hAnsi="Arial" w:cs="Arial"/>
              </w:rPr>
            </w:pPr>
          </w:p>
        </w:tc>
        <w:tc>
          <w:tcPr>
            <w:tcW w:w="2835" w:type="dxa"/>
          </w:tcPr>
          <w:p w:rsidR="00776D22" w:rsidRDefault="00FC6A24" w:rsidP="00517E03">
            <w:pPr>
              <w:pStyle w:val="ListParagraph"/>
              <w:tabs>
                <w:tab w:val="left" w:pos="709"/>
              </w:tabs>
              <w:spacing w:after="200"/>
              <w:ind w:left="0"/>
              <w:contextualSpacing/>
              <w:rPr>
                <w:rFonts w:ascii="Arial" w:hAnsi="Arial" w:cs="Arial"/>
              </w:rPr>
            </w:pPr>
            <w:r>
              <w:rPr>
                <w:rFonts w:ascii="Arial" w:hAnsi="Arial" w:cs="Arial"/>
              </w:rPr>
              <w:t xml:space="preserve">Schools can buy the service if they feel it adds value to their safeguarding duties.  </w:t>
            </w:r>
          </w:p>
        </w:tc>
        <w:tc>
          <w:tcPr>
            <w:tcW w:w="4737" w:type="dxa"/>
          </w:tcPr>
          <w:p w:rsidR="00776D22" w:rsidRDefault="00FC6A24" w:rsidP="00A32910">
            <w:pPr>
              <w:pStyle w:val="ListParagraph"/>
              <w:tabs>
                <w:tab w:val="left" w:pos="709"/>
              </w:tabs>
              <w:spacing w:after="200"/>
              <w:ind w:left="0"/>
              <w:contextualSpacing/>
              <w:rPr>
                <w:rFonts w:ascii="Arial" w:hAnsi="Arial" w:cs="Arial"/>
              </w:rPr>
            </w:pPr>
            <w:r>
              <w:rPr>
                <w:rFonts w:ascii="Arial" w:hAnsi="Arial" w:cs="Arial"/>
              </w:rPr>
              <w:t xml:space="preserve">Difficult for the </w:t>
            </w:r>
            <w:r w:rsidR="005A1316">
              <w:rPr>
                <w:rFonts w:ascii="Arial" w:hAnsi="Arial" w:cs="Arial"/>
              </w:rPr>
              <w:t>C</w:t>
            </w:r>
            <w:r>
              <w:rPr>
                <w:rFonts w:ascii="Arial" w:hAnsi="Arial" w:cs="Arial"/>
              </w:rPr>
              <w:t>Hub to administer.  The DEO is either an ‘all o</w:t>
            </w:r>
            <w:r w:rsidR="00A32910">
              <w:rPr>
                <w:rFonts w:ascii="Arial" w:hAnsi="Arial" w:cs="Arial"/>
              </w:rPr>
              <w:t>r</w:t>
            </w:r>
            <w:r>
              <w:rPr>
                <w:rFonts w:ascii="Arial" w:hAnsi="Arial" w:cs="Arial"/>
              </w:rPr>
              <w:t xml:space="preserve"> nothing’ role.  Cannot offer additional safeguarding support to some children but not others.  </w:t>
            </w:r>
          </w:p>
        </w:tc>
      </w:tr>
      <w:tr w:rsidR="005A1316" w:rsidTr="00FC6A24">
        <w:tc>
          <w:tcPr>
            <w:tcW w:w="468" w:type="dxa"/>
          </w:tcPr>
          <w:p w:rsidR="005A1316" w:rsidRPr="00F61FF4" w:rsidRDefault="005A1316" w:rsidP="00517E03">
            <w:pPr>
              <w:pStyle w:val="ListParagraph"/>
              <w:tabs>
                <w:tab w:val="left" w:pos="709"/>
              </w:tabs>
              <w:spacing w:after="200"/>
              <w:ind w:left="0"/>
              <w:contextualSpacing/>
              <w:rPr>
                <w:rFonts w:ascii="Arial" w:hAnsi="Arial" w:cs="Arial"/>
                <w:color w:val="FF0000"/>
              </w:rPr>
            </w:pPr>
            <w:r w:rsidRPr="00F61FF4">
              <w:rPr>
                <w:rFonts w:ascii="Arial" w:hAnsi="Arial" w:cs="Arial"/>
                <w:color w:val="FF0000"/>
              </w:rPr>
              <w:t>4.</w:t>
            </w:r>
          </w:p>
        </w:tc>
        <w:tc>
          <w:tcPr>
            <w:tcW w:w="1341" w:type="dxa"/>
          </w:tcPr>
          <w:p w:rsidR="005A1316" w:rsidRPr="00F61FF4" w:rsidRDefault="005A1316" w:rsidP="00517E03">
            <w:pPr>
              <w:pStyle w:val="ListParagraph"/>
              <w:tabs>
                <w:tab w:val="left" w:pos="709"/>
              </w:tabs>
              <w:spacing w:after="200"/>
              <w:ind w:left="0"/>
              <w:contextualSpacing/>
              <w:rPr>
                <w:rFonts w:ascii="Arial" w:hAnsi="Arial" w:cs="Arial"/>
                <w:color w:val="FF0000"/>
              </w:rPr>
            </w:pPr>
            <w:r w:rsidRPr="00F61FF4">
              <w:rPr>
                <w:rFonts w:ascii="Arial" w:hAnsi="Arial" w:cs="Arial"/>
                <w:color w:val="FF0000"/>
              </w:rPr>
              <w:t>Schools pay for the role based on</w:t>
            </w:r>
            <w:r w:rsidR="0056337B">
              <w:rPr>
                <w:rFonts w:ascii="Arial" w:hAnsi="Arial" w:cs="Arial"/>
                <w:color w:val="FF0000"/>
              </w:rPr>
              <w:t xml:space="preserve"> the numbers of children on roll</w:t>
            </w:r>
            <w:r w:rsidRPr="00F61FF4">
              <w:rPr>
                <w:rFonts w:ascii="Arial" w:hAnsi="Arial" w:cs="Arial"/>
                <w:color w:val="FF0000"/>
              </w:rPr>
              <w:t xml:space="preserve">.  </w:t>
            </w:r>
          </w:p>
          <w:p w:rsidR="005A1316" w:rsidRPr="00F61FF4" w:rsidRDefault="005A1316" w:rsidP="00517E03">
            <w:pPr>
              <w:pStyle w:val="ListParagraph"/>
              <w:tabs>
                <w:tab w:val="left" w:pos="709"/>
              </w:tabs>
              <w:spacing w:after="200"/>
              <w:ind w:left="0"/>
              <w:contextualSpacing/>
              <w:rPr>
                <w:rFonts w:ascii="Arial" w:hAnsi="Arial" w:cs="Arial"/>
                <w:color w:val="FF0000"/>
              </w:rPr>
            </w:pPr>
          </w:p>
          <w:p w:rsidR="005A1316" w:rsidRPr="00F61FF4" w:rsidRDefault="005A1316" w:rsidP="005A1316">
            <w:pPr>
              <w:pStyle w:val="ListParagraph"/>
              <w:tabs>
                <w:tab w:val="left" w:pos="709"/>
              </w:tabs>
              <w:spacing w:after="200"/>
              <w:ind w:left="0"/>
              <w:contextualSpacing/>
              <w:rPr>
                <w:rFonts w:ascii="Arial" w:hAnsi="Arial" w:cs="Arial"/>
                <w:color w:val="FF0000"/>
              </w:rPr>
            </w:pPr>
            <w:r w:rsidRPr="00F61FF4">
              <w:rPr>
                <w:rFonts w:ascii="Arial" w:hAnsi="Arial" w:cs="Arial"/>
                <w:color w:val="FF0000"/>
              </w:rPr>
              <w:t xml:space="preserve">Appendix A shows the cost implications for schools should this option be chosen.  </w:t>
            </w:r>
          </w:p>
        </w:tc>
        <w:tc>
          <w:tcPr>
            <w:tcW w:w="2835" w:type="dxa"/>
          </w:tcPr>
          <w:p w:rsidR="005A1316" w:rsidRPr="00F61FF4" w:rsidRDefault="005A1316" w:rsidP="00517E03">
            <w:pPr>
              <w:pStyle w:val="ListParagraph"/>
              <w:tabs>
                <w:tab w:val="left" w:pos="709"/>
              </w:tabs>
              <w:spacing w:after="200"/>
              <w:ind w:left="0"/>
              <w:contextualSpacing/>
              <w:rPr>
                <w:rFonts w:ascii="Arial" w:hAnsi="Arial" w:cs="Arial"/>
                <w:color w:val="FF0000"/>
              </w:rPr>
            </w:pPr>
            <w:r w:rsidRPr="00F61FF4">
              <w:rPr>
                <w:rFonts w:ascii="Arial" w:hAnsi="Arial" w:cs="Arial"/>
                <w:color w:val="FF0000"/>
              </w:rPr>
              <w:t xml:space="preserve">Winners and losers in terms of costs to individual schools. </w:t>
            </w:r>
          </w:p>
          <w:p w:rsidR="005A1316" w:rsidRPr="00F61FF4" w:rsidRDefault="005A1316" w:rsidP="00517E03">
            <w:pPr>
              <w:pStyle w:val="ListParagraph"/>
              <w:tabs>
                <w:tab w:val="left" w:pos="709"/>
              </w:tabs>
              <w:spacing w:after="200"/>
              <w:ind w:left="0"/>
              <w:contextualSpacing/>
              <w:rPr>
                <w:rFonts w:ascii="Arial" w:hAnsi="Arial" w:cs="Arial"/>
                <w:color w:val="FF0000"/>
              </w:rPr>
            </w:pPr>
          </w:p>
          <w:p w:rsidR="005A1316" w:rsidRPr="00F61FF4" w:rsidRDefault="005A1316" w:rsidP="00517E03">
            <w:pPr>
              <w:pStyle w:val="ListParagraph"/>
              <w:tabs>
                <w:tab w:val="left" w:pos="709"/>
              </w:tabs>
              <w:spacing w:after="200"/>
              <w:ind w:left="0"/>
              <w:contextualSpacing/>
              <w:rPr>
                <w:rFonts w:ascii="Arial" w:hAnsi="Arial" w:cs="Arial"/>
                <w:color w:val="FF0000"/>
              </w:rPr>
            </w:pPr>
            <w:r w:rsidRPr="00F61FF4">
              <w:rPr>
                <w:rFonts w:ascii="Arial" w:hAnsi="Arial" w:cs="Arial"/>
                <w:color w:val="FF0000"/>
              </w:rPr>
              <w:t>Small schools would pay less than large schools.</w:t>
            </w:r>
          </w:p>
          <w:p w:rsidR="005A1316" w:rsidRPr="00F61FF4" w:rsidRDefault="005A1316" w:rsidP="00517E03">
            <w:pPr>
              <w:pStyle w:val="ListParagraph"/>
              <w:tabs>
                <w:tab w:val="left" w:pos="709"/>
              </w:tabs>
              <w:spacing w:after="200"/>
              <w:ind w:left="0"/>
              <w:contextualSpacing/>
              <w:rPr>
                <w:rFonts w:ascii="Arial" w:hAnsi="Arial" w:cs="Arial"/>
                <w:color w:val="FF0000"/>
              </w:rPr>
            </w:pPr>
          </w:p>
          <w:p w:rsidR="005A1316" w:rsidRPr="00F61FF4" w:rsidRDefault="005A1316" w:rsidP="00517E03">
            <w:pPr>
              <w:pStyle w:val="ListParagraph"/>
              <w:tabs>
                <w:tab w:val="left" w:pos="709"/>
              </w:tabs>
              <w:spacing w:after="200"/>
              <w:ind w:left="0"/>
              <w:contextualSpacing/>
              <w:rPr>
                <w:rFonts w:ascii="Arial" w:hAnsi="Arial" w:cs="Arial"/>
                <w:color w:val="FF0000"/>
              </w:rPr>
            </w:pPr>
            <w:r w:rsidRPr="00F61FF4">
              <w:rPr>
                <w:rFonts w:ascii="Arial" w:hAnsi="Arial" w:cs="Arial"/>
                <w:color w:val="FF0000"/>
              </w:rPr>
              <w:t xml:space="preserve">Arguably a fairer distribution of costs.    </w:t>
            </w:r>
          </w:p>
        </w:tc>
        <w:tc>
          <w:tcPr>
            <w:tcW w:w="4737" w:type="dxa"/>
          </w:tcPr>
          <w:p w:rsidR="005A1316" w:rsidRPr="00F61FF4" w:rsidRDefault="005A1316" w:rsidP="00A32910">
            <w:pPr>
              <w:pStyle w:val="ListParagraph"/>
              <w:tabs>
                <w:tab w:val="left" w:pos="709"/>
              </w:tabs>
              <w:spacing w:after="200"/>
              <w:ind w:left="0"/>
              <w:contextualSpacing/>
              <w:rPr>
                <w:rFonts w:ascii="Arial" w:hAnsi="Arial" w:cs="Arial"/>
                <w:color w:val="FF0000"/>
              </w:rPr>
            </w:pPr>
            <w:r w:rsidRPr="00F61FF4">
              <w:rPr>
                <w:rFonts w:ascii="Arial" w:hAnsi="Arial" w:cs="Arial"/>
                <w:color w:val="FF0000"/>
              </w:rPr>
              <w:t xml:space="preserve">Some schools would need to pay more than they have previously.   </w:t>
            </w:r>
          </w:p>
        </w:tc>
      </w:tr>
    </w:tbl>
    <w:p w:rsidR="003801D0" w:rsidRDefault="003801D0" w:rsidP="008A535B">
      <w:pPr>
        <w:tabs>
          <w:tab w:val="left" w:pos="709"/>
        </w:tabs>
        <w:spacing w:after="200"/>
        <w:contextualSpacing/>
        <w:rPr>
          <w:rFonts w:ascii="Arial" w:hAnsi="Arial" w:cs="Arial"/>
        </w:rPr>
      </w:pPr>
    </w:p>
    <w:p w:rsidR="00BB3EB7" w:rsidRPr="008102D4" w:rsidRDefault="00FC1FB5" w:rsidP="004C4821">
      <w:pPr>
        <w:pStyle w:val="ListParagraph"/>
        <w:ind w:left="0"/>
        <w:contextualSpacing/>
        <w:rPr>
          <w:rFonts w:ascii="Arial" w:hAnsi="Arial" w:cs="Arial"/>
          <w:b/>
        </w:rPr>
      </w:pPr>
      <w:r>
        <w:rPr>
          <w:rFonts w:ascii="Arial" w:hAnsi="Arial" w:cs="Arial"/>
          <w:b/>
        </w:rPr>
        <w:t>4</w:t>
      </w:r>
      <w:r w:rsidR="00BB3EB7" w:rsidRPr="008102D4">
        <w:rPr>
          <w:rFonts w:ascii="Arial" w:hAnsi="Arial" w:cs="Arial"/>
          <w:b/>
        </w:rPr>
        <w:t xml:space="preserve">. </w:t>
      </w:r>
      <w:r w:rsidR="00000337" w:rsidRPr="008102D4">
        <w:rPr>
          <w:rFonts w:ascii="Arial" w:hAnsi="Arial" w:cs="Arial"/>
          <w:b/>
        </w:rPr>
        <w:tab/>
      </w:r>
      <w:r w:rsidR="00BB3EB7" w:rsidRPr="008102D4">
        <w:rPr>
          <w:rFonts w:ascii="Arial" w:hAnsi="Arial" w:cs="Arial"/>
          <w:b/>
          <w:u w:val="single"/>
        </w:rPr>
        <w:t>Recommendations</w:t>
      </w:r>
      <w:r w:rsidR="00BB3EB7" w:rsidRPr="008102D4">
        <w:rPr>
          <w:rFonts w:ascii="Arial" w:hAnsi="Arial" w:cs="Arial"/>
          <w:b/>
        </w:rPr>
        <w:t xml:space="preserve"> </w:t>
      </w:r>
    </w:p>
    <w:p w:rsidR="0058614F" w:rsidRPr="008102D4" w:rsidRDefault="0058614F" w:rsidP="004C4821">
      <w:pPr>
        <w:pStyle w:val="ListParagraph"/>
        <w:ind w:left="0"/>
        <w:contextualSpacing/>
        <w:rPr>
          <w:rFonts w:ascii="Arial" w:hAnsi="Arial" w:cs="Arial"/>
          <w:b/>
        </w:rPr>
      </w:pPr>
    </w:p>
    <w:p w:rsidR="008102D4" w:rsidRPr="00E068D1" w:rsidRDefault="00FC1FB5" w:rsidP="00E068D1">
      <w:pPr>
        <w:ind w:left="720" w:hanging="720"/>
        <w:rPr>
          <w:b/>
          <w:color w:val="FF0000"/>
        </w:rPr>
      </w:pPr>
      <w:r>
        <w:rPr>
          <w:rFonts w:ascii="Arial" w:hAnsi="Arial" w:cs="Arial"/>
        </w:rPr>
        <w:t>4</w:t>
      </w:r>
      <w:r w:rsidR="00BB3EB7" w:rsidRPr="008102D4">
        <w:rPr>
          <w:rFonts w:ascii="Arial" w:hAnsi="Arial" w:cs="Arial"/>
        </w:rPr>
        <w:t xml:space="preserve">.1 </w:t>
      </w:r>
      <w:r w:rsidR="00000337" w:rsidRPr="008102D4">
        <w:rPr>
          <w:rFonts w:ascii="Arial" w:hAnsi="Arial" w:cs="Arial"/>
        </w:rPr>
        <w:tab/>
      </w:r>
      <w:r w:rsidR="00776D22">
        <w:rPr>
          <w:rFonts w:ascii="Arial" w:hAnsi="Arial" w:cs="Arial"/>
        </w:rPr>
        <w:t xml:space="preserve">Schools Forum is asked to </w:t>
      </w:r>
      <w:r w:rsidR="002744AE">
        <w:rPr>
          <w:rFonts w:ascii="Arial" w:hAnsi="Arial" w:cs="Arial"/>
        </w:rPr>
        <w:t xml:space="preserve">consider the options above </w:t>
      </w:r>
      <w:r w:rsidR="00052AFF">
        <w:rPr>
          <w:rFonts w:ascii="Arial" w:hAnsi="Arial" w:cs="Arial"/>
        </w:rPr>
        <w:t>and choose a</w:t>
      </w:r>
      <w:r w:rsidR="005A1316">
        <w:rPr>
          <w:rFonts w:ascii="Arial" w:hAnsi="Arial" w:cs="Arial"/>
        </w:rPr>
        <w:t xml:space="preserve"> preferred option at the meeting of the </w:t>
      </w:r>
      <w:r w:rsidR="00F61FF4">
        <w:rPr>
          <w:rFonts w:ascii="Arial" w:hAnsi="Arial" w:cs="Arial"/>
        </w:rPr>
        <w:t>7</w:t>
      </w:r>
      <w:bookmarkStart w:id="0" w:name="_GoBack"/>
      <w:bookmarkEnd w:id="0"/>
      <w:r w:rsidR="00F61FF4">
        <w:rPr>
          <w:rFonts w:ascii="Arial" w:hAnsi="Arial" w:cs="Arial"/>
        </w:rPr>
        <w:t xml:space="preserve"> May 2019.  </w:t>
      </w:r>
    </w:p>
    <w:sectPr w:rsidR="008102D4" w:rsidRPr="00E068D1" w:rsidSect="008A535B">
      <w:footerReference w:type="default" r:id="rId8"/>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68" w:rsidRDefault="00D20468" w:rsidP="00A821EE">
      <w:r>
        <w:separator/>
      </w:r>
    </w:p>
  </w:endnote>
  <w:endnote w:type="continuationSeparator" w:id="0">
    <w:p w:rsidR="00D20468" w:rsidRDefault="00D20468" w:rsidP="00A82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CE" w:rsidRPr="00177B66" w:rsidRDefault="00F16C56" w:rsidP="00A01677">
    <w:pPr>
      <w:pStyle w:val="Footer"/>
      <w:jc w:val="center"/>
      <w:rPr>
        <w:rFonts w:ascii="Calibri" w:hAnsi="Calibri" w:cs="Calibri"/>
      </w:rPr>
    </w:pPr>
    <w:r w:rsidRPr="00177B66">
      <w:rPr>
        <w:rFonts w:ascii="Calibri" w:hAnsi="Calibri" w:cs="Calibri"/>
      </w:rPr>
      <w:fldChar w:fldCharType="begin"/>
    </w:r>
    <w:r w:rsidR="00C169CE" w:rsidRPr="00177B66">
      <w:rPr>
        <w:rFonts w:ascii="Calibri" w:hAnsi="Calibri" w:cs="Calibri"/>
      </w:rPr>
      <w:instrText xml:space="preserve"> PAGE   \* MERGEFORMAT </w:instrText>
    </w:r>
    <w:r w:rsidRPr="00177B66">
      <w:rPr>
        <w:rFonts w:ascii="Calibri" w:hAnsi="Calibri" w:cs="Calibri"/>
      </w:rPr>
      <w:fldChar w:fldCharType="separate"/>
    </w:r>
    <w:r w:rsidR="004103F2">
      <w:rPr>
        <w:rFonts w:ascii="Calibri" w:hAnsi="Calibri" w:cs="Calibri"/>
        <w:noProof/>
      </w:rPr>
      <w:t>1</w:t>
    </w:r>
    <w:r w:rsidRPr="00177B66">
      <w:rPr>
        <w:rFonts w:ascii="Calibri" w:hAnsi="Calibri" w:cs="Calibri"/>
      </w:rPr>
      <w:fldChar w:fldCharType="end"/>
    </w:r>
  </w:p>
  <w:p w:rsidR="00C169CE" w:rsidRDefault="00C16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68" w:rsidRDefault="00D20468" w:rsidP="00A821EE">
      <w:r>
        <w:separator/>
      </w:r>
    </w:p>
  </w:footnote>
  <w:footnote w:type="continuationSeparator" w:id="0">
    <w:p w:rsidR="00D20468" w:rsidRDefault="00D20468" w:rsidP="00A82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14E"/>
    <w:multiLevelType w:val="hybridMultilevel"/>
    <w:tmpl w:val="011A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11CF5"/>
    <w:multiLevelType w:val="hybridMultilevel"/>
    <w:tmpl w:val="388E008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CD5427"/>
    <w:multiLevelType w:val="hybridMultilevel"/>
    <w:tmpl w:val="54FE0F28"/>
    <w:lvl w:ilvl="0" w:tplc="0809000F">
      <w:start w:val="1"/>
      <w:numFmt w:val="decimal"/>
      <w:lvlText w:val="%1."/>
      <w:lvlJc w:val="left"/>
      <w:pPr>
        <w:ind w:left="786" w:hanging="360"/>
      </w:pPr>
      <w:rPr>
        <w:rFonts w:hint="default"/>
      </w:r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3">
    <w:nsid w:val="1AA72E89"/>
    <w:multiLevelType w:val="hybridMultilevel"/>
    <w:tmpl w:val="82DA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5858D3"/>
    <w:multiLevelType w:val="hybridMultilevel"/>
    <w:tmpl w:val="B442D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6ED063C"/>
    <w:multiLevelType w:val="hybridMultilevel"/>
    <w:tmpl w:val="A6B0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682973"/>
    <w:multiLevelType w:val="multilevel"/>
    <w:tmpl w:val="CCAC810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CFB19CD"/>
    <w:multiLevelType w:val="multilevel"/>
    <w:tmpl w:val="10A4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503D0"/>
    <w:multiLevelType w:val="hybridMultilevel"/>
    <w:tmpl w:val="01FA2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E8708C6"/>
    <w:multiLevelType w:val="hybridMultilevel"/>
    <w:tmpl w:val="A61AD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67F3F45"/>
    <w:multiLevelType w:val="multilevel"/>
    <w:tmpl w:val="EDB2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DA365A"/>
    <w:multiLevelType w:val="hybridMultilevel"/>
    <w:tmpl w:val="BB6817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492A0C65"/>
    <w:multiLevelType w:val="hybridMultilevel"/>
    <w:tmpl w:val="84B811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9F1446"/>
    <w:multiLevelType w:val="hybridMultilevel"/>
    <w:tmpl w:val="C73AA6D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14596C"/>
    <w:multiLevelType w:val="multilevel"/>
    <w:tmpl w:val="A05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2C17AC"/>
    <w:multiLevelType w:val="hybridMultilevel"/>
    <w:tmpl w:val="702EFF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533F5CA3"/>
    <w:multiLevelType w:val="hybridMultilevel"/>
    <w:tmpl w:val="0D98F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D335C3"/>
    <w:multiLevelType w:val="hybridMultilevel"/>
    <w:tmpl w:val="72825E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A2E5BDE"/>
    <w:multiLevelType w:val="multilevel"/>
    <w:tmpl w:val="41E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B78DF"/>
    <w:multiLevelType w:val="hybridMultilevel"/>
    <w:tmpl w:val="9ACC1E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5066B45"/>
    <w:multiLevelType w:val="multilevel"/>
    <w:tmpl w:val="296EC4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5146B4"/>
    <w:multiLevelType w:val="hybridMultilevel"/>
    <w:tmpl w:val="760AC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0853AC"/>
    <w:multiLevelType w:val="multilevel"/>
    <w:tmpl w:val="48847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E3270"/>
    <w:multiLevelType w:val="hybridMultilevel"/>
    <w:tmpl w:val="6D2A4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E53576"/>
    <w:multiLevelType w:val="hybridMultilevel"/>
    <w:tmpl w:val="570862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BC10B3"/>
    <w:multiLevelType w:val="hybridMultilevel"/>
    <w:tmpl w:val="F258B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25"/>
  </w:num>
  <w:num w:numId="4">
    <w:abstractNumId w:val="19"/>
  </w:num>
  <w:num w:numId="5">
    <w:abstractNumId w:val="8"/>
  </w:num>
  <w:num w:numId="6">
    <w:abstractNumId w:val="6"/>
  </w:num>
  <w:num w:numId="7">
    <w:abstractNumId w:val="18"/>
  </w:num>
  <w:num w:numId="8">
    <w:abstractNumId w:val="14"/>
  </w:num>
  <w:num w:numId="9">
    <w:abstractNumId w:val="7"/>
  </w:num>
  <w:num w:numId="10">
    <w:abstractNumId w:val="10"/>
  </w:num>
  <w:num w:numId="11">
    <w:abstractNumId w:val="2"/>
  </w:num>
  <w:num w:numId="12">
    <w:abstractNumId w:val="11"/>
  </w:num>
  <w:num w:numId="13">
    <w:abstractNumId w:val="17"/>
  </w:num>
  <w:num w:numId="14">
    <w:abstractNumId w:val="22"/>
  </w:num>
  <w:num w:numId="15">
    <w:abstractNumId w:val="16"/>
  </w:num>
  <w:num w:numId="16">
    <w:abstractNumId w:val="5"/>
  </w:num>
  <w:num w:numId="17">
    <w:abstractNumId w:val="3"/>
  </w:num>
  <w:num w:numId="18">
    <w:abstractNumId w:val="0"/>
  </w:num>
  <w:num w:numId="19">
    <w:abstractNumId w:val="9"/>
  </w:num>
  <w:num w:numId="20">
    <w:abstractNumId w:val="4"/>
  </w:num>
  <w:num w:numId="21">
    <w:abstractNumId w:val="24"/>
  </w:num>
  <w:num w:numId="22">
    <w:abstractNumId w:val="13"/>
  </w:num>
  <w:num w:numId="23">
    <w:abstractNumId w:val="15"/>
  </w:num>
  <w:num w:numId="24">
    <w:abstractNumId w:val="21"/>
  </w:num>
  <w:num w:numId="25">
    <w:abstractNumId w:val="12"/>
  </w:num>
  <w:num w:numId="26">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0241"/>
  </w:hdrShapeDefaults>
  <w:footnotePr>
    <w:footnote w:id="-1"/>
    <w:footnote w:id="0"/>
  </w:footnotePr>
  <w:endnotePr>
    <w:endnote w:id="-1"/>
    <w:endnote w:id="0"/>
  </w:endnotePr>
  <w:compat/>
  <w:rsids>
    <w:rsidRoot w:val="00D6440E"/>
    <w:rsid w:val="00000337"/>
    <w:rsid w:val="0000065E"/>
    <w:rsid w:val="00000D87"/>
    <w:rsid w:val="00001556"/>
    <w:rsid w:val="000023D6"/>
    <w:rsid w:val="0000249A"/>
    <w:rsid w:val="00002721"/>
    <w:rsid w:val="000105C4"/>
    <w:rsid w:val="00011393"/>
    <w:rsid w:val="00011F3A"/>
    <w:rsid w:val="0001210A"/>
    <w:rsid w:val="000145BD"/>
    <w:rsid w:val="0001724D"/>
    <w:rsid w:val="00017DE5"/>
    <w:rsid w:val="0002078A"/>
    <w:rsid w:val="00021A80"/>
    <w:rsid w:val="000245D6"/>
    <w:rsid w:val="00025930"/>
    <w:rsid w:val="00025996"/>
    <w:rsid w:val="00025DFC"/>
    <w:rsid w:val="000273D4"/>
    <w:rsid w:val="00030623"/>
    <w:rsid w:val="00032701"/>
    <w:rsid w:val="00034D30"/>
    <w:rsid w:val="0003557D"/>
    <w:rsid w:val="00035761"/>
    <w:rsid w:val="00037393"/>
    <w:rsid w:val="00037AF2"/>
    <w:rsid w:val="00041B1E"/>
    <w:rsid w:val="00041B48"/>
    <w:rsid w:val="000424E2"/>
    <w:rsid w:val="00046221"/>
    <w:rsid w:val="00047960"/>
    <w:rsid w:val="00047BD3"/>
    <w:rsid w:val="00050952"/>
    <w:rsid w:val="000512D6"/>
    <w:rsid w:val="00052AFF"/>
    <w:rsid w:val="00056907"/>
    <w:rsid w:val="00057F6B"/>
    <w:rsid w:val="00062335"/>
    <w:rsid w:val="000626CE"/>
    <w:rsid w:val="000631E6"/>
    <w:rsid w:val="00064743"/>
    <w:rsid w:val="00067491"/>
    <w:rsid w:val="0007006B"/>
    <w:rsid w:val="00071426"/>
    <w:rsid w:val="000717D7"/>
    <w:rsid w:val="00071DA1"/>
    <w:rsid w:val="00072087"/>
    <w:rsid w:val="000723B3"/>
    <w:rsid w:val="000725EA"/>
    <w:rsid w:val="00076F19"/>
    <w:rsid w:val="000771B2"/>
    <w:rsid w:val="000804E1"/>
    <w:rsid w:val="00082526"/>
    <w:rsid w:val="00083680"/>
    <w:rsid w:val="000841D9"/>
    <w:rsid w:val="00084A29"/>
    <w:rsid w:val="000854CA"/>
    <w:rsid w:val="00087FC8"/>
    <w:rsid w:val="00090D4A"/>
    <w:rsid w:val="00092357"/>
    <w:rsid w:val="00092C38"/>
    <w:rsid w:val="0009407D"/>
    <w:rsid w:val="0009468E"/>
    <w:rsid w:val="00096CDC"/>
    <w:rsid w:val="000A12B3"/>
    <w:rsid w:val="000A1AAA"/>
    <w:rsid w:val="000B12F2"/>
    <w:rsid w:val="000B409A"/>
    <w:rsid w:val="000B7C9D"/>
    <w:rsid w:val="000C4DB0"/>
    <w:rsid w:val="000C55D5"/>
    <w:rsid w:val="000C66E8"/>
    <w:rsid w:val="000D1BD4"/>
    <w:rsid w:val="000D2B4E"/>
    <w:rsid w:val="000D2FDA"/>
    <w:rsid w:val="000D3D86"/>
    <w:rsid w:val="000D41C6"/>
    <w:rsid w:val="000D4E8C"/>
    <w:rsid w:val="000D7BCB"/>
    <w:rsid w:val="000E0E5B"/>
    <w:rsid w:val="000E35F6"/>
    <w:rsid w:val="000E42EE"/>
    <w:rsid w:val="000E48FE"/>
    <w:rsid w:val="000E5080"/>
    <w:rsid w:val="000E55C6"/>
    <w:rsid w:val="000E576F"/>
    <w:rsid w:val="000E593B"/>
    <w:rsid w:val="000E5CC1"/>
    <w:rsid w:val="000F097F"/>
    <w:rsid w:val="000F0B10"/>
    <w:rsid w:val="000F3967"/>
    <w:rsid w:val="000F5754"/>
    <w:rsid w:val="000F6B0D"/>
    <w:rsid w:val="0010083E"/>
    <w:rsid w:val="00101CFE"/>
    <w:rsid w:val="001023DA"/>
    <w:rsid w:val="00104172"/>
    <w:rsid w:val="00106D33"/>
    <w:rsid w:val="001105F1"/>
    <w:rsid w:val="0011308A"/>
    <w:rsid w:val="00114EEF"/>
    <w:rsid w:val="001150C8"/>
    <w:rsid w:val="0011726D"/>
    <w:rsid w:val="001201E8"/>
    <w:rsid w:val="00123710"/>
    <w:rsid w:val="00130786"/>
    <w:rsid w:val="00133C66"/>
    <w:rsid w:val="001350FB"/>
    <w:rsid w:val="00137210"/>
    <w:rsid w:val="00137BC6"/>
    <w:rsid w:val="001411E5"/>
    <w:rsid w:val="00144BE2"/>
    <w:rsid w:val="00146BE4"/>
    <w:rsid w:val="00150E15"/>
    <w:rsid w:val="00152371"/>
    <w:rsid w:val="00152C15"/>
    <w:rsid w:val="001543BE"/>
    <w:rsid w:val="00156A05"/>
    <w:rsid w:val="001605D3"/>
    <w:rsid w:val="00160852"/>
    <w:rsid w:val="00161991"/>
    <w:rsid w:val="00165338"/>
    <w:rsid w:val="00167352"/>
    <w:rsid w:val="00170D2A"/>
    <w:rsid w:val="00170EDD"/>
    <w:rsid w:val="00171617"/>
    <w:rsid w:val="00173B59"/>
    <w:rsid w:val="0017401D"/>
    <w:rsid w:val="00176072"/>
    <w:rsid w:val="00176589"/>
    <w:rsid w:val="00177CE7"/>
    <w:rsid w:val="00182794"/>
    <w:rsid w:val="00184ACC"/>
    <w:rsid w:val="00185619"/>
    <w:rsid w:val="001872DA"/>
    <w:rsid w:val="0018740E"/>
    <w:rsid w:val="00191893"/>
    <w:rsid w:val="0019452A"/>
    <w:rsid w:val="0019698C"/>
    <w:rsid w:val="001A3743"/>
    <w:rsid w:val="001A516A"/>
    <w:rsid w:val="001B26C3"/>
    <w:rsid w:val="001B2D3C"/>
    <w:rsid w:val="001B5DB3"/>
    <w:rsid w:val="001B6433"/>
    <w:rsid w:val="001B6842"/>
    <w:rsid w:val="001C0230"/>
    <w:rsid w:val="001C08B1"/>
    <w:rsid w:val="001C0F7A"/>
    <w:rsid w:val="001C2107"/>
    <w:rsid w:val="001C2B05"/>
    <w:rsid w:val="001C314B"/>
    <w:rsid w:val="001C4B34"/>
    <w:rsid w:val="001D0CD4"/>
    <w:rsid w:val="001D1F97"/>
    <w:rsid w:val="001D2130"/>
    <w:rsid w:val="001D4064"/>
    <w:rsid w:val="001D5962"/>
    <w:rsid w:val="001D5C1C"/>
    <w:rsid w:val="001D7777"/>
    <w:rsid w:val="001E1577"/>
    <w:rsid w:val="001E1A7E"/>
    <w:rsid w:val="001E2067"/>
    <w:rsid w:val="001E4E24"/>
    <w:rsid w:val="001F182E"/>
    <w:rsid w:val="001F5AB5"/>
    <w:rsid w:val="001F6798"/>
    <w:rsid w:val="00200446"/>
    <w:rsid w:val="00200B05"/>
    <w:rsid w:val="00201610"/>
    <w:rsid w:val="0020341C"/>
    <w:rsid w:val="00205626"/>
    <w:rsid w:val="0020617C"/>
    <w:rsid w:val="0020787C"/>
    <w:rsid w:val="00211D3C"/>
    <w:rsid w:val="002120AB"/>
    <w:rsid w:val="00213D85"/>
    <w:rsid w:val="0022148C"/>
    <w:rsid w:val="0022220D"/>
    <w:rsid w:val="00223D32"/>
    <w:rsid w:val="0022480A"/>
    <w:rsid w:val="00224DE2"/>
    <w:rsid w:val="0022554F"/>
    <w:rsid w:val="00226527"/>
    <w:rsid w:val="0022753E"/>
    <w:rsid w:val="00227FB4"/>
    <w:rsid w:val="002312D2"/>
    <w:rsid w:val="002316F0"/>
    <w:rsid w:val="00233AF6"/>
    <w:rsid w:val="0023468B"/>
    <w:rsid w:val="002355FB"/>
    <w:rsid w:val="00237FF4"/>
    <w:rsid w:val="00245A18"/>
    <w:rsid w:val="0025045A"/>
    <w:rsid w:val="00252D4E"/>
    <w:rsid w:val="00252E09"/>
    <w:rsid w:val="00260F2F"/>
    <w:rsid w:val="002620AD"/>
    <w:rsid w:val="00262BE3"/>
    <w:rsid w:val="00265372"/>
    <w:rsid w:val="00270B51"/>
    <w:rsid w:val="0027292C"/>
    <w:rsid w:val="002744AE"/>
    <w:rsid w:val="0027590D"/>
    <w:rsid w:val="00275C46"/>
    <w:rsid w:val="002841D1"/>
    <w:rsid w:val="00286807"/>
    <w:rsid w:val="00286CE7"/>
    <w:rsid w:val="002913EF"/>
    <w:rsid w:val="002925DA"/>
    <w:rsid w:val="0029300C"/>
    <w:rsid w:val="00293201"/>
    <w:rsid w:val="00293208"/>
    <w:rsid w:val="00295736"/>
    <w:rsid w:val="002957C3"/>
    <w:rsid w:val="00296674"/>
    <w:rsid w:val="002A5110"/>
    <w:rsid w:val="002A5801"/>
    <w:rsid w:val="002A6300"/>
    <w:rsid w:val="002B09D0"/>
    <w:rsid w:val="002B165E"/>
    <w:rsid w:val="002B1BE4"/>
    <w:rsid w:val="002B2E4B"/>
    <w:rsid w:val="002B3644"/>
    <w:rsid w:val="002B4175"/>
    <w:rsid w:val="002B4606"/>
    <w:rsid w:val="002B47D8"/>
    <w:rsid w:val="002B4A63"/>
    <w:rsid w:val="002B633A"/>
    <w:rsid w:val="002C0248"/>
    <w:rsid w:val="002C31B0"/>
    <w:rsid w:val="002C341C"/>
    <w:rsid w:val="002C3841"/>
    <w:rsid w:val="002C3FC3"/>
    <w:rsid w:val="002C5D1D"/>
    <w:rsid w:val="002C64EC"/>
    <w:rsid w:val="002C6E8A"/>
    <w:rsid w:val="002D057D"/>
    <w:rsid w:val="002D2336"/>
    <w:rsid w:val="002D7422"/>
    <w:rsid w:val="002D79A1"/>
    <w:rsid w:val="002E0AE1"/>
    <w:rsid w:val="002E2A30"/>
    <w:rsid w:val="002E4A5E"/>
    <w:rsid w:val="002E5E6D"/>
    <w:rsid w:val="002E6847"/>
    <w:rsid w:val="002E6B65"/>
    <w:rsid w:val="002E6EA3"/>
    <w:rsid w:val="002E7150"/>
    <w:rsid w:val="002F02C4"/>
    <w:rsid w:val="002F3664"/>
    <w:rsid w:val="002F4231"/>
    <w:rsid w:val="002F4361"/>
    <w:rsid w:val="002F5097"/>
    <w:rsid w:val="002F61DB"/>
    <w:rsid w:val="002F62B0"/>
    <w:rsid w:val="002F6B68"/>
    <w:rsid w:val="00300271"/>
    <w:rsid w:val="00302D24"/>
    <w:rsid w:val="00305B08"/>
    <w:rsid w:val="00306B55"/>
    <w:rsid w:val="00310B95"/>
    <w:rsid w:val="00311089"/>
    <w:rsid w:val="00311553"/>
    <w:rsid w:val="00311D25"/>
    <w:rsid w:val="00312A54"/>
    <w:rsid w:val="00313582"/>
    <w:rsid w:val="00313C08"/>
    <w:rsid w:val="00314C4F"/>
    <w:rsid w:val="00316DDD"/>
    <w:rsid w:val="0031718B"/>
    <w:rsid w:val="00322C21"/>
    <w:rsid w:val="00327E4A"/>
    <w:rsid w:val="00331C0C"/>
    <w:rsid w:val="00332906"/>
    <w:rsid w:val="0033309C"/>
    <w:rsid w:val="00334092"/>
    <w:rsid w:val="00335A8D"/>
    <w:rsid w:val="00336ACD"/>
    <w:rsid w:val="00337190"/>
    <w:rsid w:val="0033779D"/>
    <w:rsid w:val="00337A82"/>
    <w:rsid w:val="00340045"/>
    <w:rsid w:val="003406E1"/>
    <w:rsid w:val="00342347"/>
    <w:rsid w:val="003429EB"/>
    <w:rsid w:val="003443F8"/>
    <w:rsid w:val="00344574"/>
    <w:rsid w:val="00344F56"/>
    <w:rsid w:val="00346AE1"/>
    <w:rsid w:val="00347958"/>
    <w:rsid w:val="003479C1"/>
    <w:rsid w:val="003507A1"/>
    <w:rsid w:val="00350EF1"/>
    <w:rsid w:val="00353D09"/>
    <w:rsid w:val="003555C2"/>
    <w:rsid w:val="003572EF"/>
    <w:rsid w:val="00360EEA"/>
    <w:rsid w:val="00361847"/>
    <w:rsid w:val="00370BB6"/>
    <w:rsid w:val="003712BB"/>
    <w:rsid w:val="00373215"/>
    <w:rsid w:val="0037578A"/>
    <w:rsid w:val="003801D0"/>
    <w:rsid w:val="003807C2"/>
    <w:rsid w:val="003812A4"/>
    <w:rsid w:val="003833E9"/>
    <w:rsid w:val="00383BD7"/>
    <w:rsid w:val="00384134"/>
    <w:rsid w:val="00387D19"/>
    <w:rsid w:val="003906B1"/>
    <w:rsid w:val="00395713"/>
    <w:rsid w:val="00397966"/>
    <w:rsid w:val="003A181E"/>
    <w:rsid w:val="003A6994"/>
    <w:rsid w:val="003B0E44"/>
    <w:rsid w:val="003B212F"/>
    <w:rsid w:val="003B26B4"/>
    <w:rsid w:val="003B361B"/>
    <w:rsid w:val="003B494F"/>
    <w:rsid w:val="003B58CA"/>
    <w:rsid w:val="003B64EB"/>
    <w:rsid w:val="003C00A7"/>
    <w:rsid w:val="003C28EB"/>
    <w:rsid w:val="003C327F"/>
    <w:rsid w:val="003C33A4"/>
    <w:rsid w:val="003C5BC8"/>
    <w:rsid w:val="003C68AE"/>
    <w:rsid w:val="003C73F9"/>
    <w:rsid w:val="003D07B8"/>
    <w:rsid w:val="003D31C6"/>
    <w:rsid w:val="003D4124"/>
    <w:rsid w:val="003D4271"/>
    <w:rsid w:val="003D648E"/>
    <w:rsid w:val="003D66F5"/>
    <w:rsid w:val="003D6DF3"/>
    <w:rsid w:val="003D70E8"/>
    <w:rsid w:val="003D73DC"/>
    <w:rsid w:val="003D79FF"/>
    <w:rsid w:val="003D7C2A"/>
    <w:rsid w:val="003E0F5E"/>
    <w:rsid w:val="003E1A20"/>
    <w:rsid w:val="003E1CBE"/>
    <w:rsid w:val="003E1E7B"/>
    <w:rsid w:val="003E418C"/>
    <w:rsid w:val="003E452A"/>
    <w:rsid w:val="003E48C6"/>
    <w:rsid w:val="003E4B53"/>
    <w:rsid w:val="003E65AD"/>
    <w:rsid w:val="003E6A01"/>
    <w:rsid w:val="003E74A1"/>
    <w:rsid w:val="003F0084"/>
    <w:rsid w:val="003F0D57"/>
    <w:rsid w:val="003F2E96"/>
    <w:rsid w:val="003F3DCE"/>
    <w:rsid w:val="003F60CD"/>
    <w:rsid w:val="00400110"/>
    <w:rsid w:val="00405D19"/>
    <w:rsid w:val="004064EC"/>
    <w:rsid w:val="004065CB"/>
    <w:rsid w:val="004103F2"/>
    <w:rsid w:val="0041084A"/>
    <w:rsid w:val="00411962"/>
    <w:rsid w:val="0041261A"/>
    <w:rsid w:val="00413015"/>
    <w:rsid w:val="00413DFA"/>
    <w:rsid w:val="00414537"/>
    <w:rsid w:val="00414694"/>
    <w:rsid w:val="00415C24"/>
    <w:rsid w:val="00421A36"/>
    <w:rsid w:val="004220FA"/>
    <w:rsid w:val="00422944"/>
    <w:rsid w:val="00422FA5"/>
    <w:rsid w:val="004235FD"/>
    <w:rsid w:val="004259DA"/>
    <w:rsid w:val="00425A9F"/>
    <w:rsid w:val="00426733"/>
    <w:rsid w:val="00427D24"/>
    <w:rsid w:val="00430B90"/>
    <w:rsid w:val="0043176B"/>
    <w:rsid w:val="00431C27"/>
    <w:rsid w:val="004349AD"/>
    <w:rsid w:val="00435145"/>
    <w:rsid w:val="004364FE"/>
    <w:rsid w:val="00436CF0"/>
    <w:rsid w:val="00436EBA"/>
    <w:rsid w:val="00441DDA"/>
    <w:rsid w:val="00443642"/>
    <w:rsid w:val="00445A5C"/>
    <w:rsid w:val="0044655D"/>
    <w:rsid w:val="004507E1"/>
    <w:rsid w:val="00451D23"/>
    <w:rsid w:val="00452826"/>
    <w:rsid w:val="00452CBC"/>
    <w:rsid w:val="00453927"/>
    <w:rsid w:val="00453C04"/>
    <w:rsid w:val="00453C21"/>
    <w:rsid w:val="00454A87"/>
    <w:rsid w:val="00454DA6"/>
    <w:rsid w:val="00456C3E"/>
    <w:rsid w:val="0045756D"/>
    <w:rsid w:val="004606C4"/>
    <w:rsid w:val="00461A38"/>
    <w:rsid w:val="00464143"/>
    <w:rsid w:val="004666BB"/>
    <w:rsid w:val="004669EB"/>
    <w:rsid w:val="0047185F"/>
    <w:rsid w:val="00472B33"/>
    <w:rsid w:val="00472CEC"/>
    <w:rsid w:val="00473392"/>
    <w:rsid w:val="0047360B"/>
    <w:rsid w:val="00474155"/>
    <w:rsid w:val="004753E2"/>
    <w:rsid w:val="00475CE7"/>
    <w:rsid w:val="00476236"/>
    <w:rsid w:val="00480609"/>
    <w:rsid w:val="00481C13"/>
    <w:rsid w:val="004822A8"/>
    <w:rsid w:val="00482E0E"/>
    <w:rsid w:val="00483E95"/>
    <w:rsid w:val="004855C9"/>
    <w:rsid w:val="004858AD"/>
    <w:rsid w:val="00485B57"/>
    <w:rsid w:val="00486A30"/>
    <w:rsid w:val="00486D84"/>
    <w:rsid w:val="00487561"/>
    <w:rsid w:val="00487643"/>
    <w:rsid w:val="0049341E"/>
    <w:rsid w:val="00496173"/>
    <w:rsid w:val="004967B2"/>
    <w:rsid w:val="00497032"/>
    <w:rsid w:val="00497C25"/>
    <w:rsid w:val="004A018E"/>
    <w:rsid w:val="004A0618"/>
    <w:rsid w:val="004A0E2F"/>
    <w:rsid w:val="004A0EA5"/>
    <w:rsid w:val="004A44F6"/>
    <w:rsid w:val="004A5FF1"/>
    <w:rsid w:val="004A6630"/>
    <w:rsid w:val="004A7741"/>
    <w:rsid w:val="004B334C"/>
    <w:rsid w:val="004B6959"/>
    <w:rsid w:val="004B69A1"/>
    <w:rsid w:val="004B772F"/>
    <w:rsid w:val="004C0674"/>
    <w:rsid w:val="004C2C95"/>
    <w:rsid w:val="004C39ED"/>
    <w:rsid w:val="004C4821"/>
    <w:rsid w:val="004C4E24"/>
    <w:rsid w:val="004C64FC"/>
    <w:rsid w:val="004D03A9"/>
    <w:rsid w:val="004D050B"/>
    <w:rsid w:val="004D0A77"/>
    <w:rsid w:val="004D0B9E"/>
    <w:rsid w:val="004D3335"/>
    <w:rsid w:val="004E05B2"/>
    <w:rsid w:val="004E3671"/>
    <w:rsid w:val="004E5CAD"/>
    <w:rsid w:val="004E5E58"/>
    <w:rsid w:val="004E6004"/>
    <w:rsid w:val="004E6F83"/>
    <w:rsid w:val="004E7092"/>
    <w:rsid w:val="004E7572"/>
    <w:rsid w:val="004E7F36"/>
    <w:rsid w:val="004F0206"/>
    <w:rsid w:val="004F03BB"/>
    <w:rsid w:val="004F2057"/>
    <w:rsid w:val="004F3C4E"/>
    <w:rsid w:val="004F49E1"/>
    <w:rsid w:val="004F5089"/>
    <w:rsid w:val="004F52C3"/>
    <w:rsid w:val="004F56FE"/>
    <w:rsid w:val="004F76CF"/>
    <w:rsid w:val="00502323"/>
    <w:rsid w:val="00502D18"/>
    <w:rsid w:val="00503AEA"/>
    <w:rsid w:val="00504C09"/>
    <w:rsid w:val="005051D3"/>
    <w:rsid w:val="00505794"/>
    <w:rsid w:val="00506C63"/>
    <w:rsid w:val="00506F52"/>
    <w:rsid w:val="00507D3C"/>
    <w:rsid w:val="00510598"/>
    <w:rsid w:val="0051084E"/>
    <w:rsid w:val="005129C2"/>
    <w:rsid w:val="0051325C"/>
    <w:rsid w:val="00515155"/>
    <w:rsid w:val="005154C0"/>
    <w:rsid w:val="00517E03"/>
    <w:rsid w:val="005216ED"/>
    <w:rsid w:val="005241B9"/>
    <w:rsid w:val="00525577"/>
    <w:rsid w:val="00526CBB"/>
    <w:rsid w:val="00527885"/>
    <w:rsid w:val="005304F3"/>
    <w:rsid w:val="00530DC7"/>
    <w:rsid w:val="005317B7"/>
    <w:rsid w:val="005320A3"/>
    <w:rsid w:val="00533330"/>
    <w:rsid w:val="00533F33"/>
    <w:rsid w:val="00534BAB"/>
    <w:rsid w:val="00534DA1"/>
    <w:rsid w:val="00536ACD"/>
    <w:rsid w:val="00543B8A"/>
    <w:rsid w:val="00544804"/>
    <w:rsid w:val="00544FBD"/>
    <w:rsid w:val="00545268"/>
    <w:rsid w:val="00546630"/>
    <w:rsid w:val="005470E2"/>
    <w:rsid w:val="00547499"/>
    <w:rsid w:val="0054796B"/>
    <w:rsid w:val="00547AE3"/>
    <w:rsid w:val="005510B5"/>
    <w:rsid w:val="005517F2"/>
    <w:rsid w:val="00551A8D"/>
    <w:rsid w:val="00551E7A"/>
    <w:rsid w:val="005522E7"/>
    <w:rsid w:val="00554545"/>
    <w:rsid w:val="00556AA0"/>
    <w:rsid w:val="00560ED8"/>
    <w:rsid w:val="005617D8"/>
    <w:rsid w:val="00561AC0"/>
    <w:rsid w:val="0056337B"/>
    <w:rsid w:val="0056448A"/>
    <w:rsid w:val="00565AB0"/>
    <w:rsid w:val="00565AFE"/>
    <w:rsid w:val="00565B06"/>
    <w:rsid w:val="00565E8F"/>
    <w:rsid w:val="005670A7"/>
    <w:rsid w:val="005675DD"/>
    <w:rsid w:val="0056782D"/>
    <w:rsid w:val="00581FBD"/>
    <w:rsid w:val="00583C5C"/>
    <w:rsid w:val="005854EE"/>
    <w:rsid w:val="0058614F"/>
    <w:rsid w:val="00587703"/>
    <w:rsid w:val="0059360E"/>
    <w:rsid w:val="005936D8"/>
    <w:rsid w:val="00593A6B"/>
    <w:rsid w:val="0059401F"/>
    <w:rsid w:val="005972A3"/>
    <w:rsid w:val="005A0874"/>
    <w:rsid w:val="005A1316"/>
    <w:rsid w:val="005A3F1F"/>
    <w:rsid w:val="005A43E5"/>
    <w:rsid w:val="005A5EB1"/>
    <w:rsid w:val="005A64C4"/>
    <w:rsid w:val="005A6EA5"/>
    <w:rsid w:val="005A7C41"/>
    <w:rsid w:val="005B1831"/>
    <w:rsid w:val="005B3F17"/>
    <w:rsid w:val="005B4576"/>
    <w:rsid w:val="005B5FBF"/>
    <w:rsid w:val="005C3276"/>
    <w:rsid w:val="005C4F88"/>
    <w:rsid w:val="005C5649"/>
    <w:rsid w:val="005C585B"/>
    <w:rsid w:val="005C5934"/>
    <w:rsid w:val="005D1E0A"/>
    <w:rsid w:val="005D4CF0"/>
    <w:rsid w:val="005D69F3"/>
    <w:rsid w:val="005D6D7E"/>
    <w:rsid w:val="005D7D42"/>
    <w:rsid w:val="005E1A54"/>
    <w:rsid w:val="005E2FE0"/>
    <w:rsid w:val="005E5ADB"/>
    <w:rsid w:val="005E67EE"/>
    <w:rsid w:val="005F47FA"/>
    <w:rsid w:val="005F4BA8"/>
    <w:rsid w:val="005F509F"/>
    <w:rsid w:val="005F565C"/>
    <w:rsid w:val="005F787B"/>
    <w:rsid w:val="005F796D"/>
    <w:rsid w:val="006010C0"/>
    <w:rsid w:val="0060261F"/>
    <w:rsid w:val="00602987"/>
    <w:rsid w:val="00603AC9"/>
    <w:rsid w:val="00604276"/>
    <w:rsid w:val="0060694A"/>
    <w:rsid w:val="0060766C"/>
    <w:rsid w:val="00607DEA"/>
    <w:rsid w:val="00610EFB"/>
    <w:rsid w:val="00611322"/>
    <w:rsid w:val="00611E7D"/>
    <w:rsid w:val="0061360B"/>
    <w:rsid w:val="006151BE"/>
    <w:rsid w:val="00617662"/>
    <w:rsid w:val="00620F12"/>
    <w:rsid w:val="00621CA1"/>
    <w:rsid w:val="006227F2"/>
    <w:rsid w:val="006251C4"/>
    <w:rsid w:val="00625AFB"/>
    <w:rsid w:val="00626FF0"/>
    <w:rsid w:val="00630A88"/>
    <w:rsid w:val="00630B1A"/>
    <w:rsid w:val="00633504"/>
    <w:rsid w:val="006341E3"/>
    <w:rsid w:val="00634C07"/>
    <w:rsid w:val="0063580F"/>
    <w:rsid w:val="00635A39"/>
    <w:rsid w:val="006361C7"/>
    <w:rsid w:val="00640FE3"/>
    <w:rsid w:val="00642ABF"/>
    <w:rsid w:val="006440B9"/>
    <w:rsid w:val="0064549E"/>
    <w:rsid w:val="006454E6"/>
    <w:rsid w:val="006522B8"/>
    <w:rsid w:val="00653034"/>
    <w:rsid w:val="00653B63"/>
    <w:rsid w:val="006547D7"/>
    <w:rsid w:val="00655EAF"/>
    <w:rsid w:val="00656F1B"/>
    <w:rsid w:val="006574C8"/>
    <w:rsid w:val="00660802"/>
    <w:rsid w:val="0066125A"/>
    <w:rsid w:val="00661DC8"/>
    <w:rsid w:val="00662BE8"/>
    <w:rsid w:val="00662E60"/>
    <w:rsid w:val="006644E2"/>
    <w:rsid w:val="006655F7"/>
    <w:rsid w:val="00671723"/>
    <w:rsid w:val="00674DBD"/>
    <w:rsid w:val="00675713"/>
    <w:rsid w:val="00675CC0"/>
    <w:rsid w:val="00676DD6"/>
    <w:rsid w:val="00680A9A"/>
    <w:rsid w:val="00681F25"/>
    <w:rsid w:val="006828AE"/>
    <w:rsid w:val="0068421C"/>
    <w:rsid w:val="00684FE5"/>
    <w:rsid w:val="006862E6"/>
    <w:rsid w:val="0068666C"/>
    <w:rsid w:val="00686F64"/>
    <w:rsid w:val="00687D7C"/>
    <w:rsid w:val="006920CD"/>
    <w:rsid w:val="006933BE"/>
    <w:rsid w:val="00693485"/>
    <w:rsid w:val="006954B4"/>
    <w:rsid w:val="006957EC"/>
    <w:rsid w:val="00695AF0"/>
    <w:rsid w:val="00696FFA"/>
    <w:rsid w:val="006A3C98"/>
    <w:rsid w:val="006B18B3"/>
    <w:rsid w:val="006B2D61"/>
    <w:rsid w:val="006B3981"/>
    <w:rsid w:val="006B3DF8"/>
    <w:rsid w:val="006B50F9"/>
    <w:rsid w:val="006B5532"/>
    <w:rsid w:val="006B7354"/>
    <w:rsid w:val="006C1AFD"/>
    <w:rsid w:val="006C5277"/>
    <w:rsid w:val="006C54CE"/>
    <w:rsid w:val="006C5F5F"/>
    <w:rsid w:val="006D0FBE"/>
    <w:rsid w:val="006D2949"/>
    <w:rsid w:val="006D29B1"/>
    <w:rsid w:val="006D4E8B"/>
    <w:rsid w:val="006D5FC8"/>
    <w:rsid w:val="006D6B2F"/>
    <w:rsid w:val="006D6FA2"/>
    <w:rsid w:val="006D7C02"/>
    <w:rsid w:val="006D7D3B"/>
    <w:rsid w:val="006D7D5F"/>
    <w:rsid w:val="006E039F"/>
    <w:rsid w:val="006E0B2B"/>
    <w:rsid w:val="006E1BC2"/>
    <w:rsid w:val="006E2EFB"/>
    <w:rsid w:val="006E3D4E"/>
    <w:rsid w:val="006E44CC"/>
    <w:rsid w:val="006E4899"/>
    <w:rsid w:val="006E7418"/>
    <w:rsid w:val="006F0069"/>
    <w:rsid w:val="006F03B1"/>
    <w:rsid w:val="006F0B1C"/>
    <w:rsid w:val="006F1139"/>
    <w:rsid w:val="006F14A2"/>
    <w:rsid w:val="006F2D1E"/>
    <w:rsid w:val="006F44EC"/>
    <w:rsid w:val="006F49B1"/>
    <w:rsid w:val="006F4ADD"/>
    <w:rsid w:val="006F6C81"/>
    <w:rsid w:val="0070510C"/>
    <w:rsid w:val="00705C6C"/>
    <w:rsid w:val="00706B51"/>
    <w:rsid w:val="00707B97"/>
    <w:rsid w:val="00707C02"/>
    <w:rsid w:val="007122EA"/>
    <w:rsid w:val="007139EF"/>
    <w:rsid w:val="00713F74"/>
    <w:rsid w:val="00714A49"/>
    <w:rsid w:val="00717360"/>
    <w:rsid w:val="00717463"/>
    <w:rsid w:val="0072185B"/>
    <w:rsid w:val="00722468"/>
    <w:rsid w:val="00722D05"/>
    <w:rsid w:val="007235B8"/>
    <w:rsid w:val="00723BEE"/>
    <w:rsid w:val="00725F2B"/>
    <w:rsid w:val="0073055D"/>
    <w:rsid w:val="007308A6"/>
    <w:rsid w:val="00732194"/>
    <w:rsid w:val="0073316C"/>
    <w:rsid w:val="00734178"/>
    <w:rsid w:val="00743F27"/>
    <w:rsid w:val="007450A6"/>
    <w:rsid w:val="00747240"/>
    <w:rsid w:val="00751684"/>
    <w:rsid w:val="0075215C"/>
    <w:rsid w:val="007527D4"/>
    <w:rsid w:val="00753366"/>
    <w:rsid w:val="00753CDF"/>
    <w:rsid w:val="00755A88"/>
    <w:rsid w:val="00761BFB"/>
    <w:rsid w:val="00762DAB"/>
    <w:rsid w:val="00763CFE"/>
    <w:rsid w:val="00763F48"/>
    <w:rsid w:val="007649E4"/>
    <w:rsid w:val="00767BDD"/>
    <w:rsid w:val="00770FF3"/>
    <w:rsid w:val="00772010"/>
    <w:rsid w:val="0077227F"/>
    <w:rsid w:val="00772522"/>
    <w:rsid w:val="00776D22"/>
    <w:rsid w:val="00777A47"/>
    <w:rsid w:val="00780BBA"/>
    <w:rsid w:val="007830DF"/>
    <w:rsid w:val="00784EE6"/>
    <w:rsid w:val="00786EA6"/>
    <w:rsid w:val="007874B3"/>
    <w:rsid w:val="00792439"/>
    <w:rsid w:val="0079354D"/>
    <w:rsid w:val="0079452E"/>
    <w:rsid w:val="007956E4"/>
    <w:rsid w:val="00797FD9"/>
    <w:rsid w:val="007A70D4"/>
    <w:rsid w:val="007A740D"/>
    <w:rsid w:val="007A7A52"/>
    <w:rsid w:val="007B1146"/>
    <w:rsid w:val="007B29E3"/>
    <w:rsid w:val="007B2FEE"/>
    <w:rsid w:val="007B6479"/>
    <w:rsid w:val="007B6803"/>
    <w:rsid w:val="007B7661"/>
    <w:rsid w:val="007B7FA2"/>
    <w:rsid w:val="007C035E"/>
    <w:rsid w:val="007C2E08"/>
    <w:rsid w:val="007C37D5"/>
    <w:rsid w:val="007C4795"/>
    <w:rsid w:val="007C7FAB"/>
    <w:rsid w:val="007D0D31"/>
    <w:rsid w:val="007D19D8"/>
    <w:rsid w:val="007D1BF0"/>
    <w:rsid w:val="007D3074"/>
    <w:rsid w:val="007D4802"/>
    <w:rsid w:val="007D4BA2"/>
    <w:rsid w:val="007D690D"/>
    <w:rsid w:val="007D77BD"/>
    <w:rsid w:val="007E033F"/>
    <w:rsid w:val="007E0AAC"/>
    <w:rsid w:val="007E1743"/>
    <w:rsid w:val="007E3499"/>
    <w:rsid w:val="007E53EF"/>
    <w:rsid w:val="007F22CA"/>
    <w:rsid w:val="007F2ED1"/>
    <w:rsid w:val="007F315D"/>
    <w:rsid w:val="007F3858"/>
    <w:rsid w:val="007F5463"/>
    <w:rsid w:val="007F6520"/>
    <w:rsid w:val="007F6C77"/>
    <w:rsid w:val="007F7581"/>
    <w:rsid w:val="00800E58"/>
    <w:rsid w:val="00801F85"/>
    <w:rsid w:val="00801FD7"/>
    <w:rsid w:val="00803142"/>
    <w:rsid w:val="00806DB6"/>
    <w:rsid w:val="00806DCD"/>
    <w:rsid w:val="00807BC6"/>
    <w:rsid w:val="00807C8B"/>
    <w:rsid w:val="00807F2C"/>
    <w:rsid w:val="00810041"/>
    <w:rsid w:val="008101E3"/>
    <w:rsid w:val="008102D4"/>
    <w:rsid w:val="008112BF"/>
    <w:rsid w:val="00813A53"/>
    <w:rsid w:val="00813E02"/>
    <w:rsid w:val="00815157"/>
    <w:rsid w:val="0081586A"/>
    <w:rsid w:val="00817F52"/>
    <w:rsid w:val="008214F7"/>
    <w:rsid w:val="00823747"/>
    <w:rsid w:val="00825664"/>
    <w:rsid w:val="00825E47"/>
    <w:rsid w:val="00827B45"/>
    <w:rsid w:val="00827CC6"/>
    <w:rsid w:val="00832173"/>
    <w:rsid w:val="0083230C"/>
    <w:rsid w:val="00834E23"/>
    <w:rsid w:val="00835D65"/>
    <w:rsid w:val="00844041"/>
    <w:rsid w:val="00853087"/>
    <w:rsid w:val="00853101"/>
    <w:rsid w:val="00853F18"/>
    <w:rsid w:val="00854D70"/>
    <w:rsid w:val="008636C4"/>
    <w:rsid w:val="00863E12"/>
    <w:rsid w:val="00867123"/>
    <w:rsid w:val="00867887"/>
    <w:rsid w:val="00870CDA"/>
    <w:rsid w:val="00872D1C"/>
    <w:rsid w:val="008752FA"/>
    <w:rsid w:val="00876B93"/>
    <w:rsid w:val="00877660"/>
    <w:rsid w:val="00881886"/>
    <w:rsid w:val="0088531B"/>
    <w:rsid w:val="00885A50"/>
    <w:rsid w:val="008861B9"/>
    <w:rsid w:val="0088779F"/>
    <w:rsid w:val="0089035C"/>
    <w:rsid w:val="008917BF"/>
    <w:rsid w:val="00891B74"/>
    <w:rsid w:val="0089338F"/>
    <w:rsid w:val="00894ED8"/>
    <w:rsid w:val="00896160"/>
    <w:rsid w:val="00896914"/>
    <w:rsid w:val="008A1522"/>
    <w:rsid w:val="008A3668"/>
    <w:rsid w:val="008A535B"/>
    <w:rsid w:val="008A7729"/>
    <w:rsid w:val="008B00FF"/>
    <w:rsid w:val="008B060A"/>
    <w:rsid w:val="008B21CE"/>
    <w:rsid w:val="008B5855"/>
    <w:rsid w:val="008B7E4E"/>
    <w:rsid w:val="008C247F"/>
    <w:rsid w:val="008C268E"/>
    <w:rsid w:val="008C339D"/>
    <w:rsid w:val="008C3421"/>
    <w:rsid w:val="008C5865"/>
    <w:rsid w:val="008C5FC0"/>
    <w:rsid w:val="008C6789"/>
    <w:rsid w:val="008C74B6"/>
    <w:rsid w:val="008C7CB1"/>
    <w:rsid w:val="008D00D0"/>
    <w:rsid w:val="008D3249"/>
    <w:rsid w:val="008D43A2"/>
    <w:rsid w:val="008D474A"/>
    <w:rsid w:val="008D7A55"/>
    <w:rsid w:val="008E03F1"/>
    <w:rsid w:val="008E1977"/>
    <w:rsid w:val="008F272A"/>
    <w:rsid w:val="008F2969"/>
    <w:rsid w:val="008F380F"/>
    <w:rsid w:val="008F471F"/>
    <w:rsid w:val="008F5831"/>
    <w:rsid w:val="008F79EA"/>
    <w:rsid w:val="009025DF"/>
    <w:rsid w:val="00902E43"/>
    <w:rsid w:val="00904BFD"/>
    <w:rsid w:val="00906816"/>
    <w:rsid w:val="00907102"/>
    <w:rsid w:val="009073AF"/>
    <w:rsid w:val="00910434"/>
    <w:rsid w:val="00911764"/>
    <w:rsid w:val="00911FFF"/>
    <w:rsid w:val="00912091"/>
    <w:rsid w:val="00912F83"/>
    <w:rsid w:val="00914077"/>
    <w:rsid w:val="0091506F"/>
    <w:rsid w:val="009163ED"/>
    <w:rsid w:val="00916EB5"/>
    <w:rsid w:val="00922008"/>
    <w:rsid w:val="00923C48"/>
    <w:rsid w:val="00923EBC"/>
    <w:rsid w:val="009247E1"/>
    <w:rsid w:val="009323DF"/>
    <w:rsid w:val="0093585C"/>
    <w:rsid w:val="00935F58"/>
    <w:rsid w:val="00947252"/>
    <w:rsid w:val="00954A24"/>
    <w:rsid w:val="00957264"/>
    <w:rsid w:val="009574FD"/>
    <w:rsid w:val="0095790F"/>
    <w:rsid w:val="009634DD"/>
    <w:rsid w:val="0096442C"/>
    <w:rsid w:val="00970D93"/>
    <w:rsid w:val="009712F9"/>
    <w:rsid w:val="00971A6F"/>
    <w:rsid w:val="00972D28"/>
    <w:rsid w:val="00974AF2"/>
    <w:rsid w:val="00976255"/>
    <w:rsid w:val="00980845"/>
    <w:rsid w:val="00980A8F"/>
    <w:rsid w:val="00980D67"/>
    <w:rsid w:val="00980E96"/>
    <w:rsid w:val="0098785A"/>
    <w:rsid w:val="00991856"/>
    <w:rsid w:val="00991F58"/>
    <w:rsid w:val="00992B1D"/>
    <w:rsid w:val="009A11F8"/>
    <w:rsid w:val="009A2AAB"/>
    <w:rsid w:val="009A38D4"/>
    <w:rsid w:val="009B0B0B"/>
    <w:rsid w:val="009B1461"/>
    <w:rsid w:val="009B29A0"/>
    <w:rsid w:val="009B5348"/>
    <w:rsid w:val="009C4B0D"/>
    <w:rsid w:val="009C65FB"/>
    <w:rsid w:val="009C790A"/>
    <w:rsid w:val="009C7F70"/>
    <w:rsid w:val="009D48D4"/>
    <w:rsid w:val="009D5E7A"/>
    <w:rsid w:val="009D60D2"/>
    <w:rsid w:val="009D7762"/>
    <w:rsid w:val="009E0E30"/>
    <w:rsid w:val="009E2374"/>
    <w:rsid w:val="009E2C8E"/>
    <w:rsid w:val="009E6055"/>
    <w:rsid w:val="009E6C86"/>
    <w:rsid w:val="009F4CEA"/>
    <w:rsid w:val="009F5578"/>
    <w:rsid w:val="009F7946"/>
    <w:rsid w:val="00A001B9"/>
    <w:rsid w:val="00A01677"/>
    <w:rsid w:val="00A0606F"/>
    <w:rsid w:val="00A078C2"/>
    <w:rsid w:val="00A10EF1"/>
    <w:rsid w:val="00A13F93"/>
    <w:rsid w:val="00A14228"/>
    <w:rsid w:val="00A15018"/>
    <w:rsid w:val="00A169C1"/>
    <w:rsid w:val="00A16F23"/>
    <w:rsid w:val="00A17037"/>
    <w:rsid w:val="00A2064E"/>
    <w:rsid w:val="00A209C9"/>
    <w:rsid w:val="00A20B06"/>
    <w:rsid w:val="00A21D04"/>
    <w:rsid w:val="00A22E27"/>
    <w:rsid w:val="00A24069"/>
    <w:rsid w:val="00A242F4"/>
    <w:rsid w:val="00A244A0"/>
    <w:rsid w:val="00A2511C"/>
    <w:rsid w:val="00A2525E"/>
    <w:rsid w:val="00A25651"/>
    <w:rsid w:val="00A313F0"/>
    <w:rsid w:val="00A32910"/>
    <w:rsid w:val="00A378D9"/>
    <w:rsid w:val="00A3799A"/>
    <w:rsid w:val="00A4487D"/>
    <w:rsid w:val="00A47194"/>
    <w:rsid w:val="00A47847"/>
    <w:rsid w:val="00A47EA8"/>
    <w:rsid w:val="00A51301"/>
    <w:rsid w:val="00A5256F"/>
    <w:rsid w:val="00A5299A"/>
    <w:rsid w:val="00A52A3C"/>
    <w:rsid w:val="00A52E9B"/>
    <w:rsid w:val="00A5356E"/>
    <w:rsid w:val="00A5721D"/>
    <w:rsid w:val="00A6353E"/>
    <w:rsid w:val="00A64E7B"/>
    <w:rsid w:val="00A670A1"/>
    <w:rsid w:val="00A67B87"/>
    <w:rsid w:val="00A70086"/>
    <w:rsid w:val="00A727AD"/>
    <w:rsid w:val="00A74098"/>
    <w:rsid w:val="00A74418"/>
    <w:rsid w:val="00A7469C"/>
    <w:rsid w:val="00A74EB9"/>
    <w:rsid w:val="00A763C3"/>
    <w:rsid w:val="00A821EE"/>
    <w:rsid w:val="00A83DCA"/>
    <w:rsid w:val="00A8569C"/>
    <w:rsid w:val="00A86DA8"/>
    <w:rsid w:val="00A909CE"/>
    <w:rsid w:val="00A90B68"/>
    <w:rsid w:val="00A91AAC"/>
    <w:rsid w:val="00A937F1"/>
    <w:rsid w:val="00A94F71"/>
    <w:rsid w:val="00A9556F"/>
    <w:rsid w:val="00A970DE"/>
    <w:rsid w:val="00AA0EBA"/>
    <w:rsid w:val="00AA1EBA"/>
    <w:rsid w:val="00AA36D4"/>
    <w:rsid w:val="00AA3EE9"/>
    <w:rsid w:val="00AA490A"/>
    <w:rsid w:val="00AA5B58"/>
    <w:rsid w:val="00AA6528"/>
    <w:rsid w:val="00AB1A77"/>
    <w:rsid w:val="00AB1AC2"/>
    <w:rsid w:val="00AB3351"/>
    <w:rsid w:val="00AB47FB"/>
    <w:rsid w:val="00AB75B3"/>
    <w:rsid w:val="00AC0210"/>
    <w:rsid w:val="00AC110E"/>
    <w:rsid w:val="00AC16FD"/>
    <w:rsid w:val="00AC2745"/>
    <w:rsid w:val="00AC65DE"/>
    <w:rsid w:val="00AC785F"/>
    <w:rsid w:val="00AD0174"/>
    <w:rsid w:val="00AD047C"/>
    <w:rsid w:val="00AD0E7B"/>
    <w:rsid w:val="00AD1639"/>
    <w:rsid w:val="00AD5629"/>
    <w:rsid w:val="00AE024F"/>
    <w:rsid w:val="00AE1EC2"/>
    <w:rsid w:val="00AE6180"/>
    <w:rsid w:val="00AE7599"/>
    <w:rsid w:val="00AF1233"/>
    <w:rsid w:val="00B00573"/>
    <w:rsid w:val="00B022C9"/>
    <w:rsid w:val="00B0347D"/>
    <w:rsid w:val="00B07122"/>
    <w:rsid w:val="00B07780"/>
    <w:rsid w:val="00B1023D"/>
    <w:rsid w:val="00B11116"/>
    <w:rsid w:val="00B11797"/>
    <w:rsid w:val="00B2006A"/>
    <w:rsid w:val="00B21123"/>
    <w:rsid w:val="00B21875"/>
    <w:rsid w:val="00B2198D"/>
    <w:rsid w:val="00B23475"/>
    <w:rsid w:val="00B23836"/>
    <w:rsid w:val="00B24C85"/>
    <w:rsid w:val="00B24D21"/>
    <w:rsid w:val="00B25D1B"/>
    <w:rsid w:val="00B26ED6"/>
    <w:rsid w:val="00B271E2"/>
    <w:rsid w:val="00B2731E"/>
    <w:rsid w:val="00B30E76"/>
    <w:rsid w:val="00B31DC0"/>
    <w:rsid w:val="00B33D5E"/>
    <w:rsid w:val="00B341FE"/>
    <w:rsid w:val="00B35861"/>
    <w:rsid w:val="00B36CD0"/>
    <w:rsid w:val="00B37B85"/>
    <w:rsid w:val="00B41E5E"/>
    <w:rsid w:val="00B43163"/>
    <w:rsid w:val="00B4559A"/>
    <w:rsid w:val="00B460DD"/>
    <w:rsid w:val="00B53FB1"/>
    <w:rsid w:val="00B55C16"/>
    <w:rsid w:val="00B5741F"/>
    <w:rsid w:val="00B576D6"/>
    <w:rsid w:val="00B613D2"/>
    <w:rsid w:val="00B623CC"/>
    <w:rsid w:val="00B638C8"/>
    <w:rsid w:val="00B66B4C"/>
    <w:rsid w:val="00B67938"/>
    <w:rsid w:val="00B70973"/>
    <w:rsid w:val="00B73187"/>
    <w:rsid w:val="00B734CF"/>
    <w:rsid w:val="00B7384C"/>
    <w:rsid w:val="00B76595"/>
    <w:rsid w:val="00B77050"/>
    <w:rsid w:val="00B77D17"/>
    <w:rsid w:val="00B77F70"/>
    <w:rsid w:val="00B80504"/>
    <w:rsid w:val="00B82FCF"/>
    <w:rsid w:val="00B85FEF"/>
    <w:rsid w:val="00B87082"/>
    <w:rsid w:val="00B947DB"/>
    <w:rsid w:val="00BA04C4"/>
    <w:rsid w:val="00BA12CD"/>
    <w:rsid w:val="00BA1D15"/>
    <w:rsid w:val="00BA1F6B"/>
    <w:rsid w:val="00BA35E5"/>
    <w:rsid w:val="00BA3C06"/>
    <w:rsid w:val="00BA3CFC"/>
    <w:rsid w:val="00BA3DEB"/>
    <w:rsid w:val="00BA4037"/>
    <w:rsid w:val="00BA4758"/>
    <w:rsid w:val="00BA4D5B"/>
    <w:rsid w:val="00BA5D97"/>
    <w:rsid w:val="00BA62C8"/>
    <w:rsid w:val="00BA64AF"/>
    <w:rsid w:val="00BB2CBF"/>
    <w:rsid w:val="00BB2F1F"/>
    <w:rsid w:val="00BB3287"/>
    <w:rsid w:val="00BB3EB7"/>
    <w:rsid w:val="00BB44E5"/>
    <w:rsid w:val="00BB50A6"/>
    <w:rsid w:val="00BB61AA"/>
    <w:rsid w:val="00BB72D1"/>
    <w:rsid w:val="00BC1682"/>
    <w:rsid w:val="00BC1ABE"/>
    <w:rsid w:val="00BC1D8C"/>
    <w:rsid w:val="00BC2409"/>
    <w:rsid w:val="00BC31C5"/>
    <w:rsid w:val="00BD2396"/>
    <w:rsid w:val="00BD281D"/>
    <w:rsid w:val="00BD5C48"/>
    <w:rsid w:val="00BD6E85"/>
    <w:rsid w:val="00BD7B6F"/>
    <w:rsid w:val="00BE01FC"/>
    <w:rsid w:val="00BE0C1A"/>
    <w:rsid w:val="00BE19EA"/>
    <w:rsid w:val="00BE57A8"/>
    <w:rsid w:val="00BE57EE"/>
    <w:rsid w:val="00BE69D4"/>
    <w:rsid w:val="00BE7104"/>
    <w:rsid w:val="00BF0EC2"/>
    <w:rsid w:val="00BF2F0F"/>
    <w:rsid w:val="00BF3026"/>
    <w:rsid w:val="00BF333F"/>
    <w:rsid w:val="00BF4281"/>
    <w:rsid w:val="00BF6216"/>
    <w:rsid w:val="00C00066"/>
    <w:rsid w:val="00C03364"/>
    <w:rsid w:val="00C1119A"/>
    <w:rsid w:val="00C11505"/>
    <w:rsid w:val="00C11A14"/>
    <w:rsid w:val="00C12721"/>
    <w:rsid w:val="00C138AE"/>
    <w:rsid w:val="00C15363"/>
    <w:rsid w:val="00C169CE"/>
    <w:rsid w:val="00C17EAA"/>
    <w:rsid w:val="00C21444"/>
    <w:rsid w:val="00C25991"/>
    <w:rsid w:val="00C2611C"/>
    <w:rsid w:val="00C30826"/>
    <w:rsid w:val="00C3197D"/>
    <w:rsid w:val="00C33559"/>
    <w:rsid w:val="00C3529B"/>
    <w:rsid w:val="00C41777"/>
    <w:rsid w:val="00C4378C"/>
    <w:rsid w:val="00C43A08"/>
    <w:rsid w:val="00C44726"/>
    <w:rsid w:val="00C449BD"/>
    <w:rsid w:val="00C454CD"/>
    <w:rsid w:val="00C466B1"/>
    <w:rsid w:val="00C511D1"/>
    <w:rsid w:val="00C51D8F"/>
    <w:rsid w:val="00C52EB0"/>
    <w:rsid w:val="00C54689"/>
    <w:rsid w:val="00C55393"/>
    <w:rsid w:val="00C56CE0"/>
    <w:rsid w:val="00C57991"/>
    <w:rsid w:val="00C60302"/>
    <w:rsid w:val="00C61D1D"/>
    <w:rsid w:val="00C62B93"/>
    <w:rsid w:val="00C62DD9"/>
    <w:rsid w:val="00C65576"/>
    <w:rsid w:val="00C66315"/>
    <w:rsid w:val="00C703EE"/>
    <w:rsid w:val="00C711FD"/>
    <w:rsid w:val="00C71FD7"/>
    <w:rsid w:val="00C72024"/>
    <w:rsid w:val="00C7327E"/>
    <w:rsid w:val="00C73723"/>
    <w:rsid w:val="00C7565A"/>
    <w:rsid w:val="00C75826"/>
    <w:rsid w:val="00C76F15"/>
    <w:rsid w:val="00C7708F"/>
    <w:rsid w:val="00C77B9F"/>
    <w:rsid w:val="00C81C9F"/>
    <w:rsid w:val="00C82729"/>
    <w:rsid w:val="00C8468B"/>
    <w:rsid w:val="00C85007"/>
    <w:rsid w:val="00C86FEC"/>
    <w:rsid w:val="00C92361"/>
    <w:rsid w:val="00C93AFD"/>
    <w:rsid w:val="00C95728"/>
    <w:rsid w:val="00CA09A3"/>
    <w:rsid w:val="00CA10BD"/>
    <w:rsid w:val="00CA3897"/>
    <w:rsid w:val="00CA394C"/>
    <w:rsid w:val="00CA3CDE"/>
    <w:rsid w:val="00CA5DB2"/>
    <w:rsid w:val="00CA77B0"/>
    <w:rsid w:val="00CB158B"/>
    <w:rsid w:val="00CB35C5"/>
    <w:rsid w:val="00CB46FF"/>
    <w:rsid w:val="00CB5381"/>
    <w:rsid w:val="00CB54D7"/>
    <w:rsid w:val="00CB6C63"/>
    <w:rsid w:val="00CB6F9B"/>
    <w:rsid w:val="00CC0BBB"/>
    <w:rsid w:val="00CC1682"/>
    <w:rsid w:val="00CC2FD0"/>
    <w:rsid w:val="00CC3A4C"/>
    <w:rsid w:val="00CC5C59"/>
    <w:rsid w:val="00CC74BF"/>
    <w:rsid w:val="00CC7560"/>
    <w:rsid w:val="00CC77D7"/>
    <w:rsid w:val="00CD1781"/>
    <w:rsid w:val="00CD17EF"/>
    <w:rsid w:val="00CD35DB"/>
    <w:rsid w:val="00CD475A"/>
    <w:rsid w:val="00CD4844"/>
    <w:rsid w:val="00CD51F4"/>
    <w:rsid w:val="00CD636F"/>
    <w:rsid w:val="00CD64BE"/>
    <w:rsid w:val="00CD6F88"/>
    <w:rsid w:val="00CD73A2"/>
    <w:rsid w:val="00CE059D"/>
    <w:rsid w:val="00CE1AD7"/>
    <w:rsid w:val="00CE1C3F"/>
    <w:rsid w:val="00CE2813"/>
    <w:rsid w:val="00CE50A7"/>
    <w:rsid w:val="00CE5BD4"/>
    <w:rsid w:val="00CE71E6"/>
    <w:rsid w:val="00CF1F2E"/>
    <w:rsid w:val="00CF3394"/>
    <w:rsid w:val="00CF65EA"/>
    <w:rsid w:val="00CF6F5A"/>
    <w:rsid w:val="00CF70C2"/>
    <w:rsid w:val="00D00924"/>
    <w:rsid w:val="00D01EC8"/>
    <w:rsid w:val="00D01FB3"/>
    <w:rsid w:val="00D020DE"/>
    <w:rsid w:val="00D0363D"/>
    <w:rsid w:val="00D0381E"/>
    <w:rsid w:val="00D03C1C"/>
    <w:rsid w:val="00D04613"/>
    <w:rsid w:val="00D06E24"/>
    <w:rsid w:val="00D07377"/>
    <w:rsid w:val="00D103E2"/>
    <w:rsid w:val="00D12643"/>
    <w:rsid w:val="00D1387C"/>
    <w:rsid w:val="00D1411B"/>
    <w:rsid w:val="00D15C83"/>
    <w:rsid w:val="00D166EC"/>
    <w:rsid w:val="00D1759B"/>
    <w:rsid w:val="00D20468"/>
    <w:rsid w:val="00D208E1"/>
    <w:rsid w:val="00D234F5"/>
    <w:rsid w:val="00D25091"/>
    <w:rsid w:val="00D25C09"/>
    <w:rsid w:val="00D26531"/>
    <w:rsid w:val="00D26C21"/>
    <w:rsid w:val="00D3079B"/>
    <w:rsid w:val="00D307A0"/>
    <w:rsid w:val="00D36069"/>
    <w:rsid w:val="00D428EA"/>
    <w:rsid w:val="00D452C0"/>
    <w:rsid w:val="00D46947"/>
    <w:rsid w:val="00D501A6"/>
    <w:rsid w:val="00D52EE2"/>
    <w:rsid w:val="00D545FA"/>
    <w:rsid w:val="00D605B7"/>
    <w:rsid w:val="00D60CA4"/>
    <w:rsid w:val="00D62C74"/>
    <w:rsid w:val="00D63AC0"/>
    <w:rsid w:val="00D6440E"/>
    <w:rsid w:val="00D65355"/>
    <w:rsid w:val="00D67932"/>
    <w:rsid w:val="00D70A91"/>
    <w:rsid w:val="00D70DB1"/>
    <w:rsid w:val="00D7164A"/>
    <w:rsid w:val="00D72E47"/>
    <w:rsid w:val="00D74DFF"/>
    <w:rsid w:val="00D764E6"/>
    <w:rsid w:val="00D8013E"/>
    <w:rsid w:val="00D82731"/>
    <w:rsid w:val="00D84734"/>
    <w:rsid w:val="00D85119"/>
    <w:rsid w:val="00D86320"/>
    <w:rsid w:val="00D868CB"/>
    <w:rsid w:val="00D8758A"/>
    <w:rsid w:val="00D90A2C"/>
    <w:rsid w:val="00D911CA"/>
    <w:rsid w:val="00D92529"/>
    <w:rsid w:val="00D93365"/>
    <w:rsid w:val="00D93EDD"/>
    <w:rsid w:val="00D95E74"/>
    <w:rsid w:val="00DA525C"/>
    <w:rsid w:val="00DA617A"/>
    <w:rsid w:val="00DA6297"/>
    <w:rsid w:val="00DA7FBC"/>
    <w:rsid w:val="00DB3A4C"/>
    <w:rsid w:val="00DB420B"/>
    <w:rsid w:val="00DB5C38"/>
    <w:rsid w:val="00DB5E1F"/>
    <w:rsid w:val="00DB6B39"/>
    <w:rsid w:val="00DC06BE"/>
    <w:rsid w:val="00DC086E"/>
    <w:rsid w:val="00DC1DE1"/>
    <w:rsid w:val="00DC3536"/>
    <w:rsid w:val="00DC469B"/>
    <w:rsid w:val="00DC4761"/>
    <w:rsid w:val="00DC5BF0"/>
    <w:rsid w:val="00DC6FF4"/>
    <w:rsid w:val="00DD3C22"/>
    <w:rsid w:val="00DD6A3D"/>
    <w:rsid w:val="00DE1427"/>
    <w:rsid w:val="00DE2291"/>
    <w:rsid w:val="00DF02D8"/>
    <w:rsid w:val="00DF1068"/>
    <w:rsid w:val="00DF1ADB"/>
    <w:rsid w:val="00DF4174"/>
    <w:rsid w:val="00DF592E"/>
    <w:rsid w:val="00DF618C"/>
    <w:rsid w:val="00E0118A"/>
    <w:rsid w:val="00E028C4"/>
    <w:rsid w:val="00E05092"/>
    <w:rsid w:val="00E0514A"/>
    <w:rsid w:val="00E0556B"/>
    <w:rsid w:val="00E068D1"/>
    <w:rsid w:val="00E07160"/>
    <w:rsid w:val="00E07665"/>
    <w:rsid w:val="00E10475"/>
    <w:rsid w:val="00E10E78"/>
    <w:rsid w:val="00E11ECA"/>
    <w:rsid w:val="00E12502"/>
    <w:rsid w:val="00E13D09"/>
    <w:rsid w:val="00E1424E"/>
    <w:rsid w:val="00E201BD"/>
    <w:rsid w:val="00E22CBF"/>
    <w:rsid w:val="00E235F6"/>
    <w:rsid w:val="00E237B4"/>
    <w:rsid w:val="00E24422"/>
    <w:rsid w:val="00E24ED5"/>
    <w:rsid w:val="00E25795"/>
    <w:rsid w:val="00E271AD"/>
    <w:rsid w:val="00E2726C"/>
    <w:rsid w:val="00E27282"/>
    <w:rsid w:val="00E2742A"/>
    <w:rsid w:val="00E30A9F"/>
    <w:rsid w:val="00E32FE5"/>
    <w:rsid w:val="00E34510"/>
    <w:rsid w:val="00E37D4E"/>
    <w:rsid w:val="00E37EED"/>
    <w:rsid w:val="00E422DF"/>
    <w:rsid w:val="00E42701"/>
    <w:rsid w:val="00E43F47"/>
    <w:rsid w:val="00E441A6"/>
    <w:rsid w:val="00E44A79"/>
    <w:rsid w:val="00E460A0"/>
    <w:rsid w:val="00E46105"/>
    <w:rsid w:val="00E47004"/>
    <w:rsid w:val="00E51FA1"/>
    <w:rsid w:val="00E530D7"/>
    <w:rsid w:val="00E54EF2"/>
    <w:rsid w:val="00E5513D"/>
    <w:rsid w:val="00E5569B"/>
    <w:rsid w:val="00E562FF"/>
    <w:rsid w:val="00E5666C"/>
    <w:rsid w:val="00E6191B"/>
    <w:rsid w:val="00E63C4B"/>
    <w:rsid w:val="00E64B3D"/>
    <w:rsid w:val="00E66C70"/>
    <w:rsid w:val="00E6774D"/>
    <w:rsid w:val="00E67985"/>
    <w:rsid w:val="00E70D21"/>
    <w:rsid w:val="00E72B3E"/>
    <w:rsid w:val="00E72E91"/>
    <w:rsid w:val="00E7329C"/>
    <w:rsid w:val="00E821D4"/>
    <w:rsid w:val="00E821E4"/>
    <w:rsid w:val="00E82EB0"/>
    <w:rsid w:val="00E85C68"/>
    <w:rsid w:val="00E86D2F"/>
    <w:rsid w:val="00E8732D"/>
    <w:rsid w:val="00E876CA"/>
    <w:rsid w:val="00E9216F"/>
    <w:rsid w:val="00EA559F"/>
    <w:rsid w:val="00EA64B5"/>
    <w:rsid w:val="00EC07A0"/>
    <w:rsid w:val="00EC0B02"/>
    <w:rsid w:val="00EC1AA8"/>
    <w:rsid w:val="00EC1D34"/>
    <w:rsid w:val="00EC1D9D"/>
    <w:rsid w:val="00EC1F32"/>
    <w:rsid w:val="00EC415D"/>
    <w:rsid w:val="00EC48F5"/>
    <w:rsid w:val="00EC5CE5"/>
    <w:rsid w:val="00ED0728"/>
    <w:rsid w:val="00ED0C3C"/>
    <w:rsid w:val="00ED11FF"/>
    <w:rsid w:val="00ED19FB"/>
    <w:rsid w:val="00ED262D"/>
    <w:rsid w:val="00ED2F05"/>
    <w:rsid w:val="00ED4B1A"/>
    <w:rsid w:val="00EE081F"/>
    <w:rsid w:val="00EE0FE4"/>
    <w:rsid w:val="00EE7C0F"/>
    <w:rsid w:val="00EF083A"/>
    <w:rsid w:val="00EF1106"/>
    <w:rsid w:val="00EF3BF2"/>
    <w:rsid w:val="00EF4D61"/>
    <w:rsid w:val="00EF7F71"/>
    <w:rsid w:val="00F01771"/>
    <w:rsid w:val="00F02E47"/>
    <w:rsid w:val="00F06666"/>
    <w:rsid w:val="00F077F8"/>
    <w:rsid w:val="00F1030D"/>
    <w:rsid w:val="00F11510"/>
    <w:rsid w:val="00F135FE"/>
    <w:rsid w:val="00F153C8"/>
    <w:rsid w:val="00F16C56"/>
    <w:rsid w:val="00F2050B"/>
    <w:rsid w:val="00F22147"/>
    <w:rsid w:val="00F222FA"/>
    <w:rsid w:val="00F24476"/>
    <w:rsid w:val="00F25783"/>
    <w:rsid w:val="00F2784D"/>
    <w:rsid w:val="00F32AE6"/>
    <w:rsid w:val="00F33665"/>
    <w:rsid w:val="00F3402C"/>
    <w:rsid w:val="00F34FA6"/>
    <w:rsid w:val="00F35115"/>
    <w:rsid w:val="00F37D2C"/>
    <w:rsid w:val="00F406F2"/>
    <w:rsid w:val="00F41ED2"/>
    <w:rsid w:val="00F420BB"/>
    <w:rsid w:val="00F434A1"/>
    <w:rsid w:val="00F44CF8"/>
    <w:rsid w:val="00F46685"/>
    <w:rsid w:val="00F47232"/>
    <w:rsid w:val="00F53A56"/>
    <w:rsid w:val="00F55BB6"/>
    <w:rsid w:val="00F56A80"/>
    <w:rsid w:val="00F57CDD"/>
    <w:rsid w:val="00F60465"/>
    <w:rsid w:val="00F61D78"/>
    <w:rsid w:val="00F61FF4"/>
    <w:rsid w:val="00F62ED7"/>
    <w:rsid w:val="00F6457D"/>
    <w:rsid w:val="00F6638C"/>
    <w:rsid w:val="00F66943"/>
    <w:rsid w:val="00F67C7C"/>
    <w:rsid w:val="00F7068C"/>
    <w:rsid w:val="00F7097B"/>
    <w:rsid w:val="00F70F90"/>
    <w:rsid w:val="00F74CA2"/>
    <w:rsid w:val="00F77723"/>
    <w:rsid w:val="00F77749"/>
    <w:rsid w:val="00F849C5"/>
    <w:rsid w:val="00F8768F"/>
    <w:rsid w:val="00F87A6D"/>
    <w:rsid w:val="00F907D1"/>
    <w:rsid w:val="00F9400D"/>
    <w:rsid w:val="00F96930"/>
    <w:rsid w:val="00FA3864"/>
    <w:rsid w:val="00FA4681"/>
    <w:rsid w:val="00FA48F7"/>
    <w:rsid w:val="00FA773F"/>
    <w:rsid w:val="00FA7A5A"/>
    <w:rsid w:val="00FB617B"/>
    <w:rsid w:val="00FB7C1F"/>
    <w:rsid w:val="00FC1FB5"/>
    <w:rsid w:val="00FC2AB9"/>
    <w:rsid w:val="00FC53BE"/>
    <w:rsid w:val="00FC6A24"/>
    <w:rsid w:val="00FC7E58"/>
    <w:rsid w:val="00FC7F8C"/>
    <w:rsid w:val="00FD0D25"/>
    <w:rsid w:val="00FD0F98"/>
    <w:rsid w:val="00FD4EFB"/>
    <w:rsid w:val="00FD52BC"/>
    <w:rsid w:val="00FD556C"/>
    <w:rsid w:val="00FD7A37"/>
    <w:rsid w:val="00FD7C95"/>
    <w:rsid w:val="00FE1181"/>
    <w:rsid w:val="00FE2304"/>
    <w:rsid w:val="00FE39DC"/>
    <w:rsid w:val="00FE6589"/>
    <w:rsid w:val="00FF0269"/>
    <w:rsid w:val="00FF02D2"/>
    <w:rsid w:val="00FF15ED"/>
    <w:rsid w:val="00FF47CA"/>
    <w:rsid w:val="00FF54B9"/>
    <w:rsid w:val="00FF5587"/>
    <w:rsid w:val="00FF5C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0E"/>
    <w:rPr>
      <w:sz w:val="24"/>
      <w:szCs w:val="24"/>
      <w:lang w:eastAsia="en-US"/>
    </w:rPr>
  </w:style>
  <w:style w:type="paragraph" w:styleId="Heading1">
    <w:name w:val="heading 1"/>
    <w:basedOn w:val="Normal"/>
    <w:next w:val="Normal"/>
    <w:qFormat/>
    <w:rsid w:val="00D6440E"/>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4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3079B"/>
    <w:pPr>
      <w:ind w:left="720"/>
    </w:pPr>
  </w:style>
  <w:style w:type="character" w:styleId="CommentReference">
    <w:name w:val="annotation reference"/>
    <w:basedOn w:val="DefaultParagraphFont"/>
    <w:uiPriority w:val="99"/>
    <w:unhideWhenUsed/>
    <w:rsid w:val="00337190"/>
    <w:rPr>
      <w:sz w:val="16"/>
      <w:szCs w:val="16"/>
    </w:rPr>
  </w:style>
  <w:style w:type="paragraph" w:styleId="CommentText">
    <w:name w:val="annotation text"/>
    <w:basedOn w:val="Normal"/>
    <w:link w:val="CommentTextChar"/>
    <w:uiPriority w:val="99"/>
    <w:unhideWhenUsed/>
    <w:rsid w:val="00337190"/>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337190"/>
    <w:rPr>
      <w:rFonts w:ascii="Calibri" w:eastAsia="Calibri" w:hAnsi="Calibri" w:cs="Times New Roman"/>
      <w:lang w:eastAsia="en-US"/>
    </w:rPr>
  </w:style>
  <w:style w:type="paragraph" w:styleId="BalloonText">
    <w:name w:val="Balloon Text"/>
    <w:basedOn w:val="Normal"/>
    <w:link w:val="BalloonTextChar"/>
    <w:rsid w:val="00337190"/>
    <w:rPr>
      <w:rFonts w:ascii="Tahoma" w:hAnsi="Tahoma" w:cs="Tahoma"/>
      <w:sz w:val="16"/>
      <w:szCs w:val="16"/>
    </w:rPr>
  </w:style>
  <w:style w:type="character" w:customStyle="1" w:styleId="BalloonTextChar">
    <w:name w:val="Balloon Text Char"/>
    <w:basedOn w:val="DefaultParagraphFont"/>
    <w:link w:val="BalloonText"/>
    <w:rsid w:val="00337190"/>
    <w:rPr>
      <w:rFonts w:ascii="Tahoma" w:hAnsi="Tahoma" w:cs="Tahoma"/>
      <w:sz w:val="16"/>
      <w:szCs w:val="16"/>
      <w:lang w:eastAsia="en-US"/>
    </w:rPr>
  </w:style>
  <w:style w:type="paragraph" w:customStyle="1" w:styleId="Default">
    <w:name w:val="Default"/>
    <w:rsid w:val="00451D23"/>
    <w:pPr>
      <w:autoSpaceDE w:val="0"/>
      <w:autoSpaceDN w:val="0"/>
      <w:adjustRightInd w:val="0"/>
    </w:pPr>
    <w:rPr>
      <w:rFonts w:ascii="Arial" w:hAnsi="Arial" w:cs="Arial"/>
      <w:color w:val="000000"/>
      <w:sz w:val="24"/>
      <w:szCs w:val="24"/>
    </w:rPr>
  </w:style>
  <w:style w:type="paragraph" w:styleId="Header">
    <w:name w:val="header"/>
    <w:basedOn w:val="Normal"/>
    <w:link w:val="HeaderChar"/>
    <w:rsid w:val="00A821EE"/>
    <w:pPr>
      <w:tabs>
        <w:tab w:val="center" w:pos="4513"/>
        <w:tab w:val="right" w:pos="9026"/>
      </w:tabs>
    </w:pPr>
  </w:style>
  <w:style w:type="character" w:customStyle="1" w:styleId="HeaderChar">
    <w:name w:val="Header Char"/>
    <w:basedOn w:val="DefaultParagraphFont"/>
    <w:link w:val="Header"/>
    <w:rsid w:val="00A821EE"/>
    <w:rPr>
      <w:sz w:val="24"/>
      <w:szCs w:val="24"/>
      <w:lang w:eastAsia="en-US"/>
    </w:rPr>
  </w:style>
  <w:style w:type="paragraph" w:styleId="Footer">
    <w:name w:val="footer"/>
    <w:basedOn w:val="Normal"/>
    <w:link w:val="FooterChar"/>
    <w:uiPriority w:val="99"/>
    <w:rsid w:val="00A821EE"/>
    <w:pPr>
      <w:tabs>
        <w:tab w:val="center" w:pos="4513"/>
        <w:tab w:val="right" w:pos="9026"/>
      </w:tabs>
    </w:pPr>
  </w:style>
  <w:style w:type="character" w:customStyle="1" w:styleId="FooterChar">
    <w:name w:val="Footer Char"/>
    <w:basedOn w:val="DefaultParagraphFont"/>
    <w:link w:val="Footer"/>
    <w:uiPriority w:val="99"/>
    <w:rsid w:val="00A821EE"/>
    <w:rPr>
      <w:sz w:val="24"/>
      <w:szCs w:val="24"/>
      <w:lang w:eastAsia="en-US"/>
    </w:rPr>
  </w:style>
  <w:style w:type="character" w:styleId="Hyperlink">
    <w:name w:val="Hyperlink"/>
    <w:basedOn w:val="DefaultParagraphFont"/>
    <w:uiPriority w:val="99"/>
    <w:unhideWhenUsed/>
    <w:rsid w:val="00101C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8898">
      <w:bodyDiv w:val="1"/>
      <w:marLeft w:val="0"/>
      <w:marRight w:val="0"/>
      <w:marTop w:val="0"/>
      <w:marBottom w:val="0"/>
      <w:divBdr>
        <w:top w:val="none" w:sz="0" w:space="0" w:color="auto"/>
        <w:left w:val="none" w:sz="0" w:space="0" w:color="auto"/>
        <w:bottom w:val="none" w:sz="0" w:space="0" w:color="auto"/>
        <w:right w:val="none" w:sz="0" w:space="0" w:color="auto"/>
      </w:divBdr>
    </w:div>
    <w:div w:id="50151751">
      <w:bodyDiv w:val="1"/>
      <w:marLeft w:val="0"/>
      <w:marRight w:val="0"/>
      <w:marTop w:val="0"/>
      <w:marBottom w:val="0"/>
      <w:divBdr>
        <w:top w:val="none" w:sz="0" w:space="0" w:color="auto"/>
        <w:left w:val="none" w:sz="0" w:space="0" w:color="auto"/>
        <w:bottom w:val="none" w:sz="0" w:space="0" w:color="auto"/>
        <w:right w:val="none" w:sz="0" w:space="0" w:color="auto"/>
      </w:divBdr>
    </w:div>
    <w:div w:id="163397102">
      <w:bodyDiv w:val="1"/>
      <w:marLeft w:val="0"/>
      <w:marRight w:val="0"/>
      <w:marTop w:val="0"/>
      <w:marBottom w:val="0"/>
      <w:divBdr>
        <w:top w:val="none" w:sz="0" w:space="0" w:color="auto"/>
        <w:left w:val="none" w:sz="0" w:space="0" w:color="auto"/>
        <w:bottom w:val="none" w:sz="0" w:space="0" w:color="auto"/>
        <w:right w:val="none" w:sz="0" w:space="0" w:color="auto"/>
      </w:divBdr>
    </w:div>
    <w:div w:id="239563242">
      <w:bodyDiv w:val="1"/>
      <w:marLeft w:val="0"/>
      <w:marRight w:val="0"/>
      <w:marTop w:val="0"/>
      <w:marBottom w:val="0"/>
      <w:divBdr>
        <w:top w:val="none" w:sz="0" w:space="0" w:color="auto"/>
        <w:left w:val="none" w:sz="0" w:space="0" w:color="auto"/>
        <w:bottom w:val="none" w:sz="0" w:space="0" w:color="auto"/>
        <w:right w:val="none" w:sz="0" w:space="0" w:color="auto"/>
      </w:divBdr>
    </w:div>
    <w:div w:id="504200976">
      <w:bodyDiv w:val="1"/>
      <w:marLeft w:val="0"/>
      <w:marRight w:val="0"/>
      <w:marTop w:val="0"/>
      <w:marBottom w:val="0"/>
      <w:divBdr>
        <w:top w:val="none" w:sz="0" w:space="0" w:color="auto"/>
        <w:left w:val="none" w:sz="0" w:space="0" w:color="auto"/>
        <w:bottom w:val="none" w:sz="0" w:space="0" w:color="auto"/>
        <w:right w:val="none" w:sz="0" w:space="0" w:color="auto"/>
      </w:divBdr>
    </w:div>
    <w:div w:id="582834287">
      <w:bodyDiv w:val="1"/>
      <w:marLeft w:val="0"/>
      <w:marRight w:val="0"/>
      <w:marTop w:val="0"/>
      <w:marBottom w:val="0"/>
      <w:divBdr>
        <w:top w:val="none" w:sz="0" w:space="0" w:color="auto"/>
        <w:left w:val="none" w:sz="0" w:space="0" w:color="auto"/>
        <w:bottom w:val="none" w:sz="0" w:space="0" w:color="auto"/>
        <w:right w:val="none" w:sz="0" w:space="0" w:color="auto"/>
      </w:divBdr>
    </w:div>
    <w:div w:id="863978231">
      <w:bodyDiv w:val="1"/>
      <w:marLeft w:val="0"/>
      <w:marRight w:val="0"/>
      <w:marTop w:val="0"/>
      <w:marBottom w:val="0"/>
      <w:divBdr>
        <w:top w:val="none" w:sz="0" w:space="0" w:color="auto"/>
        <w:left w:val="none" w:sz="0" w:space="0" w:color="auto"/>
        <w:bottom w:val="none" w:sz="0" w:space="0" w:color="auto"/>
        <w:right w:val="none" w:sz="0" w:space="0" w:color="auto"/>
      </w:divBdr>
    </w:div>
    <w:div w:id="872230035">
      <w:bodyDiv w:val="1"/>
      <w:marLeft w:val="0"/>
      <w:marRight w:val="0"/>
      <w:marTop w:val="0"/>
      <w:marBottom w:val="0"/>
      <w:divBdr>
        <w:top w:val="none" w:sz="0" w:space="0" w:color="auto"/>
        <w:left w:val="none" w:sz="0" w:space="0" w:color="auto"/>
        <w:bottom w:val="none" w:sz="0" w:space="0" w:color="auto"/>
        <w:right w:val="none" w:sz="0" w:space="0" w:color="auto"/>
      </w:divBdr>
    </w:div>
    <w:div w:id="936325966">
      <w:bodyDiv w:val="1"/>
      <w:marLeft w:val="0"/>
      <w:marRight w:val="0"/>
      <w:marTop w:val="0"/>
      <w:marBottom w:val="0"/>
      <w:divBdr>
        <w:top w:val="none" w:sz="0" w:space="0" w:color="auto"/>
        <w:left w:val="none" w:sz="0" w:space="0" w:color="auto"/>
        <w:bottom w:val="none" w:sz="0" w:space="0" w:color="auto"/>
        <w:right w:val="none" w:sz="0" w:space="0" w:color="auto"/>
      </w:divBdr>
    </w:div>
    <w:div w:id="1055200181">
      <w:bodyDiv w:val="1"/>
      <w:marLeft w:val="0"/>
      <w:marRight w:val="0"/>
      <w:marTop w:val="0"/>
      <w:marBottom w:val="0"/>
      <w:divBdr>
        <w:top w:val="none" w:sz="0" w:space="0" w:color="auto"/>
        <w:left w:val="none" w:sz="0" w:space="0" w:color="auto"/>
        <w:bottom w:val="none" w:sz="0" w:space="0" w:color="auto"/>
        <w:right w:val="none" w:sz="0" w:space="0" w:color="auto"/>
      </w:divBdr>
    </w:div>
    <w:div w:id="1183980524">
      <w:bodyDiv w:val="1"/>
      <w:marLeft w:val="0"/>
      <w:marRight w:val="0"/>
      <w:marTop w:val="0"/>
      <w:marBottom w:val="0"/>
      <w:divBdr>
        <w:top w:val="none" w:sz="0" w:space="0" w:color="auto"/>
        <w:left w:val="none" w:sz="0" w:space="0" w:color="auto"/>
        <w:bottom w:val="none" w:sz="0" w:space="0" w:color="auto"/>
        <w:right w:val="none" w:sz="0" w:space="0" w:color="auto"/>
      </w:divBdr>
    </w:div>
    <w:div w:id="1255626383">
      <w:bodyDiv w:val="1"/>
      <w:marLeft w:val="0"/>
      <w:marRight w:val="0"/>
      <w:marTop w:val="0"/>
      <w:marBottom w:val="0"/>
      <w:divBdr>
        <w:top w:val="none" w:sz="0" w:space="0" w:color="auto"/>
        <w:left w:val="none" w:sz="0" w:space="0" w:color="auto"/>
        <w:bottom w:val="none" w:sz="0" w:space="0" w:color="auto"/>
        <w:right w:val="none" w:sz="0" w:space="0" w:color="auto"/>
      </w:divBdr>
    </w:div>
    <w:div w:id="1685984252">
      <w:bodyDiv w:val="1"/>
      <w:marLeft w:val="0"/>
      <w:marRight w:val="0"/>
      <w:marTop w:val="0"/>
      <w:marBottom w:val="0"/>
      <w:divBdr>
        <w:top w:val="none" w:sz="0" w:space="0" w:color="auto"/>
        <w:left w:val="none" w:sz="0" w:space="0" w:color="auto"/>
        <w:bottom w:val="none" w:sz="0" w:space="0" w:color="auto"/>
        <w:right w:val="none" w:sz="0" w:space="0" w:color="auto"/>
      </w:divBdr>
    </w:div>
    <w:div w:id="18470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A468E-D6AF-4D9F-A778-477883C8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Report to Hartlepool Schools’ Forum 10th October 2012</vt:lpstr>
    </vt:vector>
  </TitlesOfParts>
  <Company>Sx3</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10th October 2012</dc:title>
  <dc:creator>ceacdw</dc:creator>
  <cp:lastModifiedBy>CEMSEL</cp:lastModifiedBy>
  <cp:revision>2</cp:revision>
  <cp:lastPrinted>2016-12-20T10:50:00Z</cp:lastPrinted>
  <dcterms:created xsi:type="dcterms:W3CDTF">2019-04-30T14:42:00Z</dcterms:created>
  <dcterms:modified xsi:type="dcterms:W3CDTF">2019-04-30T14:42:00Z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-921547643</vt:i4>
  </property>
  <property fmtid="{D5CDD505-2E9C-101B-9397-08002B2CF9AE}" pid="3" name="_NewReviewCycle">
    <vt:lpwstr/>
  </property>
  <property fmtid="{D5CDD505-2E9C-101B-9397-08002B2CF9AE}" pid="4" name="_EmailSubject">
    <vt:lpwstr>Schools Forum -  7 May 2019</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7" name="_PreviousAdHocReviewCycleID">
    <vt:i4>-1062220847</vt:i4>
  </property>
</Properties>
</file>