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AC" w:rsidRPr="00127C03" w:rsidRDefault="00B921AC" w:rsidP="00B921AC">
      <w:pPr>
        <w:pBdr>
          <w:top w:val="single" w:sz="4" w:space="1" w:color="auto"/>
          <w:left w:val="single" w:sz="4" w:space="4" w:color="auto"/>
          <w:bottom w:val="single" w:sz="4" w:space="1" w:color="auto"/>
          <w:right w:val="single" w:sz="4" w:space="4" w:color="auto"/>
        </w:pBdr>
        <w:jc w:val="center"/>
        <w:rPr>
          <w:rFonts w:ascii="Arial" w:hAnsi="Arial" w:cs="Arial"/>
          <w:b/>
          <w:bCs/>
        </w:rPr>
      </w:pPr>
      <w:r w:rsidRPr="00127C03">
        <w:rPr>
          <w:rFonts w:ascii="Arial" w:hAnsi="Arial" w:cs="Arial"/>
          <w:b/>
          <w:bCs/>
        </w:rPr>
        <w:t>Report to Hartlepool Schools’ Forum</w:t>
      </w:r>
      <w:r w:rsidR="005879DB" w:rsidRPr="00127C03">
        <w:rPr>
          <w:rFonts w:ascii="Arial" w:hAnsi="Arial" w:cs="Arial"/>
          <w:b/>
          <w:bCs/>
        </w:rPr>
        <w:t xml:space="preserve"> </w:t>
      </w:r>
      <w:r w:rsidR="00380BB4">
        <w:rPr>
          <w:rFonts w:ascii="Arial" w:hAnsi="Arial" w:cs="Arial"/>
          <w:b/>
          <w:bCs/>
        </w:rPr>
        <w:t>7</w:t>
      </w:r>
      <w:r w:rsidR="00DE5658">
        <w:rPr>
          <w:rFonts w:ascii="Arial" w:hAnsi="Arial" w:cs="Arial"/>
          <w:b/>
          <w:bCs/>
          <w:vertAlign w:val="superscript"/>
        </w:rPr>
        <w:t xml:space="preserve"> </w:t>
      </w:r>
      <w:r w:rsidR="007B345D">
        <w:rPr>
          <w:rFonts w:ascii="Arial" w:hAnsi="Arial" w:cs="Arial"/>
          <w:b/>
          <w:bCs/>
        </w:rPr>
        <w:t>May</w:t>
      </w:r>
      <w:r w:rsidR="005879DB" w:rsidRPr="00127C03">
        <w:rPr>
          <w:rFonts w:ascii="Arial" w:hAnsi="Arial" w:cs="Arial"/>
          <w:b/>
          <w:bCs/>
        </w:rPr>
        <w:t xml:space="preserve"> 201</w:t>
      </w:r>
      <w:r w:rsidR="00380BB4">
        <w:rPr>
          <w:rFonts w:ascii="Arial" w:hAnsi="Arial" w:cs="Arial"/>
          <w:b/>
          <w:bCs/>
        </w:rPr>
        <w:t>9</w:t>
      </w:r>
    </w:p>
    <w:p w:rsidR="00B921AC" w:rsidRPr="00127C03" w:rsidRDefault="00B921AC" w:rsidP="00B921AC">
      <w:pPr>
        <w:pBdr>
          <w:top w:val="single" w:sz="4" w:space="1" w:color="auto"/>
          <w:left w:val="single" w:sz="4" w:space="4" w:color="auto"/>
          <w:bottom w:val="single" w:sz="4" w:space="1" w:color="auto"/>
          <w:right w:val="single" w:sz="4" w:space="4" w:color="auto"/>
        </w:pBdr>
        <w:jc w:val="center"/>
        <w:rPr>
          <w:rFonts w:ascii="Arial" w:hAnsi="Arial" w:cs="Arial"/>
          <w:b/>
          <w:bCs/>
        </w:rPr>
      </w:pPr>
      <w:r w:rsidRPr="00127C03">
        <w:rPr>
          <w:rFonts w:ascii="Arial" w:hAnsi="Arial" w:cs="Arial"/>
          <w:b/>
          <w:bCs/>
        </w:rPr>
        <w:t xml:space="preserve">From </w:t>
      </w:r>
      <w:r w:rsidR="00380BB4">
        <w:rPr>
          <w:rFonts w:ascii="Arial" w:hAnsi="Arial" w:cs="Arial"/>
          <w:b/>
          <w:bCs/>
        </w:rPr>
        <w:t xml:space="preserve">Sally Robinson </w:t>
      </w:r>
      <w:r w:rsidR="001D775A">
        <w:rPr>
          <w:rFonts w:ascii="Arial" w:hAnsi="Arial" w:cs="Arial"/>
          <w:b/>
          <w:bCs/>
        </w:rPr>
        <w:t>(Director</w:t>
      </w:r>
      <w:r w:rsidR="00380BB4">
        <w:rPr>
          <w:rFonts w:ascii="Arial" w:hAnsi="Arial" w:cs="Arial"/>
          <w:b/>
          <w:bCs/>
        </w:rPr>
        <w:t xml:space="preserve"> of Children’s and Joint Commissioning</w:t>
      </w:r>
      <w:r w:rsidR="008B24AA" w:rsidRPr="00127C03">
        <w:rPr>
          <w:rFonts w:ascii="Arial" w:hAnsi="Arial" w:cs="Arial"/>
          <w:b/>
          <w:bCs/>
        </w:rPr>
        <w:t>)</w:t>
      </w:r>
    </w:p>
    <w:p w:rsidR="0079428F" w:rsidRPr="00127C03" w:rsidRDefault="0079428F">
      <w:pPr>
        <w:rPr>
          <w:rFonts w:ascii="Arial" w:hAnsi="Arial" w:cs="Arial"/>
          <w:b/>
          <w:bCs/>
        </w:rPr>
      </w:pPr>
    </w:p>
    <w:p w:rsidR="0079428F" w:rsidRPr="00127C03" w:rsidRDefault="0079428F" w:rsidP="0079428F">
      <w:pPr>
        <w:pStyle w:val="Heading1"/>
      </w:pPr>
      <w:r w:rsidRPr="00127C03">
        <w:t>Agenda Item</w:t>
      </w:r>
      <w:r w:rsidR="0086076D" w:rsidRPr="00127C03">
        <w:t xml:space="preserve"> </w:t>
      </w:r>
      <w:r w:rsidR="00C03663">
        <w:t>13</w:t>
      </w:r>
      <w:r w:rsidR="002B3E18" w:rsidRPr="00127C03">
        <w:t xml:space="preserve"> </w:t>
      </w:r>
      <w:r w:rsidR="007B345D">
        <w:t>–</w:t>
      </w:r>
      <w:r w:rsidRPr="00127C03">
        <w:t xml:space="preserve"> </w:t>
      </w:r>
      <w:r w:rsidR="00B90C59">
        <w:t>Updates to Scheme for Financing Schools</w:t>
      </w:r>
    </w:p>
    <w:p w:rsidR="0079428F" w:rsidRDefault="0079428F" w:rsidP="0079428F">
      <w:pPr>
        <w:rPr>
          <w:rFonts w:ascii="Arial" w:hAnsi="Arial" w:cs="Arial"/>
        </w:rPr>
      </w:pPr>
    </w:p>
    <w:p w:rsidR="005F187A" w:rsidRPr="00127C03" w:rsidRDefault="005F187A" w:rsidP="0079428F">
      <w:pPr>
        <w:rPr>
          <w:rFonts w:ascii="Arial" w:hAnsi="Arial" w:cs="Arial"/>
        </w:rPr>
      </w:pPr>
    </w:p>
    <w:p w:rsidR="0079428F" w:rsidRPr="00127C03" w:rsidRDefault="0079428F" w:rsidP="004D7F53">
      <w:pPr>
        <w:numPr>
          <w:ilvl w:val="0"/>
          <w:numId w:val="4"/>
        </w:numPr>
        <w:rPr>
          <w:rFonts w:ascii="Arial" w:hAnsi="Arial" w:cs="Arial"/>
          <w:b/>
          <w:u w:val="single"/>
        </w:rPr>
      </w:pPr>
      <w:r w:rsidRPr="00127C03">
        <w:rPr>
          <w:rFonts w:ascii="Arial" w:hAnsi="Arial" w:cs="Arial"/>
          <w:b/>
          <w:u w:val="single"/>
        </w:rPr>
        <w:t>Introduction</w:t>
      </w:r>
    </w:p>
    <w:p w:rsidR="007B345D" w:rsidRDefault="007B345D" w:rsidP="007B345D">
      <w:pPr>
        <w:rPr>
          <w:rFonts w:ascii="Arial" w:hAnsi="Arial" w:cs="Arial"/>
        </w:rPr>
      </w:pPr>
    </w:p>
    <w:p w:rsidR="00C962B8" w:rsidRPr="00B90C59" w:rsidRDefault="00C962B8" w:rsidP="00C962B8">
      <w:pPr>
        <w:numPr>
          <w:ilvl w:val="1"/>
          <w:numId w:val="4"/>
        </w:numPr>
        <w:rPr>
          <w:rFonts w:ascii="Arial" w:hAnsi="Arial" w:cs="Arial"/>
          <w:color w:val="000000" w:themeColor="text1"/>
        </w:rPr>
      </w:pPr>
      <w:r w:rsidRPr="00B46AAA">
        <w:rPr>
          <w:rFonts w:ascii="Arial" w:hAnsi="Arial" w:cs="Arial"/>
        </w:rPr>
        <w:t xml:space="preserve">Local authorities are </w:t>
      </w:r>
      <w:r>
        <w:rPr>
          <w:rFonts w:ascii="Arial" w:hAnsi="Arial" w:cs="Arial"/>
        </w:rPr>
        <w:t>required to have a scheme for financing schools, setting out the relationship they have with their maintained schools.</w:t>
      </w:r>
    </w:p>
    <w:p w:rsidR="00C962B8" w:rsidRDefault="00C962B8" w:rsidP="00C962B8">
      <w:pPr>
        <w:pStyle w:val="ListParagraph"/>
        <w:rPr>
          <w:rFonts w:ascii="Arial" w:hAnsi="Arial" w:cs="Arial"/>
          <w:bCs/>
        </w:rPr>
      </w:pPr>
    </w:p>
    <w:p w:rsidR="007B345D" w:rsidRDefault="00B90C59" w:rsidP="007B345D">
      <w:pPr>
        <w:pStyle w:val="ListParagraph"/>
        <w:numPr>
          <w:ilvl w:val="1"/>
          <w:numId w:val="4"/>
        </w:numPr>
        <w:rPr>
          <w:rFonts w:ascii="Arial" w:hAnsi="Arial" w:cs="Arial"/>
          <w:bCs/>
        </w:rPr>
      </w:pPr>
      <w:r>
        <w:rPr>
          <w:rFonts w:ascii="Arial" w:hAnsi="Arial" w:cs="Arial"/>
          <w:bCs/>
        </w:rPr>
        <w:t>Each year, ESFA (Education and Skills Funding Agency) publish changes required to the Scheme for Financing Schools. Local authorities are required to incorporate the changes into their Scheme and associated documentation</w:t>
      </w:r>
      <w:r w:rsidR="00C962B8">
        <w:rPr>
          <w:rFonts w:ascii="Arial" w:hAnsi="Arial" w:cs="Arial"/>
          <w:bCs/>
        </w:rPr>
        <w:t>,</w:t>
      </w:r>
      <w:r>
        <w:rPr>
          <w:rFonts w:ascii="Arial" w:hAnsi="Arial" w:cs="Arial"/>
          <w:bCs/>
        </w:rPr>
        <w:t xml:space="preserve"> in consultation with schools.</w:t>
      </w:r>
    </w:p>
    <w:p w:rsidR="00B90C59" w:rsidRDefault="00B90C59" w:rsidP="00B90C59">
      <w:pPr>
        <w:pStyle w:val="ListParagraph"/>
        <w:rPr>
          <w:rFonts w:ascii="Arial" w:hAnsi="Arial" w:cs="Arial"/>
          <w:bCs/>
        </w:rPr>
      </w:pPr>
    </w:p>
    <w:p w:rsidR="00B90C59" w:rsidRDefault="00B90C59" w:rsidP="007B345D">
      <w:pPr>
        <w:pStyle w:val="ListParagraph"/>
        <w:numPr>
          <w:ilvl w:val="1"/>
          <w:numId w:val="4"/>
        </w:numPr>
        <w:rPr>
          <w:rFonts w:ascii="Arial" w:hAnsi="Arial" w:cs="Arial"/>
          <w:bCs/>
        </w:rPr>
      </w:pPr>
      <w:r>
        <w:rPr>
          <w:rFonts w:ascii="Arial" w:hAnsi="Arial" w:cs="Arial"/>
          <w:bCs/>
        </w:rPr>
        <w:t>This report outlines the required changes to the existing Scheme and provides a revised Scheme to reflect the updates.</w:t>
      </w:r>
    </w:p>
    <w:p w:rsidR="008C700B" w:rsidRDefault="008C700B" w:rsidP="008C700B">
      <w:pPr>
        <w:pStyle w:val="ListParagraph"/>
        <w:rPr>
          <w:rFonts w:ascii="Arial" w:hAnsi="Arial" w:cs="Arial"/>
          <w:bCs/>
        </w:rPr>
      </w:pPr>
    </w:p>
    <w:p w:rsidR="005F187A" w:rsidRDefault="005F187A" w:rsidP="008C700B">
      <w:pPr>
        <w:pStyle w:val="ListParagraph"/>
        <w:rPr>
          <w:rFonts w:ascii="Arial" w:hAnsi="Arial" w:cs="Arial"/>
          <w:bCs/>
        </w:rPr>
      </w:pPr>
    </w:p>
    <w:p w:rsidR="008C700B" w:rsidRPr="00E86B0D" w:rsidRDefault="008C700B" w:rsidP="008C700B">
      <w:pPr>
        <w:pStyle w:val="ListParagraph"/>
        <w:numPr>
          <w:ilvl w:val="0"/>
          <w:numId w:val="4"/>
        </w:numPr>
        <w:rPr>
          <w:rFonts w:ascii="Arial" w:hAnsi="Arial" w:cs="Arial"/>
          <w:b/>
          <w:bCs/>
          <w:u w:val="single"/>
        </w:rPr>
      </w:pPr>
      <w:r w:rsidRPr="00E86B0D">
        <w:rPr>
          <w:rFonts w:ascii="Arial" w:hAnsi="Arial" w:cs="Arial"/>
          <w:b/>
          <w:bCs/>
          <w:u w:val="single"/>
        </w:rPr>
        <w:t>Background</w:t>
      </w:r>
    </w:p>
    <w:p w:rsidR="008C700B" w:rsidRDefault="008C700B" w:rsidP="008C700B">
      <w:pPr>
        <w:pStyle w:val="ListParagraph"/>
        <w:rPr>
          <w:rFonts w:ascii="Arial" w:hAnsi="Arial" w:cs="Arial"/>
          <w:bCs/>
        </w:rPr>
      </w:pPr>
    </w:p>
    <w:p w:rsidR="00147F92" w:rsidRDefault="00B90C59" w:rsidP="00147F92">
      <w:pPr>
        <w:numPr>
          <w:ilvl w:val="1"/>
          <w:numId w:val="4"/>
        </w:numPr>
        <w:rPr>
          <w:rFonts w:ascii="Arial" w:hAnsi="Arial" w:cs="Arial"/>
        </w:rPr>
      </w:pPr>
      <w:r>
        <w:rPr>
          <w:rFonts w:ascii="Arial" w:hAnsi="Arial" w:cs="Arial"/>
        </w:rPr>
        <w:t>ESFA published an update to the Scheme for Financing Schools statutory guidance in February 2019</w:t>
      </w:r>
      <w:r w:rsidR="00147F92">
        <w:rPr>
          <w:rFonts w:ascii="Arial" w:hAnsi="Arial" w:cs="Arial"/>
        </w:rPr>
        <w:t>.</w:t>
      </w:r>
      <w:r>
        <w:rPr>
          <w:rFonts w:ascii="Arial" w:hAnsi="Arial" w:cs="Arial"/>
        </w:rPr>
        <w:t xml:space="preserve"> The changes reflect updates to policy and legislation.</w:t>
      </w:r>
    </w:p>
    <w:p w:rsidR="00147F92" w:rsidRDefault="00147F92" w:rsidP="001D775A">
      <w:pPr>
        <w:rPr>
          <w:rFonts w:ascii="Arial" w:hAnsi="Arial" w:cs="Arial"/>
        </w:rPr>
      </w:pPr>
    </w:p>
    <w:p w:rsidR="00DF5AC6" w:rsidRPr="00B90C59" w:rsidRDefault="00C962B8" w:rsidP="00DF5AC6">
      <w:pPr>
        <w:numPr>
          <w:ilvl w:val="1"/>
          <w:numId w:val="4"/>
        </w:numPr>
        <w:rPr>
          <w:rFonts w:ascii="Arial" w:hAnsi="Arial" w:cs="Arial"/>
          <w:color w:val="000000" w:themeColor="text1"/>
        </w:rPr>
      </w:pPr>
      <w:r>
        <w:rPr>
          <w:rFonts w:ascii="Arial" w:hAnsi="Arial" w:cs="Arial"/>
        </w:rPr>
        <w:t>The changes are restricted to statutory guidance and do not affect any local agreements contained within the Hartlepool Scheme.</w:t>
      </w:r>
    </w:p>
    <w:p w:rsidR="00B90C59" w:rsidRDefault="00B90C59" w:rsidP="00B90C59">
      <w:pPr>
        <w:pStyle w:val="ListParagraph"/>
        <w:rPr>
          <w:rFonts w:ascii="Arial" w:hAnsi="Arial" w:cs="Arial"/>
          <w:color w:val="000000" w:themeColor="text1"/>
        </w:rPr>
      </w:pPr>
    </w:p>
    <w:p w:rsidR="005F187A" w:rsidRPr="00127C03" w:rsidRDefault="005F187A" w:rsidP="00DF5AC6">
      <w:pPr>
        <w:rPr>
          <w:rFonts w:ascii="Arial" w:hAnsi="Arial" w:cs="Arial"/>
          <w:color w:val="000000" w:themeColor="text1"/>
        </w:rPr>
      </w:pPr>
    </w:p>
    <w:p w:rsidR="009F0AAE" w:rsidRDefault="009F0AAE" w:rsidP="009F0AAE">
      <w:pPr>
        <w:rPr>
          <w:rFonts w:ascii="Arial" w:hAnsi="Arial" w:cs="Arial"/>
          <w:b/>
          <w:bCs/>
          <w:u w:val="single"/>
        </w:rPr>
      </w:pPr>
      <w:r w:rsidRPr="009F0AAE">
        <w:rPr>
          <w:rFonts w:ascii="Arial" w:hAnsi="Arial" w:cs="Arial"/>
          <w:b/>
          <w:color w:val="000000" w:themeColor="text1"/>
        </w:rPr>
        <w:t>3</w:t>
      </w:r>
      <w:r>
        <w:rPr>
          <w:rFonts w:ascii="Arial" w:hAnsi="Arial" w:cs="Arial"/>
          <w:color w:val="000000" w:themeColor="text1"/>
        </w:rPr>
        <w:tab/>
      </w:r>
      <w:r w:rsidR="00B90C59">
        <w:rPr>
          <w:rFonts w:ascii="Arial" w:hAnsi="Arial" w:cs="Arial"/>
          <w:b/>
          <w:color w:val="000000" w:themeColor="text1"/>
          <w:u w:val="single"/>
        </w:rPr>
        <w:t>Changes to the Scheme</w:t>
      </w:r>
    </w:p>
    <w:p w:rsidR="00EA1391" w:rsidRPr="00EA1391" w:rsidRDefault="00EA1391" w:rsidP="00EA1391">
      <w:pPr>
        <w:ind w:left="720"/>
        <w:rPr>
          <w:rFonts w:ascii="Arial" w:hAnsi="Arial" w:cs="Arial"/>
          <w:b/>
          <w:bCs/>
          <w:u w:val="single"/>
        </w:rPr>
      </w:pPr>
    </w:p>
    <w:p w:rsidR="007B345D" w:rsidRPr="009F0AAE" w:rsidRDefault="009F0AAE" w:rsidP="009F0AAE">
      <w:pPr>
        <w:rPr>
          <w:rFonts w:ascii="Arial" w:hAnsi="Arial" w:cs="Arial"/>
        </w:rPr>
      </w:pPr>
      <w:r w:rsidRPr="009F0AAE">
        <w:rPr>
          <w:rFonts w:ascii="Arial" w:hAnsi="Arial" w:cs="Arial"/>
        </w:rPr>
        <w:t>3.</w:t>
      </w:r>
      <w:r>
        <w:rPr>
          <w:rFonts w:ascii="Arial" w:hAnsi="Arial" w:cs="Arial"/>
        </w:rPr>
        <w:t>1</w:t>
      </w:r>
      <w:r w:rsidRPr="009F0AAE">
        <w:rPr>
          <w:rFonts w:ascii="Arial" w:hAnsi="Arial" w:cs="Arial"/>
        </w:rPr>
        <w:tab/>
      </w:r>
      <w:r w:rsidR="007B345D" w:rsidRPr="009F0AAE">
        <w:rPr>
          <w:rFonts w:ascii="Arial" w:hAnsi="Arial" w:cs="Arial"/>
        </w:rPr>
        <w:t xml:space="preserve">The table below </w:t>
      </w:r>
      <w:r w:rsidR="001D775A">
        <w:rPr>
          <w:rFonts w:ascii="Arial" w:hAnsi="Arial" w:cs="Arial"/>
        </w:rPr>
        <w:t>summarises</w:t>
      </w:r>
      <w:r w:rsidR="007B345D" w:rsidRPr="009F0AAE">
        <w:rPr>
          <w:rFonts w:ascii="Arial" w:hAnsi="Arial" w:cs="Arial"/>
        </w:rPr>
        <w:t xml:space="preserve"> the </w:t>
      </w:r>
      <w:r w:rsidR="00C962B8">
        <w:rPr>
          <w:rFonts w:ascii="Arial" w:hAnsi="Arial" w:cs="Arial"/>
        </w:rPr>
        <w:t>required updates to the current Scheme</w:t>
      </w:r>
      <w:r w:rsidR="008C700B" w:rsidRPr="009F0AAE">
        <w:rPr>
          <w:rFonts w:ascii="Arial" w:hAnsi="Arial" w:cs="Arial"/>
        </w:rPr>
        <w:t>.</w:t>
      </w:r>
    </w:p>
    <w:p w:rsidR="007B4E26" w:rsidRPr="000255F6" w:rsidRDefault="007B4E26" w:rsidP="001E5326">
      <w:pPr>
        <w:rPr>
          <w:rFonts w:ascii="Arial" w:hAnsi="Arial" w:cs="Arial"/>
          <w:bCs/>
          <w:vanish/>
        </w:rPr>
      </w:pPr>
    </w:p>
    <w:p w:rsidR="00C962B8" w:rsidRDefault="00C962B8" w:rsidP="00B90C59">
      <w:pPr>
        <w:ind w:left="720" w:hanging="720"/>
        <w:rPr>
          <w:rFonts w:ascii="Arial" w:hAnsi="Arial" w:cs="Arial"/>
        </w:rPr>
      </w:pPr>
      <w:r>
        <w:rPr>
          <w:rFonts w:ascii="Arial" w:hAnsi="Arial" w:cs="Arial"/>
        </w:rPr>
        <w:tab/>
      </w:r>
    </w:p>
    <w:tbl>
      <w:tblPr>
        <w:tblStyle w:val="TableGrid"/>
        <w:tblW w:w="0" w:type="auto"/>
        <w:tblInd w:w="720" w:type="dxa"/>
        <w:tblLook w:val="04A0"/>
      </w:tblPr>
      <w:tblGrid>
        <w:gridCol w:w="2110"/>
        <w:gridCol w:w="6797"/>
      </w:tblGrid>
      <w:tr w:rsidR="00C962B8" w:rsidTr="00C962B8">
        <w:tc>
          <w:tcPr>
            <w:tcW w:w="2110" w:type="dxa"/>
            <w:shd w:val="clear" w:color="auto" w:fill="B6DDE8" w:themeFill="accent5" w:themeFillTint="66"/>
          </w:tcPr>
          <w:p w:rsidR="00C962B8" w:rsidRDefault="00C962B8" w:rsidP="00B90C59">
            <w:pPr>
              <w:rPr>
                <w:rFonts w:ascii="Arial" w:hAnsi="Arial" w:cs="Arial"/>
              </w:rPr>
            </w:pPr>
            <w:r>
              <w:rPr>
                <w:rFonts w:ascii="Arial" w:hAnsi="Arial" w:cs="Arial"/>
              </w:rPr>
              <w:t>Paragraph</w:t>
            </w:r>
          </w:p>
        </w:tc>
        <w:tc>
          <w:tcPr>
            <w:tcW w:w="6797" w:type="dxa"/>
            <w:shd w:val="clear" w:color="auto" w:fill="B6DDE8" w:themeFill="accent5" w:themeFillTint="66"/>
          </w:tcPr>
          <w:p w:rsidR="00C962B8" w:rsidRDefault="00C962B8" w:rsidP="00B90C59">
            <w:pPr>
              <w:rPr>
                <w:rFonts w:ascii="Arial" w:hAnsi="Arial" w:cs="Arial"/>
              </w:rPr>
            </w:pPr>
            <w:r>
              <w:rPr>
                <w:rFonts w:ascii="Arial" w:hAnsi="Arial" w:cs="Arial"/>
              </w:rPr>
              <w:t>Change</w:t>
            </w:r>
          </w:p>
        </w:tc>
      </w:tr>
      <w:tr w:rsidR="00C962B8" w:rsidTr="00C962B8">
        <w:tc>
          <w:tcPr>
            <w:tcW w:w="2110" w:type="dxa"/>
          </w:tcPr>
          <w:p w:rsidR="00C962B8" w:rsidRDefault="003B087A" w:rsidP="00B90C59">
            <w:pPr>
              <w:rPr>
                <w:rFonts w:ascii="Arial" w:hAnsi="Arial" w:cs="Arial"/>
              </w:rPr>
            </w:pPr>
            <w:r>
              <w:rPr>
                <w:rFonts w:ascii="Arial" w:hAnsi="Arial" w:cs="Arial"/>
              </w:rPr>
              <w:t>1.5 Revision of the Scheme</w:t>
            </w:r>
          </w:p>
        </w:tc>
        <w:tc>
          <w:tcPr>
            <w:tcW w:w="6797" w:type="dxa"/>
          </w:tcPr>
          <w:p w:rsidR="00C962B8" w:rsidRDefault="003B087A" w:rsidP="00B90C59">
            <w:pPr>
              <w:rPr>
                <w:rFonts w:ascii="Arial" w:hAnsi="Arial" w:cs="Arial"/>
              </w:rPr>
            </w:pPr>
            <w:r>
              <w:rPr>
                <w:rFonts w:ascii="Arial" w:hAnsi="Arial" w:cs="Arial"/>
              </w:rPr>
              <w:t xml:space="preserve">Additional statement from ESFA to be </w:t>
            </w:r>
            <w:r w:rsidRPr="003B087A">
              <w:rPr>
                <w:rFonts w:ascii="Arial" w:hAnsi="Arial" w:cs="Arial"/>
              </w:rPr>
              <w:t>added: “It is also possible for the Secretary of State to make directed revisions to schemes after consultation. Such revisions become part of the scheme from the date of the direction.”</w:t>
            </w:r>
          </w:p>
        </w:tc>
      </w:tr>
      <w:tr w:rsidR="0007213A" w:rsidTr="00C962B8">
        <w:tc>
          <w:tcPr>
            <w:tcW w:w="2110" w:type="dxa"/>
            <w:vMerge w:val="restart"/>
          </w:tcPr>
          <w:p w:rsidR="0007213A" w:rsidRDefault="0007213A" w:rsidP="00B90C59">
            <w:pPr>
              <w:rPr>
                <w:rFonts w:ascii="Arial" w:hAnsi="Arial" w:cs="Arial"/>
              </w:rPr>
            </w:pPr>
            <w:r>
              <w:rPr>
                <w:rFonts w:ascii="Arial" w:hAnsi="Arial" w:cs="Arial"/>
              </w:rPr>
              <w:t>2.1.4 Control of Assets</w:t>
            </w:r>
          </w:p>
        </w:tc>
        <w:tc>
          <w:tcPr>
            <w:tcW w:w="6797" w:type="dxa"/>
          </w:tcPr>
          <w:p w:rsidR="0007213A" w:rsidRDefault="0007213A" w:rsidP="00B90C59">
            <w:pPr>
              <w:rPr>
                <w:rFonts w:ascii="Arial" w:hAnsi="Arial" w:cs="Arial"/>
              </w:rPr>
            </w:pPr>
            <w:r>
              <w:rPr>
                <w:rFonts w:ascii="Arial" w:hAnsi="Arial" w:cs="Arial"/>
              </w:rPr>
              <w:t>Additional statement from ESFA t</w:t>
            </w:r>
            <w:r w:rsidRPr="003B087A">
              <w:rPr>
                <w:rFonts w:ascii="Arial" w:hAnsi="Arial" w:cs="Arial"/>
              </w:rPr>
              <w:t>o be added “Schools are encouraged to register anything that is portable and attractive, such as a camera.”</w:t>
            </w:r>
          </w:p>
        </w:tc>
      </w:tr>
      <w:tr w:rsidR="0007213A" w:rsidTr="00C962B8">
        <w:tc>
          <w:tcPr>
            <w:tcW w:w="2110" w:type="dxa"/>
            <w:vMerge/>
          </w:tcPr>
          <w:p w:rsidR="0007213A" w:rsidRDefault="0007213A" w:rsidP="00B90C59">
            <w:pPr>
              <w:rPr>
                <w:rFonts w:ascii="Arial" w:hAnsi="Arial" w:cs="Arial"/>
              </w:rPr>
            </w:pPr>
          </w:p>
        </w:tc>
        <w:tc>
          <w:tcPr>
            <w:tcW w:w="6797" w:type="dxa"/>
          </w:tcPr>
          <w:p w:rsidR="0007213A" w:rsidRDefault="0007213A" w:rsidP="00B90C59">
            <w:pPr>
              <w:rPr>
                <w:rFonts w:ascii="Arial" w:hAnsi="Arial" w:cs="Arial"/>
              </w:rPr>
            </w:pPr>
            <w:r>
              <w:rPr>
                <w:rFonts w:ascii="Arial" w:hAnsi="Arial" w:cs="Arial"/>
              </w:rPr>
              <w:t>Threshold of £500 amended to £1,000. Schools are free to determine their own arrangements for keeping a register of assets below £1,000.</w:t>
            </w:r>
          </w:p>
        </w:tc>
      </w:tr>
      <w:tr w:rsidR="00C962B8" w:rsidTr="00C962B8">
        <w:tc>
          <w:tcPr>
            <w:tcW w:w="2110" w:type="dxa"/>
          </w:tcPr>
          <w:p w:rsidR="00C962B8" w:rsidRDefault="003B087A" w:rsidP="00B90C59">
            <w:pPr>
              <w:rPr>
                <w:rFonts w:ascii="Arial" w:hAnsi="Arial" w:cs="Arial"/>
              </w:rPr>
            </w:pPr>
            <w:r>
              <w:rPr>
                <w:rFonts w:ascii="Arial" w:hAnsi="Arial" w:cs="Arial"/>
              </w:rPr>
              <w:t>2.4 Efficiency and Value for Money</w:t>
            </w:r>
          </w:p>
        </w:tc>
        <w:tc>
          <w:tcPr>
            <w:tcW w:w="6797" w:type="dxa"/>
          </w:tcPr>
          <w:p w:rsidR="00C962B8" w:rsidRDefault="003B087A" w:rsidP="00B90C59">
            <w:pPr>
              <w:rPr>
                <w:rFonts w:ascii="Arial" w:hAnsi="Arial" w:cs="Arial"/>
              </w:rPr>
            </w:pPr>
            <w:r>
              <w:rPr>
                <w:rFonts w:ascii="Arial" w:hAnsi="Arial" w:cs="Arial"/>
              </w:rPr>
              <w:t>Section to be renamed “School Resource Management” and wording amended from “achieve efficiencies” to “effective management of resources”</w:t>
            </w:r>
          </w:p>
        </w:tc>
      </w:tr>
      <w:tr w:rsidR="00C962B8" w:rsidTr="00C962B8">
        <w:tc>
          <w:tcPr>
            <w:tcW w:w="2110" w:type="dxa"/>
          </w:tcPr>
          <w:p w:rsidR="00C962B8" w:rsidRDefault="003B087A" w:rsidP="00B90C59">
            <w:pPr>
              <w:rPr>
                <w:rFonts w:ascii="Arial" w:hAnsi="Arial" w:cs="Arial"/>
              </w:rPr>
            </w:pPr>
            <w:r>
              <w:rPr>
                <w:rFonts w:ascii="Arial" w:hAnsi="Arial" w:cs="Arial"/>
              </w:rPr>
              <w:t xml:space="preserve">2.1.10 Purchasing, Tendering and Contracting </w:t>
            </w:r>
            <w:r>
              <w:rPr>
                <w:rFonts w:ascii="Arial" w:hAnsi="Arial" w:cs="Arial"/>
              </w:rPr>
              <w:lastRenderedPageBreak/>
              <w:t>Requirements</w:t>
            </w:r>
          </w:p>
        </w:tc>
        <w:tc>
          <w:tcPr>
            <w:tcW w:w="6797" w:type="dxa"/>
          </w:tcPr>
          <w:p w:rsidR="00C962B8" w:rsidRDefault="003B087A" w:rsidP="003B087A">
            <w:pPr>
              <w:rPr>
                <w:rFonts w:ascii="Arial" w:hAnsi="Arial" w:cs="Arial"/>
              </w:rPr>
            </w:pPr>
            <w:r>
              <w:rPr>
                <w:rFonts w:ascii="Arial" w:hAnsi="Arial" w:cs="Arial"/>
              </w:rPr>
              <w:lastRenderedPageBreak/>
              <w:t xml:space="preserve">Additional </w:t>
            </w:r>
            <w:r w:rsidRPr="003B087A">
              <w:rPr>
                <w:rFonts w:ascii="Arial" w:hAnsi="Arial" w:cs="Arial"/>
              </w:rPr>
              <w:t xml:space="preserve">statement and hyperlink from ESFA to be added “Schools may seek advice on a range of compliant deals via </w:t>
            </w:r>
            <w:hyperlink r:id="rId8" w:history="1">
              <w:r w:rsidRPr="003B087A">
                <w:rPr>
                  <w:rStyle w:val="Hyperlink"/>
                  <w:rFonts w:ascii="Arial" w:hAnsi="Arial" w:cs="Arial"/>
                  <w:lang/>
                </w:rPr>
                <w:t>Buying for schools</w:t>
              </w:r>
            </w:hyperlink>
            <w:r>
              <w:rPr>
                <w:rStyle w:val="Hyperlink"/>
                <w:rFonts w:ascii="Arial" w:hAnsi="Arial" w:cs="Arial"/>
                <w:lang/>
              </w:rPr>
              <w:t>”</w:t>
            </w:r>
          </w:p>
        </w:tc>
      </w:tr>
      <w:tr w:rsidR="00C962B8" w:rsidTr="00C962B8">
        <w:tc>
          <w:tcPr>
            <w:tcW w:w="2110" w:type="dxa"/>
          </w:tcPr>
          <w:p w:rsidR="00C962B8" w:rsidRDefault="003B087A" w:rsidP="00B90C59">
            <w:pPr>
              <w:rPr>
                <w:rFonts w:ascii="Arial" w:hAnsi="Arial" w:cs="Arial"/>
              </w:rPr>
            </w:pPr>
            <w:r>
              <w:rPr>
                <w:rFonts w:ascii="Arial" w:hAnsi="Arial" w:cs="Arial"/>
              </w:rPr>
              <w:lastRenderedPageBreak/>
              <w:t>5.1 Income from Lettings</w:t>
            </w:r>
          </w:p>
        </w:tc>
        <w:tc>
          <w:tcPr>
            <w:tcW w:w="6797" w:type="dxa"/>
          </w:tcPr>
          <w:p w:rsidR="00C962B8" w:rsidRDefault="003B087A" w:rsidP="00B90C59">
            <w:pPr>
              <w:rPr>
                <w:rFonts w:ascii="Arial" w:hAnsi="Arial" w:cs="Arial"/>
              </w:rPr>
            </w:pPr>
            <w:r w:rsidRPr="003B087A">
              <w:rPr>
                <w:rFonts w:ascii="Arial" w:hAnsi="Arial" w:cs="Arial"/>
              </w:rPr>
              <w:t>Additional statement from ESFA to be added “However, where land is held by a charitable trust, it will be for the school’s trustees to determine the use of any income generated by the land.”</w:t>
            </w:r>
          </w:p>
        </w:tc>
      </w:tr>
      <w:tr w:rsidR="00C962B8" w:rsidTr="00C962B8">
        <w:tc>
          <w:tcPr>
            <w:tcW w:w="2110" w:type="dxa"/>
          </w:tcPr>
          <w:p w:rsidR="00C962B8" w:rsidRDefault="003B087A" w:rsidP="00B90C59">
            <w:pPr>
              <w:rPr>
                <w:rFonts w:ascii="Arial" w:hAnsi="Arial" w:cs="Arial"/>
              </w:rPr>
            </w:pPr>
            <w:r>
              <w:rPr>
                <w:rFonts w:ascii="Arial" w:hAnsi="Arial" w:cs="Arial"/>
              </w:rPr>
              <w:t>6.3 Circumstances in which Charges May Be Made</w:t>
            </w:r>
          </w:p>
        </w:tc>
        <w:tc>
          <w:tcPr>
            <w:tcW w:w="6797" w:type="dxa"/>
          </w:tcPr>
          <w:p w:rsidR="00C962B8" w:rsidRDefault="003B087A" w:rsidP="00B90C59">
            <w:pPr>
              <w:rPr>
                <w:rFonts w:ascii="Arial" w:hAnsi="Arial" w:cs="Arial"/>
              </w:rPr>
            </w:pPr>
            <w:r>
              <w:rPr>
                <w:rFonts w:ascii="Arial" w:hAnsi="Arial" w:cs="Arial"/>
              </w:rPr>
              <w:t>ESFA amendment as follows “</w:t>
            </w:r>
            <w:r w:rsidRPr="00D8275C">
              <w:rPr>
                <w:rFonts w:ascii="Arial" w:hAnsi="Arial" w:cs="Arial"/>
              </w:rPr>
              <w:t xml:space="preserve">Other expenditure incurred to </w:t>
            </w:r>
            <w:r w:rsidRPr="003B087A">
              <w:rPr>
                <w:rFonts w:ascii="Arial" w:hAnsi="Arial" w:cs="Arial"/>
              </w:rPr>
              <w:t xml:space="preserve">secure resignations where </w:t>
            </w:r>
            <w:r w:rsidRPr="003B087A">
              <w:rPr>
                <w:rFonts w:ascii="Arial" w:hAnsi="Arial" w:cs="Arial"/>
                <w:strike/>
              </w:rPr>
              <w:t xml:space="preserve">the school had not followed the Authority’s advice </w:t>
            </w:r>
            <w:r w:rsidRPr="003B087A">
              <w:rPr>
                <w:rFonts w:ascii="Arial" w:hAnsi="Arial" w:cs="Arial"/>
              </w:rPr>
              <w:t>there is good reason to charge this to the school;”</w:t>
            </w:r>
          </w:p>
        </w:tc>
      </w:tr>
      <w:tr w:rsidR="00C962B8" w:rsidTr="00C962B8">
        <w:tc>
          <w:tcPr>
            <w:tcW w:w="2110" w:type="dxa"/>
          </w:tcPr>
          <w:p w:rsidR="00C962B8" w:rsidRDefault="003B087A" w:rsidP="00B90C59">
            <w:pPr>
              <w:rPr>
                <w:rFonts w:ascii="Arial" w:hAnsi="Arial" w:cs="Arial"/>
              </w:rPr>
            </w:pPr>
            <w:r>
              <w:rPr>
                <w:rFonts w:ascii="Arial" w:hAnsi="Arial" w:cs="Arial"/>
              </w:rPr>
              <w:t>8.1 Provision of Services from Centrally Retained Budgets</w:t>
            </w:r>
          </w:p>
        </w:tc>
        <w:tc>
          <w:tcPr>
            <w:tcW w:w="6797" w:type="dxa"/>
          </w:tcPr>
          <w:p w:rsidR="00C962B8" w:rsidRDefault="003B087A" w:rsidP="00B90C59">
            <w:pPr>
              <w:rPr>
                <w:rFonts w:ascii="Arial" w:hAnsi="Arial" w:cs="Arial"/>
              </w:rPr>
            </w:pPr>
            <w:r>
              <w:rPr>
                <w:rFonts w:ascii="Arial" w:hAnsi="Arial" w:cs="Arial"/>
              </w:rPr>
              <w:t>ESFA amendment as follows: “The Authority</w:t>
            </w:r>
            <w:r w:rsidRPr="00D8275C">
              <w:rPr>
                <w:rFonts w:ascii="Arial" w:hAnsi="Arial" w:cs="Arial"/>
              </w:rPr>
              <w:t xml:space="preserve"> cannot, however</w:t>
            </w:r>
            <w:r w:rsidRPr="003B087A">
              <w:rPr>
                <w:rFonts w:ascii="Arial" w:hAnsi="Arial" w:cs="Arial"/>
              </w:rPr>
              <w:t xml:space="preserve">, discriminate in its provision of services on the basis of categories of schools except </w:t>
            </w:r>
            <w:r w:rsidRPr="003B087A">
              <w:rPr>
                <w:rFonts w:ascii="Arial" w:hAnsi="Arial" w:cs="Arial"/>
                <w:strike/>
              </w:rPr>
              <w:t>where such discrimination is justified by differences in statutory duties</w:t>
            </w:r>
            <w:r w:rsidRPr="003B087A">
              <w:rPr>
                <w:rFonts w:ascii="Arial" w:hAnsi="Arial" w:cs="Arial"/>
              </w:rPr>
              <w:t xml:space="preserve"> in cases where this would be allowable under the school and early years finance regulations or the dedicated schools grant (DSG) conditions of grant.”</w:t>
            </w:r>
          </w:p>
        </w:tc>
      </w:tr>
      <w:tr w:rsidR="003B087A" w:rsidTr="00C962B8">
        <w:tc>
          <w:tcPr>
            <w:tcW w:w="2110" w:type="dxa"/>
          </w:tcPr>
          <w:p w:rsidR="003B087A" w:rsidRDefault="00E6468E" w:rsidP="00B90C59">
            <w:pPr>
              <w:rPr>
                <w:rFonts w:ascii="Arial" w:hAnsi="Arial" w:cs="Arial"/>
              </w:rPr>
            </w:pPr>
            <w:r>
              <w:rPr>
                <w:rFonts w:ascii="Arial" w:hAnsi="Arial" w:cs="Arial"/>
              </w:rPr>
              <w:t>8.4 Teachers’ Pensions</w:t>
            </w:r>
          </w:p>
        </w:tc>
        <w:tc>
          <w:tcPr>
            <w:tcW w:w="6797" w:type="dxa"/>
          </w:tcPr>
          <w:p w:rsidR="003B087A" w:rsidRDefault="00E6468E" w:rsidP="00B90C59">
            <w:pPr>
              <w:rPr>
                <w:rFonts w:ascii="Arial" w:hAnsi="Arial" w:cs="Arial"/>
              </w:rPr>
            </w:pPr>
            <w:r>
              <w:rPr>
                <w:rFonts w:ascii="Arial" w:hAnsi="Arial" w:cs="Arial"/>
              </w:rPr>
              <w:t>Reference to “annual” returns changed to “monthly” returns</w:t>
            </w:r>
          </w:p>
        </w:tc>
      </w:tr>
      <w:tr w:rsidR="003B087A" w:rsidTr="00C962B8">
        <w:tc>
          <w:tcPr>
            <w:tcW w:w="2110" w:type="dxa"/>
          </w:tcPr>
          <w:p w:rsidR="003B087A" w:rsidRDefault="00E6468E" w:rsidP="00B90C59">
            <w:pPr>
              <w:rPr>
                <w:rFonts w:ascii="Arial" w:hAnsi="Arial" w:cs="Arial"/>
              </w:rPr>
            </w:pPr>
            <w:r>
              <w:rPr>
                <w:rFonts w:ascii="Arial" w:hAnsi="Arial" w:cs="Arial"/>
              </w:rPr>
              <w:t>10.1 Insurance Cover</w:t>
            </w:r>
          </w:p>
        </w:tc>
        <w:tc>
          <w:tcPr>
            <w:tcW w:w="6797" w:type="dxa"/>
          </w:tcPr>
          <w:p w:rsidR="003B087A" w:rsidRDefault="00E6468E" w:rsidP="00B90C59">
            <w:pPr>
              <w:rPr>
                <w:rFonts w:ascii="Arial" w:hAnsi="Arial" w:cs="Arial"/>
              </w:rPr>
            </w:pPr>
            <w:r>
              <w:rPr>
                <w:rFonts w:ascii="Arial" w:hAnsi="Arial" w:cs="Arial"/>
              </w:rPr>
              <w:t>Statement from ESFA to be added “</w:t>
            </w:r>
            <w:r w:rsidRPr="00E6468E">
              <w:rPr>
                <w:rFonts w:ascii="Arial" w:hAnsi="Arial" w:cs="Arial"/>
                <w:lang/>
              </w:rPr>
              <w:t xml:space="preserve">The evidence required to demonstrate the parity of cover should be reasonable, not place an undue burden upon the school, nor act as a barrier to the school </w:t>
            </w:r>
            <w:r w:rsidRPr="00E6468E">
              <w:rPr>
                <w:rFonts w:ascii="Arial" w:hAnsi="Arial" w:cs="Arial"/>
                <w:lang/>
              </w:rPr>
              <w:lastRenderedPageBreak/>
              <w:t>exercising their choice of supplier.”</w:t>
            </w:r>
          </w:p>
        </w:tc>
      </w:tr>
      <w:tr w:rsidR="003B087A" w:rsidTr="00C962B8">
        <w:tc>
          <w:tcPr>
            <w:tcW w:w="2110" w:type="dxa"/>
          </w:tcPr>
          <w:p w:rsidR="003B087A" w:rsidRDefault="00E6468E" w:rsidP="00B90C59">
            <w:pPr>
              <w:rPr>
                <w:rFonts w:ascii="Arial" w:hAnsi="Arial" w:cs="Arial"/>
              </w:rPr>
            </w:pPr>
            <w:r>
              <w:rPr>
                <w:rFonts w:ascii="Arial" w:hAnsi="Arial" w:cs="Arial"/>
              </w:rPr>
              <w:lastRenderedPageBreak/>
              <w:t>13.2 Community Facilities – Consultation with the Authority</w:t>
            </w:r>
          </w:p>
        </w:tc>
        <w:tc>
          <w:tcPr>
            <w:tcW w:w="6797" w:type="dxa"/>
          </w:tcPr>
          <w:p w:rsidR="003B087A" w:rsidRDefault="00E6468E" w:rsidP="00B90C59">
            <w:pPr>
              <w:rPr>
                <w:rFonts w:ascii="Arial" w:hAnsi="Arial" w:cs="Arial"/>
              </w:rPr>
            </w:pPr>
            <w:r>
              <w:rPr>
                <w:rFonts w:ascii="Arial" w:hAnsi="Arial" w:cs="Arial"/>
              </w:rPr>
              <w:t>Updated to reflect changes to the Children and Families Act 2014; a school is no longer required to consult before establishing community facilities, and there is no longer a need for a school to be mindful of a local authority’s advice, under section 27 of the Education Act 2002</w:t>
            </w:r>
          </w:p>
        </w:tc>
      </w:tr>
      <w:tr w:rsidR="003B087A" w:rsidTr="00C962B8">
        <w:tc>
          <w:tcPr>
            <w:tcW w:w="2110" w:type="dxa"/>
          </w:tcPr>
          <w:p w:rsidR="003B087A" w:rsidRDefault="002061F2" w:rsidP="00B90C59">
            <w:pPr>
              <w:rPr>
                <w:rFonts w:ascii="Arial" w:hAnsi="Arial" w:cs="Arial"/>
              </w:rPr>
            </w:pPr>
            <w:r>
              <w:rPr>
                <w:rFonts w:ascii="Arial" w:hAnsi="Arial" w:cs="Arial"/>
              </w:rPr>
              <w:t>13.8 Health and Safety Matters</w:t>
            </w:r>
          </w:p>
        </w:tc>
        <w:tc>
          <w:tcPr>
            <w:tcW w:w="6797" w:type="dxa"/>
          </w:tcPr>
          <w:p w:rsidR="003B087A" w:rsidRDefault="002061F2" w:rsidP="00B90C59">
            <w:pPr>
              <w:rPr>
                <w:rFonts w:ascii="Arial" w:hAnsi="Arial" w:cs="Arial"/>
              </w:rPr>
            </w:pPr>
            <w:r>
              <w:rPr>
                <w:rFonts w:ascii="Arial" w:hAnsi="Arial" w:cs="Arial"/>
              </w:rPr>
              <w:t>Criminal Records Bureau amended to Disclosure Barring Service</w:t>
            </w:r>
          </w:p>
        </w:tc>
      </w:tr>
      <w:tr w:rsidR="003B087A" w:rsidTr="00C962B8">
        <w:tc>
          <w:tcPr>
            <w:tcW w:w="2110" w:type="dxa"/>
          </w:tcPr>
          <w:p w:rsidR="003B087A" w:rsidRDefault="002061F2" w:rsidP="00B90C59">
            <w:pPr>
              <w:rPr>
                <w:rFonts w:ascii="Arial" w:hAnsi="Arial" w:cs="Arial"/>
              </w:rPr>
            </w:pPr>
            <w:r>
              <w:rPr>
                <w:rFonts w:ascii="Arial" w:hAnsi="Arial" w:cs="Arial"/>
              </w:rPr>
              <w:t>Annex 1</w:t>
            </w:r>
          </w:p>
        </w:tc>
        <w:tc>
          <w:tcPr>
            <w:tcW w:w="6797" w:type="dxa"/>
          </w:tcPr>
          <w:p w:rsidR="003B087A" w:rsidRDefault="002061F2" w:rsidP="00B90C59">
            <w:pPr>
              <w:rPr>
                <w:rFonts w:ascii="Arial" w:hAnsi="Arial" w:cs="Arial"/>
              </w:rPr>
            </w:pPr>
            <w:r>
              <w:rPr>
                <w:rFonts w:ascii="Arial" w:hAnsi="Arial" w:cs="Arial"/>
              </w:rPr>
              <w:t>List of schools covered by the scheme amended to reflect academy conversions</w:t>
            </w:r>
          </w:p>
        </w:tc>
      </w:tr>
    </w:tbl>
    <w:p w:rsidR="00072AD6" w:rsidRDefault="00072AD6" w:rsidP="00B90C59">
      <w:pPr>
        <w:ind w:left="720" w:hanging="720"/>
        <w:rPr>
          <w:rFonts w:ascii="Arial" w:hAnsi="Arial" w:cs="Arial"/>
        </w:rPr>
      </w:pPr>
    </w:p>
    <w:p w:rsidR="00072AD6" w:rsidRDefault="00072AD6" w:rsidP="009F0AAE">
      <w:pPr>
        <w:ind w:left="709" w:hanging="709"/>
        <w:rPr>
          <w:rFonts w:ascii="Arial" w:hAnsi="Arial" w:cs="Arial"/>
        </w:rPr>
      </w:pPr>
    </w:p>
    <w:p w:rsidR="001D775A" w:rsidRDefault="0007213A" w:rsidP="009F0AAE">
      <w:pPr>
        <w:ind w:left="709" w:hanging="709"/>
        <w:rPr>
          <w:rFonts w:ascii="Arial" w:hAnsi="Arial" w:cs="Arial"/>
        </w:rPr>
      </w:pPr>
      <w:r>
        <w:rPr>
          <w:rFonts w:ascii="Arial" w:hAnsi="Arial" w:cs="Arial"/>
        </w:rPr>
        <w:t>3.2</w:t>
      </w:r>
      <w:r>
        <w:rPr>
          <w:rFonts w:ascii="Arial" w:hAnsi="Arial" w:cs="Arial"/>
        </w:rPr>
        <w:tab/>
        <w:t xml:space="preserve">The most significant change included in the table above </w:t>
      </w:r>
      <w:r w:rsidR="00667E1B">
        <w:rPr>
          <w:rFonts w:ascii="Arial" w:hAnsi="Arial" w:cs="Arial"/>
        </w:rPr>
        <w:t xml:space="preserve">(reference paragraph 13.2) </w:t>
      </w:r>
      <w:r>
        <w:rPr>
          <w:rFonts w:ascii="Arial" w:hAnsi="Arial" w:cs="Arial"/>
        </w:rPr>
        <w:t xml:space="preserve">relates to Community Facilities where the requirement for consultation with the local authority before establishing community facilities has been removed. However, the Scheme does expect that </w:t>
      </w:r>
      <w:r w:rsidRPr="0007213A">
        <w:rPr>
          <w:rFonts w:ascii="Arial" w:hAnsi="Arial" w:cs="Arial"/>
        </w:rPr>
        <w:t>schools ac</w:t>
      </w:r>
      <w:r>
        <w:rPr>
          <w:rFonts w:ascii="Arial" w:hAnsi="Arial" w:cs="Arial"/>
        </w:rPr>
        <w:t>t reasonably, by continuing to consult</w:t>
      </w:r>
      <w:r w:rsidRPr="0007213A">
        <w:rPr>
          <w:rFonts w:ascii="Arial" w:hAnsi="Arial" w:cs="Arial"/>
        </w:rPr>
        <w:t xml:space="preserve"> those affected by decisions that they make.</w:t>
      </w:r>
    </w:p>
    <w:p w:rsidR="00C03663" w:rsidRDefault="00C03663" w:rsidP="009F0AAE">
      <w:pPr>
        <w:ind w:left="709" w:hanging="709"/>
        <w:rPr>
          <w:rFonts w:ascii="Arial" w:hAnsi="Arial" w:cs="Arial"/>
        </w:rPr>
      </w:pPr>
    </w:p>
    <w:p w:rsidR="00C03663" w:rsidRDefault="00C03663" w:rsidP="009F0AAE">
      <w:pPr>
        <w:ind w:left="709" w:hanging="709"/>
        <w:rPr>
          <w:rFonts w:ascii="Arial" w:hAnsi="Arial" w:cs="Arial"/>
        </w:rPr>
      </w:pPr>
      <w:r>
        <w:rPr>
          <w:rFonts w:ascii="Arial" w:hAnsi="Arial" w:cs="Arial"/>
        </w:rPr>
        <w:t>3.3</w:t>
      </w:r>
      <w:r>
        <w:rPr>
          <w:rFonts w:ascii="Arial" w:hAnsi="Arial" w:cs="Arial"/>
        </w:rPr>
        <w:tab/>
        <w:t xml:space="preserve">During the exercise to assess changes to the Scheme for 2019, it was recognised that an historic update is required. This also relates to the treatment of Community Facilities. The change became effective in statute on 1 April 2011. The statutory change is that </w:t>
      </w:r>
      <w:r w:rsidR="00667E1B">
        <w:rPr>
          <w:rFonts w:ascii="Arial" w:hAnsi="Arial" w:cs="Arial"/>
        </w:rPr>
        <w:t>“</w:t>
      </w:r>
      <w:r>
        <w:rPr>
          <w:rFonts w:ascii="Arial" w:hAnsi="Arial" w:cs="Arial"/>
        </w:rPr>
        <w:t>amounts spent on Community Facilities are spent for the purposes of the school</w:t>
      </w:r>
      <w:r w:rsidR="00667E1B">
        <w:rPr>
          <w:rFonts w:ascii="Arial" w:hAnsi="Arial" w:cs="Arial"/>
        </w:rPr>
        <w:t>”</w:t>
      </w:r>
      <w:bookmarkStart w:id="0" w:name="_GoBack"/>
      <w:bookmarkEnd w:id="0"/>
      <w:r>
        <w:rPr>
          <w:rFonts w:ascii="Arial" w:hAnsi="Arial" w:cs="Arial"/>
        </w:rPr>
        <w:t xml:space="preserve"> (as stated in section 50(3A) of the Children, Schools and Families Act 2010</w:t>
      </w:r>
      <w:r w:rsidR="00A457C1">
        <w:rPr>
          <w:rFonts w:ascii="Arial" w:hAnsi="Arial" w:cs="Arial"/>
        </w:rPr>
        <w:t>)</w:t>
      </w:r>
      <w:r>
        <w:rPr>
          <w:rFonts w:ascii="Arial" w:hAnsi="Arial" w:cs="Arial"/>
        </w:rPr>
        <w:t>.</w:t>
      </w:r>
    </w:p>
    <w:p w:rsidR="00C03663" w:rsidRDefault="00C03663" w:rsidP="009F0AAE">
      <w:pPr>
        <w:ind w:left="709" w:hanging="709"/>
        <w:rPr>
          <w:rFonts w:ascii="Arial" w:hAnsi="Arial" w:cs="Arial"/>
        </w:rPr>
      </w:pPr>
    </w:p>
    <w:p w:rsidR="00C03663" w:rsidRDefault="00C03663" w:rsidP="009F0AAE">
      <w:pPr>
        <w:ind w:left="709" w:hanging="709"/>
        <w:rPr>
          <w:rFonts w:ascii="Arial" w:hAnsi="Arial" w:cs="Arial"/>
        </w:rPr>
      </w:pPr>
      <w:r>
        <w:rPr>
          <w:rFonts w:ascii="Arial" w:hAnsi="Arial" w:cs="Arial"/>
        </w:rPr>
        <w:t>3.4</w:t>
      </w:r>
      <w:r>
        <w:rPr>
          <w:rFonts w:ascii="Arial" w:hAnsi="Arial" w:cs="Arial"/>
        </w:rPr>
        <w:tab/>
        <w:t>The key implication of this change is that any deficit on Community Facilities must be treated as school expenditure and therefore be taken from the School Budget Share. The authority will work with any schools with a Community Facility deficit to understand potential recovery plans and implement the changes during 2019/20.</w:t>
      </w:r>
    </w:p>
    <w:p w:rsidR="00A457C1" w:rsidRDefault="00A457C1" w:rsidP="009F0AAE">
      <w:pPr>
        <w:ind w:left="709" w:hanging="709"/>
        <w:rPr>
          <w:rFonts w:ascii="Arial" w:hAnsi="Arial" w:cs="Arial"/>
        </w:rPr>
      </w:pPr>
    </w:p>
    <w:p w:rsidR="00A457C1" w:rsidRDefault="00A457C1" w:rsidP="009F0AAE">
      <w:pPr>
        <w:ind w:left="709" w:hanging="709"/>
        <w:rPr>
          <w:rFonts w:ascii="Arial" w:hAnsi="Arial" w:cs="Arial"/>
        </w:rPr>
      </w:pPr>
      <w:r>
        <w:rPr>
          <w:rFonts w:ascii="Arial" w:hAnsi="Arial" w:cs="Arial"/>
        </w:rPr>
        <w:t xml:space="preserve">3.5 </w:t>
      </w:r>
      <w:r>
        <w:rPr>
          <w:rFonts w:ascii="Arial" w:hAnsi="Arial" w:cs="Arial"/>
        </w:rPr>
        <w:tab/>
        <w:t>The change is reflected in paragraph 13.7 of the Scheme.</w:t>
      </w:r>
    </w:p>
    <w:p w:rsidR="0007213A" w:rsidRDefault="0007213A" w:rsidP="009F0AAE">
      <w:pPr>
        <w:ind w:left="709" w:hanging="709"/>
        <w:rPr>
          <w:rFonts w:ascii="Arial" w:hAnsi="Arial" w:cs="Arial"/>
        </w:rPr>
      </w:pPr>
    </w:p>
    <w:p w:rsidR="00C03663" w:rsidRDefault="00A457C1" w:rsidP="009F0AAE">
      <w:pPr>
        <w:ind w:left="709" w:hanging="709"/>
        <w:rPr>
          <w:rFonts w:ascii="Arial" w:hAnsi="Arial" w:cs="Arial"/>
        </w:rPr>
      </w:pPr>
      <w:r>
        <w:rPr>
          <w:rFonts w:ascii="Arial" w:hAnsi="Arial" w:cs="Arial"/>
        </w:rPr>
        <w:t xml:space="preserve">3.6 </w:t>
      </w:r>
      <w:r>
        <w:rPr>
          <w:rFonts w:ascii="Arial" w:hAnsi="Arial" w:cs="Arial"/>
        </w:rPr>
        <w:tab/>
        <w:t>The revised Scheme reflecting the changes outlined in this report is attached at appendix A. All changes and deletions are highlighted in yellow.</w:t>
      </w:r>
    </w:p>
    <w:p w:rsidR="00C03663" w:rsidRDefault="00C03663" w:rsidP="009F0AAE">
      <w:pPr>
        <w:ind w:left="709" w:hanging="709"/>
        <w:rPr>
          <w:rFonts w:ascii="Arial" w:hAnsi="Arial" w:cs="Arial"/>
        </w:rPr>
      </w:pPr>
    </w:p>
    <w:p w:rsidR="00576018" w:rsidRPr="00576018" w:rsidRDefault="00B90C59" w:rsidP="00576018">
      <w:pPr>
        <w:rPr>
          <w:rFonts w:ascii="Arial" w:hAnsi="Arial" w:cs="Arial"/>
        </w:rPr>
      </w:pPr>
      <w:r>
        <w:rPr>
          <w:rFonts w:ascii="Arial" w:hAnsi="Arial" w:cs="Arial"/>
          <w:b/>
        </w:rPr>
        <w:t>4</w:t>
      </w:r>
      <w:r w:rsidR="00576018" w:rsidRPr="00576018">
        <w:rPr>
          <w:rFonts w:ascii="Arial" w:hAnsi="Arial" w:cs="Arial"/>
        </w:rPr>
        <w:tab/>
      </w:r>
      <w:r w:rsidR="00576018" w:rsidRPr="00576018">
        <w:rPr>
          <w:rFonts w:ascii="Arial" w:hAnsi="Arial" w:cs="Arial"/>
          <w:b/>
          <w:bCs/>
          <w:u w:val="single"/>
        </w:rPr>
        <w:t>Recommendations</w:t>
      </w:r>
    </w:p>
    <w:p w:rsidR="00576018" w:rsidRDefault="00576018" w:rsidP="00576018">
      <w:pPr>
        <w:rPr>
          <w:rFonts w:ascii="Arial" w:hAnsi="Arial" w:cs="Arial"/>
        </w:rPr>
      </w:pPr>
    </w:p>
    <w:p w:rsidR="0007213A" w:rsidRDefault="00B90C59" w:rsidP="002E6944">
      <w:pPr>
        <w:ind w:left="567" w:hanging="567"/>
        <w:rPr>
          <w:rFonts w:ascii="Arial" w:hAnsi="Arial" w:cs="Arial"/>
        </w:rPr>
      </w:pPr>
      <w:r>
        <w:rPr>
          <w:rFonts w:ascii="Arial" w:hAnsi="Arial" w:cs="Arial"/>
        </w:rPr>
        <w:t>4</w:t>
      </w:r>
      <w:r w:rsidR="00F674ED">
        <w:rPr>
          <w:rFonts w:ascii="Arial" w:hAnsi="Arial" w:cs="Arial"/>
        </w:rPr>
        <w:t>.1</w:t>
      </w:r>
      <w:r w:rsidR="00F674ED">
        <w:rPr>
          <w:rFonts w:ascii="Arial" w:hAnsi="Arial" w:cs="Arial"/>
        </w:rPr>
        <w:tab/>
      </w:r>
      <w:r w:rsidR="001D775A">
        <w:rPr>
          <w:rFonts w:ascii="Arial" w:hAnsi="Arial" w:cs="Arial"/>
        </w:rPr>
        <w:t xml:space="preserve">Forum is </w:t>
      </w:r>
      <w:r w:rsidR="0007213A">
        <w:rPr>
          <w:rFonts w:ascii="Arial" w:hAnsi="Arial" w:cs="Arial"/>
        </w:rPr>
        <w:t>asked to:</w:t>
      </w:r>
    </w:p>
    <w:p w:rsidR="0007213A" w:rsidRDefault="0007213A" w:rsidP="0007213A">
      <w:pPr>
        <w:ind w:left="567"/>
        <w:rPr>
          <w:rFonts w:ascii="Arial" w:hAnsi="Arial" w:cs="Arial"/>
        </w:rPr>
      </w:pPr>
      <w:r>
        <w:rPr>
          <w:rFonts w:ascii="Arial" w:hAnsi="Arial" w:cs="Arial"/>
        </w:rPr>
        <w:t>a) note the ESFA changes outlined in the report</w:t>
      </w:r>
      <w:r w:rsidR="00C03663">
        <w:rPr>
          <w:rFonts w:ascii="Arial" w:hAnsi="Arial" w:cs="Arial"/>
        </w:rPr>
        <w:t>, including the historic change described in paragraph 3.3</w:t>
      </w:r>
      <w:r>
        <w:rPr>
          <w:rFonts w:ascii="Arial" w:hAnsi="Arial" w:cs="Arial"/>
        </w:rPr>
        <w:t>;</w:t>
      </w:r>
    </w:p>
    <w:p w:rsidR="0007213A" w:rsidRDefault="0007213A" w:rsidP="0007213A">
      <w:pPr>
        <w:ind w:left="567"/>
        <w:rPr>
          <w:rFonts w:ascii="Arial" w:hAnsi="Arial" w:cs="Arial"/>
        </w:rPr>
      </w:pPr>
      <w:r>
        <w:rPr>
          <w:rFonts w:ascii="Arial" w:hAnsi="Arial" w:cs="Arial"/>
        </w:rPr>
        <w:t xml:space="preserve">b) </w:t>
      </w:r>
      <w:r w:rsidR="00C962B8">
        <w:rPr>
          <w:rFonts w:ascii="Arial" w:hAnsi="Arial" w:cs="Arial"/>
        </w:rPr>
        <w:t xml:space="preserve">agree that the changes outlined are </w:t>
      </w:r>
      <w:r w:rsidR="00A457C1">
        <w:rPr>
          <w:rFonts w:ascii="Arial" w:hAnsi="Arial" w:cs="Arial"/>
        </w:rPr>
        <w:t xml:space="preserve">confirmed in </w:t>
      </w:r>
      <w:r w:rsidR="00C962B8">
        <w:rPr>
          <w:rFonts w:ascii="Arial" w:hAnsi="Arial" w:cs="Arial"/>
        </w:rPr>
        <w:t xml:space="preserve">the Scheme </w:t>
      </w:r>
      <w:r>
        <w:rPr>
          <w:rFonts w:ascii="Arial" w:hAnsi="Arial" w:cs="Arial"/>
        </w:rPr>
        <w:t xml:space="preserve">documentation </w:t>
      </w:r>
      <w:r w:rsidR="00C962B8">
        <w:rPr>
          <w:rFonts w:ascii="Arial" w:hAnsi="Arial" w:cs="Arial"/>
        </w:rPr>
        <w:t>and published</w:t>
      </w:r>
      <w:r w:rsidR="00C32D21">
        <w:rPr>
          <w:rFonts w:ascii="Arial" w:hAnsi="Arial" w:cs="Arial"/>
        </w:rPr>
        <w:t>.</w:t>
      </w:r>
      <w:r w:rsidR="00C962B8">
        <w:rPr>
          <w:rFonts w:ascii="Arial" w:hAnsi="Arial" w:cs="Arial"/>
        </w:rPr>
        <w:t xml:space="preserve"> </w:t>
      </w:r>
    </w:p>
    <w:p w:rsidR="0007213A" w:rsidRDefault="0007213A" w:rsidP="0007213A">
      <w:pPr>
        <w:ind w:left="567"/>
        <w:rPr>
          <w:rFonts w:ascii="Arial" w:hAnsi="Arial" w:cs="Arial"/>
        </w:rPr>
      </w:pPr>
    </w:p>
    <w:p w:rsidR="002E6944" w:rsidRDefault="0007213A" w:rsidP="0007213A">
      <w:pPr>
        <w:ind w:left="567"/>
        <w:rPr>
          <w:rFonts w:ascii="Arial" w:hAnsi="Arial" w:cs="Arial"/>
        </w:rPr>
      </w:pPr>
      <w:r>
        <w:rPr>
          <w:rFonts w:ascii="Arial" w:hAnsi="Arial" w:cs="Arial"/>
          <w:b/>
          <w:u w:val="single"/>
        </w:rPr>
        <w:t>Please note that only Maintained School Forum Representatives are affected by these recommendations</w:t>
      </w:r>
    </w:p>
    <w:p w:rsidR="00155095" w:rsidRDefault="00155095" w:rsidP="002E6944">
      <w:pPr>
        <w:ind w:left="567" w:hanging="567"/>
        <w:rPr>
          <w:rFonts w:ascii="Arial" w:hAnsi="Arial" w:cs="Arial"/>
        </w:rPr>
      </w:pPr>
    </w:p>
    <w:p w:rsidR="000659C3" w:rsidRPr="000659C3" w:rsidRDefault="000659C3">
      <w:pPr>
        <w:rPr>
          <w:rFonts w:ascii="Arial" w:hAnsi="Arial"/>
          <w:b/>
        </w:rPr>
      </w:pPr>
    </w:p>
    <w:sectPr w:rsidR="000659C3" w:rsidRPr="000659C3" w:rsidSect="005F187A">
      <w:headerReference w:type="default" r:id="rId9"/>
      <w:footerReference w:type="even" r:id="rId10"/>
      <w:footerReference w:type="default" r:id="rId11"/>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5F1" w:rsidRDefault="006F45F1">
      <w:r>
        <w:separator/>
      </w:r>
    </w:p>
  </w:endnote>
  <w:endnote w:type="continuationSeparator" w:id="0">
    <w:p w:rsidR="006F45F1" w:rsidRDefault="006F45F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1" w:rsidRDefault="00CB67E8" w:rsidP="00A97E20">
    <w:pPr>
      <w:pStyle w:val="Footer"/>
      <w:framePr w:wrap="around" w:vAnchor="text" w:hAnchor="margin" w:xAlign="center" w:y="1"/>
      <w:rPr>
        <w:rStyle w:val="PageNumber"/>
      </w:rPr>
    </w:pPr>
    <w:r>
      <w:rPr>
        <w:rStyle w:val="PageNumber"/>
      </w:rPr>
      <w:fldChar w:fldCharType="begin"/>
    </w:r>
    <w:r w:rsidR="006F45F1">
      <w:rPr>
        <w:rStyle w:val="PageNumber"/>
      </w:rPr>
      <w:instrText xml:space="preserve">PAGE  </w:instrText>
    </w:r>
    <w:r>
      <w:rPr>
        <w:rStyle w:val="PageNumber"/>
      </w:rPr>
      <w:fldChar w:fldCharType="end"/>
    </w:r>
  </w:p>
  <w:p w:rsidR="006F45F1" w:rsidRDefault="006F45F1" w:rsidP="00A566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55532"/>
      <w:docPartObj>
        <w:docPartGallery w:val="Page Numbers (Bottom of Page)"/>
        <w:docPartUnique/>
      </w:docPartObj>
    </w:sdtPr>
    <w:sdtContent>
      <w:sdt>
        <w:sdtPr>
          <w:id w:val="565050523"/>
          <w:docPartObj>
            <w:docPartGallery w:val="Page Numbers (Top of Page)"/>
            <w:docPartUnique/>
          </w:docPartObj>
        </w:sdtPr>
        <w:sdtContent>
          <w:p w:rsidR="006F45F1" w:rsidRDefault="00CB67E8" w:rsidP="005F187A">
            <w:pPr>
              <w:pStyle w:val="Footer"/>
              <w:jc w:val="right"/>
            </w:pPr>
            <w:fldSimple w:instr=" FILENAME  \* Lower \p  \* MERGEFORMAT ">
              <w:r w:rsidR="00FB0AB9">
                <w:rPr>
                  <w:rFonts w:ascii="Arial" w:hAnsi="Arial" w:cs="Arial"/>
                  <w:noProof/>
                  <w:sz w:val="12"/>
                  <w:szCs w:val="12"/>
                </w:rPr>
                <w:t>y:\corporate finance\child &amp; adult services\child\schools\schools forum\meetings\2019-20\07 may 2019\2019 05 07  updates to scheme for financing schools.docx</w:t>
              </w:r>
            </w:fldSimple>
          </w:p>
        </w:sdtContent>
      </w:sdt>
    </w:sdtContent>
  </w:sdt>
  <w:p w:rsidR="006F45F1" w:rsidRDefault="006F45F1" w:rsidP="00A566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5F1" w:rsidRDefault="006F45F1">
      <w:r>
        <w:separator/>
      </w:r>
    </w:p>
  </w:footnote>
  <w:footnote w:type="continuationSeparator" w:id="0">
    <w:p w:rsidR="006F45F1" w:rsidRDefault="006F4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1" w:rsidRDefault="00CB67E8">
    <w:pPr>
      <w:pStyle w:val="Header"/>
      <w:jc w:val="right"/>
    </w:pPr>
    <w:sdt>
      <w:sdtPr>
        <w:id w:val="565053189"/>
        <w:docPartObj>
          <w:docPartGallery w:val="Page Numbers (Top of Page)"/>
          <w:docPartUnique/>
        </w:docPartObj>
      </w:sdtPr>
      <w:sdtContent>
        <w:r w:rsidR="006F45F1" w:rsidRPr="005F187A">
          <w:rPr>
            <w:rFonts w:ascii="Arial" w:hAnsi="Arial" w:cs="Arial"/>
            <w:sz w:val="16"/>
            <w:szCs w:val="16"/>
          </w:rPr>
          <w:t xml:space="preserve">Page </w:t>
        </w:r>
        <w:r w:rsidRPr="005F187A">
          <w:rPr>
            <w:rFonts w:ascii="Arial" w:hAnsi="Arial" w:cs="Arial"/>
            <w:b/>
            <w:sz w:val="16"/>
            <w:szCs w:val="16"/>
          </w:rPr>
          <w:fldChar w:fldCharType="begin"/>
        </w:r>
        <w:r w:rsidR="006F45F1" w:rsidRPr="005F187A">
          <w:rPr>
            <w:rFonts w:ascii="Arial" w:hAnsi="Arial" w:cs="Arial"/>
            <w:b/>
            <w:sz w:val="16"/>
            <w:szCs w:val="16"/>
          </w:rPr>
          <w:instrText xml:space="preserve"> PAGE </w:instrText>
        </w:r>
        <w:r w:rsidRPr="005F187A">
          <w:rPr>
            <w:rFonts w:ascii="Arial" w:hAnsi="Arial" w:cs="Arial"/>
            <w:b/>
            <w:sz w:val="16"/>
            <w:szCs w:val="16"/>
          </w:rPr>
          <w:fldChar w:fldCharType="separate"/>
        </w:r>
        <w:r w:rsidR="00794E26">
          <w:rPr>
            <w:rFonts w:ascii="Arial" w:hAnsi="Arial" w:cs="Arial"/>
            <w:b/>
            <w:noProof/>
            <w:sz w:val="16"/>
            <w:szCs w:val="16"/>
          </w:rPr>
          <w:t>1</w:t>
        </w:r>
        <w:r w:rsidRPr="005F187A">
          <w:rPr>
            <w:rFonts w:ascii="Arial" w:hAnsi="Arial" w:cs="Arial"/>
            <w:b/>
            <w:sz w:val="16"/>
            <w:szCs w:val="16"/>
          </w:rPr>
          <w:fldChar w:fldCharType="end"/>
        </w:r>
        <w:r w:rsidR="006F45F1" w:rsidRPr="005F187A">
          <w:rPr>
            <w:rFonts w:ascii="Arial" w:hAnsi="Arial" w:cs="Arial"/>
            <w:sz w:val="16"/>
            <w:szCs w:val="16"/>
          </w:rPr>
          <w:t xml:space="preserve"> of </w:t>
        </w:r>
        <w:r w:rsidRPr="005F187A">
          <w:rPr>
            <w:rFonts w:ascii="Arial" w:hAnsi="Arial" w:cs="Arial"/>
            <w:b/>
            <w:sz w:val="16"/>
            <w:szCs w:val="16"/>
          </w:rPr>
          <w:fldChar w:fldCharType="begin"/>
        </w:r>
        <w:r w:rsidR="006F45F1" w:rsidRPr="005F187A">
          <w:rPr>
            <w:rFonts w:ascii="Arial" w:hAnsi="Arial" w:cs="Arial"/>
            <w:b/>
            <w:sz w:val="16"/>
            <w:szCs w:val="16"/>
          </w:rPr>
          <w:instrText xml:space="preserve"> NUMPAGES  </w:instrText>
        </w:r>
        <w:r w:rsidRPr="005F187A">
          <w:rPr>
            <w:rFonts w:ascii="Arial" w:hAnsi="Arial" w:cs="Arial"/>
            <w:b/>
            <w:sz w:val="16"/>
            <w:szCs w:val="16"/>
          </w:rPr>
          <w:fldChar w:fldCharType="separate"/>
        </w:r>
        <w:r w:rsidR="00794E26">
          <w:rPr>
            <w:rFonts w:ascii="Arial" w:hAnsi="Arial" w:cs="Arial"/>
            <w:b/>
            <w:noProof/>
            <w:sz w:val="16"/>
            <w:szCs w:val="16"/>
          </w:rPr>
          <w:t>3</w:t>
        </w:r>
        <w:r w:rsidRPr="005F187A">
          <w:rPr>
            <w:rFonts w:ascii="Arial" w:hAnsi="Arial" w:cs="Arial"/>
            <w:b/>
            <w:sz w:val="16"/>
            <w:szCs w:val="16"/>
          </w:rPr>
          <w:fldChar w:fldCharType="end"/>
        </w:r>
      </w:sdtContent>
    </w:sdt>
  </w:p>
  <w:p w:rsidR="006F45F1" w:rsidRDefault="006F45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A6E"/>
    <w:multiLevelType w:val="hybridMultilevel"/>
    <w:tmpl w:val="B08EDDCE"/>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F22FEC"/>
    <w:multiLevelType w:val="hybridMultilevel"/>
    <w:tmpl w:val="99C0D8D6"/>
    <w:lvl w:ilvl="0" w:tplc="E4621478">
      <w:start w:val="1"/>
      <w:numFmt w:val="decimal"/>
      <w:lvlText w:val="%1."/>
      <w:lvlJc w:val="left"/>
      <w:pPr>
        <w:ind w:left="720" w:hanging="360"/>
      </w:pPr>
      <w:rPr>
        <w:color w:val="17365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4544B86"/>
    <w:multiLevelType w:val="multilevel"/>
    <w:tmpl w:val="5D9453C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E92DEA"/>
    <w:multiLevelType w:val="multilevel"/>
    <w:tmpl w:val="6C2E86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F80CF9"/>
    <w:multiLevelType w:val="multilevel"/>
    <w:tmpl w:val="A6A81C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9B4E1E"/>
    <w:multiLevelType w:val="hybridMultilevel"/>
    <w:tmpl w:val="6CBA8B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AD4F55"/>
    <w:multiLevelType w:val="multilevel"/>
    <w:tmpl w:val="5DE208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F75415"/>
    <w:multiLevelType w:val="hybridMultilevel"/>
    <w:tmpl w:val="C78E409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671AA6"/>
    <w:multiLevelType w:val="multilevel"/>
    <w:tmpl w:val="E5EAC930"/>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76D6217"/>
    <w:multiLevelType w:val="hybridMultilevel"/>
    <w:tmpl w:val="A40AC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9C35AC"/>
    <w:multiLevelType w:val="hybridMultilevel"/>
    <w:tmpl w:val="8716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25A1FF2"/>
    <w:multiLevelType w:val="multilevel"/>
    <w:tmpl w:val="938A9F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95C669E"/>
    <w:multiLevelType w:val="multilevel"/>
    <w:tmpl w:val="A6A81C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0A48AB"/>
    <w:multiLevelType w:val="multilevel"/>
    <w:tmpl w:val="A6A81C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9B2C73"/>
    <w:multiLevelType w:val="hybridMultilevel"/>
    <w:tmpl w:val="D7C2D02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1B">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nsid w:val="2EDD1659"/>
    <w:multiLevelType w:val="multilevel"/>
    <w:tmpl w:val="2F3A10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9590572"/>
    <w:multiLevelType w:val="multilevel"/>
    <w:tmpl w:val="157ECA46"/>
    <w:lvl w:ilvl="0">
      <w:start w:val="2"/>
      <w:numFmt w:val="decimal"/>
      <w:lvlText w:val="%1"/>
      <w:lvlJc w:val="left"/>
      <w:pPr>
        <w:ind w:left="502"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3092680"/>
    <w:multiLevelType w:val="hybridMultilevel"/>
    <w:tmpl w:val="99EEBF84"/>
    <w:lvl w:ilvl="0" w:tplc="D55E0B32">
      <w:start w:val="4"/>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6D261C44"/>
    <w:multiLevelType w:val="multilevel"/>
    <w:tmpl w:val="406617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FF671E1"/>
    <w:multiLevelType w:val="multilevel"/>
    <w:tmpl w:val="377C00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882534F"/>
    <w:multiLevelType w:val="hybridMultilevel"/>
    <w:tmpl w:val="103E809C"/>
    <w:lvl w:ilvl="0" w:tplc="68666A2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B2B737C"/>
    <w:multiLevelType w:val="hybridMultilevel"/>
    <w:tmpl w:val="C9AC7A9A"/>
    <w:lvl w:ilvl="0" w:tplc="242051DC">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D8235A3"/>
    <w:multiLevelType w:val="multilevel"/>
    <w:tmpl w:val="B9E414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8"/>
  </w:num>
  <w:num w:numId="4">
    <w:abstractNumId w:val="2"/>
  </w:num>
  <w:num w:numId="5">
    <w:abstractNumId w:val="20"/>
  </w:num>
  <w:num w:numId="6">
    <w:abstractNumId w:val="15"/>
  </w:num>
  <w:num w:numId="7">
    <w:abstractNumId w:val="13"/>
  </w:num>
  <w:num w:numId="8">
    <w:abstractNumId w:val="4"/>
  </w:num>
  <w:num w:numId="9">
    <w:abstractNumId w:val="12"/>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9"/>
  </w:num>
  <w:num w:numId="15">
    <w:abstractNumId w:val="16"/>
  </w:num>
  <w:num w:numId="16">
    <w:abstractNumId w:val="3"/>
  </w:num>
  <w:num w:numId="17">
    <w:abstractNumId w:val="10"/>
  </w:num>
  <w:num w:numId="18">
    <w:abstractNumId w:val="17"/>
  </w:num>
  <w:num w:numId="19">
    <w:abstractNumId w:val="18"/>
  </w:num>
  <w:num w:numId="20">
    <w:abstractNumId w:val="6"/>
  </w:num>
  <w:num w:numId="21">
    <w:abstractNumId w:val="19"/>
  </w:num>
  <w:num w:numId="22">
    <w:abstractNumId w:val="5"/>
  </w:num>
  <w:num w:numId="23">
    <w:abstractNumId w:val="11"/>
  </w:num>
  <w:num w:numId="24">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44D8C"/>
    <w:rsid w:val="00006046"/>
    <w:rsid w:val="00010596"/>
    <w:rsid w:val="000157E6"/>
    <w:rsid w:val="00015B0D"/>
    <w:rsid w:val="00016C47"/>
    <w:rsid w:val="00017F86"/>
    <w:rsid w:val="00022435"/>
    <w:rsid w:val="00023889"/>
    <w:rsid w:val="000255F6"/>
    <w:rsid w:val="00025CAE"/>
    <w:rsid w:val="0002676C"/>
    <w:rsid w:val="0002712E"/>
    <w:rsid w:val="0002762C"/>
    <w:rsid w:val="00027E44"/>
    <w:rsid w:val="00031A2B"/>
    <w:rsid w:val="00035172"/>
    <w:rsid w:val="00036B9E"/>
    <w:rsid w:val="00042C1A"/>
    <w:rsid w:val="00044D8C"/>
    <w:rsid w:val="0004518F"/>
    <w:rsid w:val="00050DA8"/>
    <w:rsid w:val="000576D0"/>
    <w:rsid w:val="000579CD"/>
    <w:rsid w:val="00060EDC"/>
    <w:rsid w:val="00062657"/>
    <w:rsid w:val="0006510E"/>
    <w:rsid w:val="000659C3"/>
    <w:rsid w:val="0007213A"/>
    <w:rsid w:val="00072AD6"/>
    <w:rsid w:val="000730FD"/>
    <w:rsid w:val="00076A3E"/>
    <w:rsid w:val="00080701"/>
    <w:rsid w:val="00081603"/>
    <w:rsid w:val="000816AF"/>
    <w:rsid w:val="000870A3"/>
    <w:rsid w:val="000871DD"/>
    <w:rsid w:val="000A7DA7"/>
    <w:rsid w:val="000B6930"/>
    <w:rsid w:val="000B77D9"/>
    <w:rsid w:val="000C61A9"/>
    <w:rsid w:val="000C636B"/>
    <w:rsid w:val="000D01DC"/>
    <w:rsid w:val="000D1131"/>
    <w:rsid w:val="000D130D"/>
    <w:rsid w:val="000D2704"/>
    <w:rsid w:val="000D411F"/>
    <w:rsid w:val="000D524D"/>
    <w:rsid w:val="000D7BB1"/>
    <w:rsid w:val="000D7E2E"/>
    <w:rsid w:val="000E007D"/>
    <w:rsid w:val="000E18CC"/>
    <w:rsid w:val="000E1A1B"/>
    <w:rsid w:val="000E7370"/>
    <w:rsid w:val="000E73FA"/>
    <w:rsid w:val="000F0141"/>
    <w:rsid w:val="000F159C"/>
    <w:rsid w:val="000F6580"/>
    <w:rsid w:val="000F69D5"/>
    <w:rsid w:val="000F7333"/>
    <w:rsid w:val="000F75D4"/>
    <w:rsid w:val="000F7CB3"/>
    <w:rsid w:val="00106BCD"/>
    <w:rsid w:val="00107761"/>
    <w:rsid w:val="0011367C"/>
    <w:rsid w:val="0012185E"/>
    <w:rsid w:val="00122C6C"/>
    <w:rsid w:val="00127BE9"/>
    <w:rsid w:val="00127C03"/>
    <w:rsid w:val="001354B0"/>
    <w:rsid w:val="0013705D"/>
    <w:rsid w:val="00147F00"/>
    <w:rsid w:val="00147F92"/>
    <w:rsid w:val="00151D0B"/>
    <w:rsid w:val="00153604"/>
    <w:rsid w:val="00153F60"/>
    <w:rsid w:val="00155095"/>
    <w:rsid w:val="00155D0D"/>
    <w:rsid w:val="00157268"/>
    <w:rsid w:val="00157C00"/>
    <w:rsid w:val="00162062"/>
    <w:rsid w:val="00165A0D"/>
    <w:rsid w:val="00165CCE"/>
    <w:rsid w:val="001710A1"/>
    <w:rsid w:val="00171BAB"/>
    <w:rsid w:val="00172EEB"/>
    <w:rsid w:val="001747DC"/>
    <w:rsid w:val="001752DA"/>
    <w:rsid w:val="00181F27"/>
    <w:rsid w:val="00182076"/>
    <w:rsid w:val="00184980"/>
    <w:rsid w:val="00185126"/>
    <w:rsid w:val="00186078"/>
    <w:rsid w:val="001939EE"/>
    <w:rsid w:val="001960FF"/>
    <w:rsid w:val="001965AD"/>
    <w:rsid w:val="001A3299"/>
    <w:rsid w:val="001A465F"/>
    <w:rsid w:val="001A4F7F"/>
    <w:rsid w:val="001A644E"/>
    <w:rsid w:val="001B5346"/>
    <w:rsid w:val="001B734F"/>
    <w:rsid w:val="001B7E42"/>
    <w:rsid w:val="001C66BD"/>
    <w:rsid w:val="001D3819"/>
    <w:rsid w:val="001D3C00"/>
    <w:rsid w:val="001D5B25"/>
    <w:rsid w:val="001D775A"/>
    <w:rsid w:val="001E1743"/>
    <w:rsid w:val="001E3B91"/>
    <w:rsid w:val="001E5326"/>
    <w:rsid w:val="001F0D1D"/>
    <w:rsid w:val="001F2F83"/>
    <w:rsid w:val="001F512E"/>
    <w:rsid w:val="001F7A1E"/>
    <w:rsid w:val="002061F2"/>
    <w:rsid w:val="00207252"/>
    <w:rsid w:val="00213071"/>
    <w:rsid w:val="00215481"/>
    <w:rsid w:val="002214E2"/>
    <w:rsid w:val="0023373B"/>
    <w:rsid w:val="00243B24"/>
    <w:rsid w:val="00247E78"/>
    <w:rsid w:val="002522AB"/>
    <w:rsid w:val="00254F9E"/>
    <w:rsid w:val="00260196"/>
    <w:rsid w:val="0026094C"/>
    <w:rsid w:val="002614ED"/>
    <w:rsid w:val="00263866"/>
    <w:rsid w:val="002650E1"/>
    <w:rsid w:val="00265CBA"/>
    <w:rsid w:val="002678E9"/>
    <w:rsid w:val="00277A16"/>
    <w:rsid w:val="002804C0"/>
    <w:rsid w:val="00282452"/>
    <w:rsid w:val="00294964"/>
    <w:rsid w:val="00294EAA"/>
    <w:rsid w:val="0029534A"/>
    <w:rsid w:val="00297FCB"/>
    <w:rsid w:val="002A160B"/>
    <w:rsid w:val="002A268C"/>
    <w:rsid w:val="002B3E18"/>
    <w:rsid w:val="002C0547"/>
    <w:rsid w:val="002C6500"/>
    <w:rsid w:val="002D591E"/>
    <w:rsid w:val="002D738C"/>
    <w:rsid w:val="002E0FB0"/>
    <w:rsid w:val="002E18F4"/>
    <w:rsid w:val="002E499B"/>
    <w:rsid w:val="002E513D"/>
    <w:rsid w:val="002E6944"/>
    <w:rsid w:val="002F79E8"/>
    <w:rsid w:val="0030307E"/>
    <w:rsid w:val="00304957"/>
    <w:rsid w:val="00306823"/>
    <w:rsid w:val="00306AE8"/>
    <w:rsid w:val="0030706A"/>
    <w:rsid w:val="0030773F"/>
    <w:rsid w:val="003102C5"/>
    <w:rsid w:val="003117E2"/>
    <w:rsid w:val="00311DDB"/>
    <w:rsid w:val="00314569"/>
    <w:rsid w:val="00315834"/>
    <w:rsid w:val="00315D46"/>
    <w:rsid w:val="003208F0"/>
    <w:rsid w:val="00321E39"/>
    <w:rsid w:val="00323FB7"/>
    <w:rsid w:val="00326230"/>
    <w:rsid w:val="0032696D"/>
    <w:rsid w:val="0033382A"/>
    <w:rsid w:val="00334B3D"/>
    <w:rsid w:val="0034027A"/>
    <w:rsid w:val="00341307"/>
    <w:rsid w:val="00341D0E"/>
    <w:rsid w:val="00343746"/>
    <w:rsid w:val="00343994"/>
    <w:rsid w:val="00346155"/>
    <w:rsid w:val="00353C5A"/>
    <w:rsid w:val="00355890"/>
    <w:rsid w:val="00363164"/>
    <w:rsid w:val="00374E7E"/>
    <w:rsid w:val="003756DE"/>
    <w:rsid w:val="00375AA2"/>
    <w:rsid w:val="0037702F"/>
    <w:rsid w:val="00377069"/>
    <w:rsid w:val="00380BB4"/>
    <w:rsid w:val="00381832"/>
    <w:rsid w:val="0038276D"/>
    <w:rsid w:val="00383A39"/>
    <w:rsid w:val="00386155"/>
    <w:rsid w:val="0038726F"/>
    <w:rsid w:val="00391AE2"/>
    <w:rsid w:val="003920D3"/>
    <w:rsid w:val="0039238C"/>
    <w:rsid w:val="00394BFB"/>
    <w:rsid w:val="00396CAE"/>
    <w:rsid w:val="00397F55"/>
    <w:rsid w:val="003A39EF"/>
    <w:rsid w:val="003A516E"/>
    <w:rsid w:val="003A7955"/>
    <w:rsid w:val="003B087A"/>
    <w:rsid w:val="003B19A7"/>
    <w:rsid w:val="003B26A4"/>
    <w:rsid w:val="003B62E8"/>
    <w:rsid w:val="003B73BB"/>
    <w:rsid w:val="003C0233"/>
    <w:rsid w:val="003C0C17"/>
    <w:rsid w:val="003C1B4E"/>
    <w:rsid w:val="003C230C"/>
    <w:rsid w:val="003C2A00"/>
    <w:rsid w:val="003C3354"/>
    <w:rsid w:val="003C3602"/>
    <w:rsid w:val="003C3A9C"/>
    <w:rsid w:val="003C4D53"/>
    <w:rsid w:val="003D2177"/>
    <w:rsid w:val="003D24A7"/>
    <w:rsid w:val="003D3828"/>
    <w:rsid w:val="003D3ED0"/>
    <w:rsid w:val="003D461F"/>
    <w:rsid w:val="003D4799"/>
    <w:rsid w:val="003D50F9"/>
    <w:rsid w:val="003D66CD"/>
    <w:rsid w:val="003D7E0B"/>
    <w:rsid w:val="003F036D"/>
    <w:rsid w:val="003F1C2A"/>
    <w:rsid w:val="004103C4"/>
    <w:rsid w:val="00422DB6"/>
    <w:rsid w:val="00427695"/>
    <w:rsid w:val="00427B62"/>
    <w:rsid w:val="00433566"/>
    <w:rsid w:val="004338DD"/>
    <w:rsid w:val="00436C63"/>
    <w:rsid w:val="00436E52"/>
    <w:rsid w:val="004404C2"/>
    <w:rsid w:val="00444704"/>
    <w:rsid w:val="00457F4E"/>
    <w:rsid w:val="00460549"/>
    <w:rsid w:val="00461D2D"/>
    <w:rsid w:val="00462157"/>
    <w:rsid w:val="00466EDC"/>
    <w:rsid w:val="00467CF3"/>
    <w:rsid w:val="0047341B"/>
    <w:rsid w:val="00475E64"/>
    <w:rsid w:val="00476A33"/>
    <w:rsid w:val="00480169"/>
    <w:rsid w:val="00482C42"/>
    <w:rsid w:val="004852E4"/>
    <w:rsid w:val="0048685E"/>
    <w:rsid w:val="0049005B"/>
    <w:rsid w:val="0049512B"/>
    <w:rsid w:val="004951BD"/>
    <w:rsid w:val="00496161"/>
    <w:rsid w:val="00496199"/>
    <w:rsid w:val="0049690B"/>
    <w:rsid w:val="00497C2A"/>
    <w:rsid w:val="004A4A4D"/>
    <w:rsid w:val="004A6037"/>
    <w:rsid w:val="004A6A1C"/>
    <w:rsid w:val="004B1397"/>
    <w:rsid w:val="004B4B72"/>
    <w:rsid w:val="004B6CFA"/>
    <w:rsid w:val="004C0B26"/>
    <w:rsid w:val="004C19EE"/>
    <w:rsid w:val="004D1245"/>
    <w:rsid w:val="004D1316"/>
    <w:rsid w:val="004D16F6"/>
    <w:rsid w:val="004D41B4"/>
    <w:rsid w:val="004D5FD2"/>
    <w:rsid w:val="004D7F53"/>
    <w:rsid w:val="004E016F"/>
    <w:rsid w:val="004E0301"/>
    <w:rsid w:val="004E36BE"/>
    <w:rsid w:val="004E6C13"/>
    <w:rsid w:val="004F0B90"/>
    <w:rsid w:val="004F1D58"/>
    <w:rsid w:val="004F76AA"/>
    <w:rsid w:val="00500735"/>
    <w:rsid w:val="005012FB"/>
    <w:rsid w:val="00505ECE"/>
    <w:rsid w:val="00507291"/>
    <w:rsid w:val="00510543"/>
    <w:rsid w:val="00512A28"/>
    <w:rsid w:val="00515B36"/>
    <w:rsid w:val="00517992"/>
    <w:rsid w:val="005211C6"/>
    <w:rsid w:val="0053102B"/>
    <w:rsid w:val="00535B72"/>
    <w:rsid w:val="00535F11"/>
    <w:rsid w:val="00536AA9"/>
    <w:rsid w:val="00540669"/>
    <w:rsid w:val="00542991"/>
    <w:rsid w:val="00543A47"/>
    <w:rsid w:val="00544B19"/>
    <w:rsid w:val="00550583"/>
    <w:rsid w:val="00556F5A"/>
    <w:rsid w:val="00560AEA"/>
    <w:rsid w:val="00561919"/>
    <w:rsid w:val="00561A77"/>
    <w:rsid w:val="00570E94"/>
    <w:rsid w:val="005728FD"/>
    <w:rsid w:val="00576018"/>
    <w:rsid w:val="0057675B"/>
    <w:rsid w:val="00582FDA"/>
    <w:rsid w:val="00586F0D"/>
    <w:rsid w:val="0058741E"/>
    <w:rsid w:val="005879DB"/>
    <w:rsid w:val="00595D2C"/>
    <w:rsid w:val="005A6F81"/>
    <w:rsid w:val="005C3841"/>
    <w:rsid w:val="005C6D8F"/>
    <w:rsid w:val="005C7711"/>
    <w:rsid w:val="005C7FC7"/>
    <w:rsid w:val="005D5A83"/>
    <w:rsid w:val="005E014C"/>
    <w:rsid w:val="005E0155"/>
    <w:rsid w:val="005E28D1"/>
    <w:rsid w:val="005E595F"/>
    <w:rsid w:val="005E6BF6"/>
    <w:rsid w:val="005F1016"/>
    <w:rsid w:val="005F187A"/>
    <w:rsid w:val="005F1A50"/>
    <w:rsid w:val="005F2462"/>
    <w:rsid w:val="005F2929"/>
    <w:rsid w:val="005F73B7"/>
    <w:rsid w:val="005F7C6D"/>
    <w:rsid w:val="005F7E3B"/>
    <w:rsid w:val="00600CCD"/>
    <w:rsid w:val="0060539E"/>
    <w:rsid w:val="00610B76"/>
    <w:rsid w:val="00610C23"/>
    <w:rsid w:val="00612CB5"/>
    <w:rsid w:val="00612FB7"/>
    <w:rsid w:val="0061682E"/>
    <w:rsid w:val="00622249"/>
    <w:rsid w:val="006224FC"/>
    <w:rsid w:val="0062376D"/>
    <w:rsid w:val="00627930"/>
    <w:rsid w:val="00630EA0"/>
    <w:rsid w:val="006407A7"/>
    <w:rsid w:val="00641237"/>
    <w:rsid w:val="00641CDB"/>
    <w:rsid w:val="00642F21"/>
    <w:rsid w:val="0064391F"/>
    <w:rsid w:val="00644323"/>
    <w:rsid w:val="00650444"/>
    <w:rsid w:val="006506B3"/>
    <w:rsid w:val="006548BC"/>
    <w:rsid w:val="00656195"/>
    <w:rsid w:val="00660753"/>
    <w:rsid w:val="00660ADF"/>
    <w:rsid w:val="00661CDB"/>
    <w:rsid w:val="00662E13"/>
    <w:rsid w:val="00663563"/>
    <w:rsid w:val="00665BEE"/>
    <w:rsid w:val="006674AA"/>
    <w:rsid w:val="00667E1B"/>
    <w:rsid w:val="00667FCC"/>
    <w:rsid w:val="006709FD"/>
    <w:rsid w:val="00670CE2"/>
    <w:rsid w:val="006835E3"/>
    <w:rsid w:val="0068666D"/>
    <w:rsid w:val="00687A45"/>
    <w:rsid w:val="0069060B"/>
    <w:rsid w:val="00691F91"/>
    <w:rsid w:val="00693195"/>
    <w:rsid w:val="00694645"/>
    <w:rsid w:val="006973A3"/>
    <w:rsid w:val="006A0679"/>
    <w:rsid w:val="006A4803"/>
    <w:rsid w:val="006A5B47"/>
    <w:rsid w:val="006A67FF"/>
    <w:rsid w:val="006A7110"/>
    <w:rsid w:val="006A7ABB"/>
    <w:rsid w:val="006B2BFC"/>
    <w:rsid w:val="006B2E88"/>
    <w:rsid w:val="006B44A8"/>
    <w:rsid w:val="006B5189"/>
    <w:rsid w:val="006C10B2"/>
    <w:rsid w:val="006C3467"/>
    <w:rsid w:val="006C3FF3"/>
    <w:rsid w:val="006C6354"/>
    <w:rsid w:val="006D4FF1"/>
    <w:rsid w:val="006D63E1"/>
    <w:rsid w:val="006D6BF1"/>
    <w:rsid w:val="006E3280"/>
    <w:rsid w:val="006E5EFC"/>
    <w:rsid w:val="006F0933"/>
    <w:rsid w:val="006F11B3"/>
    <w:rsid w:val="006F1FA2"/>
    <w:rsid w:val="006F45F1"/>
    <w:rsid w:val="006F7FD0"/>
    <w:rsid w:val="00703724"/>
    <w:rsid w:val="00710C99"/>
    <w:rsid w:val="007129C3"/>
    <w:rsid w:val="00712AFD"/>
    <w:rsid w:val="00714B53"/>
    <w:rsid w:val="00722F49"/>
    <w:rsid w:val="00733A7D"/>
    <w:rsid w:val="0073741C"/>
    <w:rsid w:val="00741108"/>
    <w:rsid w:val="007411E7"/>
    <w:rsid w:val="007430CD"/>
    <w:rsid w:val="00747649"/>
    <w:rsid w:val="00750521"/>
    <w:rsid w:val="00750E20"/>
    <w:rsid w:val="0075146A"/>
    <w:rsid w:val="00752620"/>
    <w:rsid w:val="00752D27"/>
    <w:rsid w:val="007545E4"/>
    <w:rsid w:val="007569B3"/>
    <w:rsid w:val="00764AB2"/>
    <w:rsid w:val="00767F5C"/>
    <w:rsid w:val="007701C4"/>
    <w:rsid w:val="00775A98"/>
    <w:rsid w:val="00781808"/>
    <w:rsid w:val="00782D80"/>
    <w:rsid w:val="0078320D"/>
    <w:rsid w:val="00787E72"/>
    <w:rsid w:val="007907EA"/>
    <w:rsid w:val="0079428F"/>
    <w:rsid w:val="007949DA"/>
    <w:rsid w:val="00794E26"/>
    <w:rsid w:val="007B345D"/>
    <w:rsid w:val="007B37BF"/>
    <w:rsid w:val="007B3DD7"/>
    <w:rsid w:val="007B4B7B"/>
    <w:rsid w:val="007B4E26"/>
    <w:rsid w:val="007C08C9"/>
    <w:rsid w:val="007C0A03"/>
    <w:rsid w:val="007C10C5"/>
    <w:rsid w:val="007C1F2B"/>
    <w:rsid w:val="007C5DA3"/>
    <w:rsid w:val="007D0983"/>
    <w:rsid w:val="007D0C9C"/>
    <w:rsid w:val="007D1050"/>
    <w:rsid w:val="007D14AA"/>
    <w:rsid w:val="007D220C"/>
    <w:rsid w:val="007D2A51"/>
    <w:rsid w:val="007D401D"/>
    <w:rsid w:val="007D633A"/>
    <w:rsid w:val="007E2942"/>
    <w:rsid w:val="007E7789"/>
    <w:rsid w:val="007F0215"/>
    <w:rsid w:val="007F0AEF"/>
    <w:rsid w:val="007F28A4"/>
    <w:rsid w:val="007F534F"/>
    <w:rsid w:val="00800506"/>
    <w:rsid w:val="00801DCC"/>
    <w:rsid w:val="00803F19"/>
    <w:rsid w:val="00810528"/>
    <w:rsid w:val="008108E9"/>
    <w:rsid w:val="00815734"/>
    <w:rsid w:val="008167D2"/>
    <w:rsid w:val="00816926"/>
    <w:rsid w:val="008177D2"/>
    <w:rsid w:val="00820659"/>
    <w:rsid w:val="00820883"/>
    <w:rsid w:val="00824718"/>
    <w:rsid w:val="00827AAB"/>
    <w:rsid w:val="00841ACA"/>
    <w:rsid w:val="00847E71"/>
    <w:rsid w:val="00851576"/>
    <w:rsid w:val="008539E2"/>
    <w:rsid w:val="00856147"/>
    <w:rsid w:val="0086076D"/>
    <w:rsid w:val="00861CEB"/>
    <w:rsid w:val="00872530"/>
    <w:rsid w:val="00874973"/>
    <w:rsid w:val="00876100"/>
    <w:rsid w:val="0088165F"/>
    <w:rsid w:val="00884865"/>
    <w:rsid w:val="008900F8"/>
    <w:rsid w:val="0089257C"/>
    <w:rsid w:val="008A0C66"/>
    <w:rsid w:val="008B24AA"/>
    <w:rsid w:val="008B316C"/>
    <w:rsid w:val="008B4DA2"/>
    <w:rsid w:val="008B4E8E"/>
    <w:rsid w:val="008B57E9"/>
    <w:rsid w:val="008C2AF3"/>
    <w:rsid w:val="008C700B"/>
    <w:rsid w:val="008D0240"/>
    <w:rsid w:val="008D1CAE"/>
    <w:rsid w:val="008D3CFE"/>
    <w:rsid w:val="008D49C5"/>
    <w:rsid w:val="008E2495"/>
    <w:rsid w:val="008E3455"/>
    <w:rsid w:val="008E52DF"/>
    <w:rsid w:val="008F0837"/>
    <w:rsid w:val="008F2938"/>
    <w:rsid w:val="00902D6C"/>
    <w:rsid w:val="009037E9"/>
    <w:rsid w:val="009057FC"/>
    <w:rsid w:val="00913DCC"/>
    <w:rsid w:val="00920DE0"/>
    <w:rsid w:val="00927430"/>
    <w:rsid w:val="00934D5B"/>
    <w:rsid w:val="009360FA"/>
    <w:rsid w:val="009456E7"/>
    <w:rsid w:val="00947EFE"/>
    <w:rsid w:val="00960574"/>
    <w:rsid w:val="0096294C"/>
    <w:rsid w:val="00971477"/>
    <w:rsid w:val="009714D4"/>
    <w:rsid w:val="009753E3"/>
    <w:rsid w:val="0097790C"/>
    <w:rsid w:val="00977F36"/>
    <w:rsid w:val="00984BF0"/>
    <w:rsid w:val="00987986"/>
    <w:rsid w:val="00990C70"/>
    <w:rsid w:val="00990CD1"/>
    <w:rsid w:val="009927BC"/>
    <w:rsid w:val="009953D9"/>
    <w:rsid w:val="00996F3C"/>
    <w:rsid w:val="009A0BB1"/>
    <w:rsid w:val="009A101C"/>
    <w:rsid w:val="009A2240"/>
    <w:rsid w:val="009A2D11"/>
    <w:rsid w:val="009A3667"/>
    <w:rsid w:val="009A6A03"/>
    <w:rsid w:val="009A754E"/>
    <w:rsid w:val="009B1781"/>
    <w:rsid w:val="009B2040"/>
    <w:rsid w:val="009B275D"/>
    <w:rsid w:val="009B54EF"/>
    <w:rsid w:val="009C08EB"/>
    <w:rsid w:val="009C0BD7"/>
    <w:rsid w:val="009C2B9A"/>
    <w:rsid w:val="009D0583"/>
    <w:rsid w:val="009D144C"/>
    <w:rsid w:val="009D439D"/>
    <w:rsid w:val="009E0474"/>
    <w:rsid w:val="009E2C82"/>
    <w:rsid w:val="009E53E9"/>
    <w:rsid w:val="009E638D"/>
    <w:rsid w:val="009E6C90"/>
    <w:rsid w:val="009F0AAE"/>
    <w:rsid w:val="00A12E02"/>
    <w:rsid w:val="00A14396"/>
    <w:rsid w:val="00A155F8"/>
    <w:rsid w:val="00A17C62"/>
    <w:rsid w:val="00A2080D"/>
    <w:rsid w:val="00A20865"/>
    <w:rsid w:val="00A27912"/>
    <w:rsid w:val="00A32514"/>
    <w:rsid w:val="00A37875"/>
    <w:rsid w:val="00A40B8D"/>
    <w:rsid w:val="00A43229"/>
    <w:rsid w:val="00A44D37"/>
    <w:rsid w:val="00A457C1"/>
    <w:rsid w:val="00A47770"/>
    <w:rsid w:val="00A53298"/>
    <w:rsid w:val="00A53BB4"/>
    <w:rsid w:val="00A5538E"/>
    <w:rsid w:val="00A5664D"/>
    <w:rsid w:val="00A61116"/>
    <w:rsid w:val="00A61CFE"/>
    <w:rsid w:val="00A74C1A"/>
    <w:rsid w:val="00A81AA8"/>
    <w:rsid w:val="00A81C47"/>
    <w:rsid w:val="00A81D66"/>
    <w:rsid w:val="00A823D1"/>
    <w:rsid w:val="00A832CD"/>
    <w:rsid w:val="00A84F54"/>
    <w:rsid w:val="00A87386"/>
    <w:rsid w:val="00A90BFF"/>
    <w:rsid w:val="00A940F5"/>
    <w:rsid w:val="00A9456A"/>
    <w:rsid w:val="00A97E20"/>
    <w:rsid w:val="00AA0153"/>
    <w:rsid w:val="00AA765F"/>
    <w:rsid w:val="00AB2951"/>
    <w:rsid w:val="00AB3F3D"/>
    <w:rsid w:val="00AB41EF"/>
    <w:rsid w:val="00AB4795"/>
    <w:rsid w:val="00AB6AD5"/>
    <w:rsid w:val="00AC0029"/>
    <w:rsid w:val="00AC0463"/>
    <w:rsid w:val="00AC04B6"/>
    <w:rsid w:val="00AC579C"/>
    <w:rsid w:val="00AC665C"/>
    <w:rsid w:val="00AC7404"/>
    <w:rsid w:val="00AD3A6C"/>
    <w:rsid w:val="00AD575C"/>
    <w:rsid w:val="00AD5D6C"/>
    <w:rsid w:val="00AE04AD"/>
    <w:rsid w:val="00AE258F"/>
    <w:rsid w:val="00AE3BC1"/>
    <w:rsid w:val="00AE434B"/>
    <w:rsid w:val="00AE4DE8"/>
    <w:rsid w:val="00AE724B"/>
    <w:rsid w:val="00AF0349"/>
    <w:rsid w:val="00AF07C4"/>
    <w:rsid w:val="00AF197A"/>
    <w:rsid w:val="00B05C08"/>
    <w:rsid w:val="00B1136D"/>
    <w:rsid w:val="00B167BE"/>
    <w:rsid w:val="00B22CDB"/>
    <w:rsid w:val="00B27D97"/>
    <w:rsid w:val="00B31B67"/>
    <w:rsid w:val="00B35112"/>
    <w:rsid w:val="00B46AAA"/>
    <w:rsid w:val="00B47AC1"/>
    <w:rsid w:val="00B54345"/>
    <w:rsid w:val="00B5745D"/>
    <w:rsid w:val="00B6203B"/>
    <w:rsid w:val="00B6228F"/>
    <w:rsid w:val="00B63A2B"/>
    <w:rsid w:val="00B66BC8"/>
    <w:rsid w:val="00B67C7F"/>
    <w:rsid w:val="00B732CC"/>
    <w:rsid w:val="00B8536B"/>
    <w:rsid w:val="00B86335"/>
    <w:rsid w:val="00B90C59"/>
    <w:rsid w:val="00B9113F"/>
    <w:rsid w:val="00B921AC"/>
    <w:rsid w:val="00B92504"/>
    <w:rsid w:val="00B92C47"/>
    <w:rsid w:val="00B952EA"/>
    <w:rsid w:val="00B96480"/>
    <w:rsid w:val="00B96623"/>
    <w:rsid w:val="00BA3D18"/>
    <w:rsid w:val="00BA4D21"/>
    <w:rsid w:val="00BB0E4A"/>
    <w:rsid w:val="00BB328F"/>
    <w:rsid w:val="00BB6A65"/>
    <w:rsid w:val="00BB7367"/>
    <w:rsid w:val="00BC0CC2"/>
    <w:rsid w:val="00BC5485"/>
    <w:rsid w:val="00BC6878"/>
    <w:rsid w:val="00BD06E5"/>
    <w:rsid w:val="00BD1327"/>
    <w:rsid w:val="00BD5981"/>
    <w:rsid w:val="00BD5F08"/>
    <w:rsid w:val="00BE09E0"/>
    <w:rsid w:val="00BE26A8"/>
    <w:rsid w:val="00BE62CB"/>
    <w:rsid w:val="00BE6E4B"/>
    <w:rsid w:val="00BF158A"/>
    <w:rsid w:val="00C0195E"/>
    <w:rsid w:val="00C03663"/>
    <w:rsid w:val="00C06EAA"/>
    <w:rsid w:val="00C12E88"/>
    <w:rsid w:val="00C17A56"/>
    <w:rsid w:val="00C20702"/>
    <w:rsid w:val="00C24C82"/>
    <w:rsid w:val="00C306C5"/>
    <w:rsid w:val="00C32D21"/>
    <w:rsid w:val="00C36B07"/>
    <w:rsid w:val="00C5094B"/>
    <w:rsid w:val="00C529E0"/>
    <w:rsid w:val="00C60E52"/>
    <w:rsid w:val="00C627EA"/>
    <w:rsid w:val="00C72507"/>
    <w:rsid w:val="00C7362F"/>
    <w:rsid w:val="00C73840"/>
    <w:rsid w:val="00C73D61"/>
    <w:rsid w:val="00C75CA1"/>
    <w:rsid w:val="00C77D4D"/>
    <w:rsid w:val="00C82A14"/>
    <w:rsid w:val="00C84FF4"/>
    <w:rsid w:val="00C866DD"/>
    <w:rsid w:val="00C909FA"/>
    <w:rsid w:val="00C962B8"/>
    <w:rsid w:val="00CA6AC7"/>
    <w:rsid w:val="00CB0E6A"/>
    <w:rsid w:val="00CB27E8"/>
    <w:rsid w:val="00CB5DA6"/>
    <w:rsid w:val="00CB67E8"/>
    <w:rsid w:val="00CC443F"/>
    <w:rsid w:val="00CC4CB2"/>
    <w:rsid w:val="00CD6644"/>
    <w:rsid w:val="00CE0BB5"/>
    <w:rsid w:val="00CE1C6D"/>
    <w:rsid w:val="00CE3A48"/>
    <w:rsid w:val="00CE3D64"/>
    <w:rsid w:val="00CE5664"/>
    <w:rsid w:val="00CE75E9"/>
    <w:rsid w:val="00CF57F6"/>
    <w:rsid w:val="00D11C9F"/>
    <w:rsid w:val="00D127F7"/>
    <w:rsid w:val="00D14517"/>
    <w:rsid w:val="00D15448"/>
    <w:rsid w:val="00D205C1"/>
    <w:rsid w:val="00D20EAC"/>
    <w:rsid w:val="00D22188"/>
    <w:rsid w:val="00D256CF"/>
    <w:rsid w:val="00D257A6"/>
    <w:rsid w:val="00D25C9D"/>
    <w:rsid w:val="00D26AA6"/>
    <w:rsid w:val="00D31D32"/>
    <w:rsid w:val="00D34B6F"/>
    <w:rsid w:val="00D35D80"/>
    <w:rsid w:val="00D45092"/>
    <w:rsid w:val="00D51304"/>
    <w:rsid w:val="00D5313F"/>
    <w:rsid w:val="00D60441"/>
    <w:rsid w:val="00D63632"/>
    <w:rsid w:val="00D6479D"/>
    <w:rsid w:val="00D66DF9"/>
    <w:rsid w:val="00D670D5"/>
    <w:rsid w:val="00D7125E"/>
    <w:rsid w:val="00D7354E"/>
    <w:rsid w:val="00D74EEE"/>
    <w:rsid w:val="00D7625D"/>
    <w:rsid w:val="00D8289F"/>
    <w:rsid w:val="00D900D3"/>
    <w:rsid w:val="00D90D3A"/>
    <w:rsid w:val="00D97268"/>
    <w:rsid w:val="00DB023D"/>
    <w:rsid w:val="00DB196A"/>
    <w:rsid w:val="00DB6AE7"/>
    <w:rsid w:val="00DC33C2"/>
    <w:rsid w:val="00DC4202"/>
    <w:rsid w:val="00DC5B08"/>
    <w:rsid w:val="00DC5FAF"/>
    <w:rsid w:val="00DD0957"/>
    <w:rsid w:val="00DD2402"/>
    <w:rsid w:val="00DD4B4E"/>
    <w:rsid w:val="00DD5EBF"/>
    <w:rsid w:val="00DE2129"/>
    <w:rsid w:val="00DE4C06"/>
    <w:rsid w:val="00DE5658"/>
    <w:rsid w:val="00DE56C8"/>
    <w:rsid w:val="00DF0643"/>
    <w:rsid w:val="00DF1893"/>
    <w:rsid w:val="00DF34C2"/>
    <w:rsid w:val="00DF583D"/>
    <w:rsid w:val="00DF5AC6"/>
    <w:rsid w:val="00DF60C4"/>
    <w:rsid w:val="00DF73B2"/>
    <w:rsid w:val="00E0141E"/>
    <w:rsid w:val="00E01466"/>
    <w:rsid w:val="00E06DC1"/>
    <w:rsid w:val="00E1632E"/>
    <w:rsid w:val="00E16439"/>
    <w:rsid w:val="00E1701B"/>
    <w:rsid w:val="00E25AC4"/>
    <w:rsid w:val="00E25C18"/>
    <w:rsid w:val="00E26D77"/>
    <w:rsid w:val="00E302E5"/>
    <w:rsid w:val="00E34D2A"/>
    <w:rsid w:val="00E35F54"/>
    <w:rsid w:val="00E402DF"/>
    <w:rsid w:val="00E40853"/>
    <w:rsid w:val="00E40D16"/>
    <w:rsid w:val="00E43EC0"/>
    <w:rsid w:val="00E45BDE"/>
    <w:rsid w:val="00E56794"/>
    <w:rsid w:val="00E603A1"/>
    <w:rsid w:val="00E60596"/>
    <w:rsid w:val="00E61D3F"/>
    <w:rsid w:val="00E64149"/>
    <w:rsid w:val="00E6468E"/>
    <w:rsid w:val="00E66419"/>
    <w:rsid w:val="00E76CBF"/>
    <w:rsid w:val="00E864F8"/>
    <w:rsid w:val="00E86B0D"/>
    <w:rsid w:val="00E87ADC"/>
    <w:rsid w:val="00E904BF"/>
    <w:rsid w:val="00E92E4D"/>
    <w:rsid w:val="00EA1391"/>
    <w:rsid w:val="00EB512F"/>
    <w:rsid w:val="00EB5D05"/>
    <w:rsid w:val="00ED02C8"/>
    <w:rsid w:val="00ED2209"/>
    <w:rsid w:val="00EE590B"/>
    <w:rsid w:val="00EE59E3"/>
    <w:rsid w:val="00EE6603"/>
    <w:rsid w:val="00EE6A7D"/>
    <w:rsid w:val="00EE7969"/>
    <w:rsid w:val="00EF0394"/>
    <w:rsid w:val="00EF3E28"/>
    <w:rsid w:val="00EF742F"/>
    <w:rsid w:val="00F01570"/>
    <w:rsid w:val="00F031A4"/>
    <w:rsid w:val="00F04301"/>
    <w:rsid w:val="00F15809"/>
    <w:rsid w:val="00F1603D"/>
    <w:rsid w:val="00F17E55"/>
    <w:rsid w:val="00F22C20"/>
    <w:rsid w:val="00F25A7A"/>
    <w:rsid w:val="00F25C07"/>
    <w:rsid w:val="00F263E1"/>
    <w:rsid w:val="00F32BB6"/>
    <w:rsid w:val="00F33788"/>
    <w:rsid w:val="00F43AF6"/>
    <w:rsid w:val="00F51B18"/>
    <w:rsid w:val="00F53B5D"/>
    <w:rsid w:val="00F62D38"/>
    <w:rsid w:val="00F62D67"/>
    <w:rsid w:val="00F65C21"/>
    <w:rsid w:val="00F670D8"/>
    <w:rsid w:val="00F674ED"/>
    <w:rsid w:val="00F735F1"/>
    <w:rsid w:val="00F73D4C"/>
    <w:rsid w:val="00F80880"/>
    <w:rsid w:val="00F8165E"/>
    <w:rsid w:val="00F93043"/>
    <w:rsid w:val="00F94D33"/>
    <w:rsid w:val="00F966A3"/>
    <w:rsid w:val="00F96887"/>
    <w:rsid w:val="00F96BF8"/>
    <w:rsid w:val="00FA0E41"/>
    <w:rsid w:val="00FA36F6"/>
    <w:rsid w:val="00FA7440"/>
    <w:rsid w:val="00FB0AB9"/>
    <w:rsid w:val="00FB287D"/>
    <w:rsid w:val="00FB3674"/>
    <w:rsid w:val="00FB4266"/>
    <w:rsid w:val="00FC7676"/>
    <w:rsid w:val="00FD078F"/>
    <w:rsid w:val="00FD2639"/>
    <w:rsid w:val="00FE2AD0"/>
    <w:rsid w:val="00FE5BB6"/>
    <w:rsid w:val="00FE6D5D"/>
    <w:rsid w:val="00FF16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77"/>
    <w:rPr>
      <w:sz w:val="24"/>
      <w:szCs w:val="24"/>
      <w:lang w:eastAsia="en-US"/>
    </w:rPr>
  </w:style>
  <w:style w:type="paragraph" w:styleId="Heading1">
    <w:name w:val="heading 1"/>
    <w:basedOn w:val="Normal"/>
    <w:next w:val="Normal"/>
    <w:qFormat/>
    <w:rsid w:val="00561A77"/>
    <w:pPr>
      <w:keepNext/>
      <w:jc w:val="center"/>
      <w:outlineLvl w:val="0"/>
    </w:pPr>
    <w:rPr>
      <w:rFonts w:ascii="Arial" w:hAnsi="Arial" w:cs="Arial"/>
      <w:b/>
      <w:bCs/>
      <w:u w:val="single"/>
    </w:rPr>
  </w:style>
  <w:style w:type="paragraph" w:styleId="Heading2">
    <w:name w:val="heading 2"/>
    <w:basedOn w:val="Normal"/>
    <w:next w:val="Normal"/>
    <w:qFormat/>
    <w:rsid w:val="00561A77"/>
    <w:pPr>
      <w:keepNext/>
      <w:ind w:firstLine="72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1A77"/>
    <w:rPr>
      <w:rFonts w:ascii="Arial" w:hAnsi="Arial" w:cs="Arial"/>
      <w:b/>
      <w:bCs/>
      <w:i/>
      <w:iCs/>
    </w:rPr>
  </w:style>
  <w:style w:type="table" w:styleId="TableGrid">
    <w:name w:val="Table Grid"/>
    <w:basedOn w:val="TableNormal"/>
    <w:rsid w:val="00641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5664D"/>
    <w:pPr>
      <w:tabs>
        <w:tab w:val="center" w:pos="4320"/>
        <w:tab w:val="right" w:pos="8640"/>
      </w:tabs>
    </w:pPr>
  </w:style>
  <w:style w:type="character" w:styleId="PageNumber">
    <w:name w:val="page number"/>
    <w:basedOn w:val="DefaultParagraphFont"/>
    <w:rsid w:val="00A5664D"/>
  </w:style>
  <w:style w:type="paragraph" w:styleId="BalloonText">
    <w:name w:val="Balloon Text"/>
    <w:basedOn w:val="Normal"/>
    <w:semiHidden/>
    <w:rsid w:val="00B96623"/>
    <w:rPr>
      <w:rFonts w:ascii="Tahoma" w:hAnsi="Tahoma" w:cs="Tahoma"/>
      <w:sz w:val="16"/>
      <w:szCs w:val="16"/>
    </w:rPr>
  </w:style>
  <w:style w:type="paragraph" w:styleId="ListParagraph">
    <w:name w:val="List Paragraph"/>
    <w:basedOn w:val="Normal"/>
    <w:uiPriority w:val="34"/>
    <w:qFormat/>
    <w:rsid w:val="00CE75E9"/>
    <w:pPr>
      <w:ind w:left="720"/>
    </w:pPr>
  </w:style>
  <w:style w:type="character" w:styleId="CommentReference">
    <w:name w:val="annotation reference"/>
    <w:basedOn w:val="DefaultParagraphFont"/>
    <w:rsid w:val="007B3DD7"/>
    <w:rPr>
      <w:sz w:val="16"/>
      <w:szCs w:val="16"/>
    </w:rPr>
  </w:style>
  <w:style w:type="paragraph" w:styleId="CommentText">
    <w:name w:val="annotation text"/>
    <w:basedOn w:val="Normal"/>
    <w:link w:val="CommentTextChar"/>
    <w:rsid w:val="007B3DD7"/>
    <w:rPr>
      <w:sz w:val="20"/>
      <w:szCs w:val="20"/>
    </w:rPr>
  </w:style>
  <w:style w:type="character" w:customStyle="1" w:styleId="CommentTextChar">
    <w:name w:val="Comment Text Char"/>
    <w:basedOn w:val="DefaultParagraphFont"/>
    <w:link w:val="CommentText"/>
    <w:rsid w:val="007B3DD7"/>
    <w:rPr>
      <w:lang w:eastAsia="en-US"/>
    </w:rPr>
  </w:style>
  <w:style w:type="paragraph" w:styleId="CommentSubject">
    <w:name w:val="annotation subject"/>
    <w:basedOn w:val="CommentText"/>
    <w:next w:val="CommentText"/>
    <w:link w:val="CommentSubjectChar"/>
    <w:rsid w:val="007B3DD7"/>
    <w:rPr>
      <w:b/>
      <w:bCs/>
    </w:rPr>
  </w:style>
  <w:style w:type="character" w:customStyle="1" w:styleId="CommentSubjectChar">
    <w:name w:val="Comment Subject Char"/>
    <w:basedOn w:val="CommentTextChar"/>
    <w:link w:val="CommentSubject"/>
    <w:rsid w:val="007B3DD7"/>
    <w:rPr>
      <w:b/>
      <w:bCs/>
      <w:lang w:eastAsia="en-US"/>
    </w:rPr>
  </w:style>
  <w:style w:type="paragraph" w:styleId="Header">
    <w:name w:val="header"/>
    <w:basedOn w:val="Normal"/>
    <w:link w:val="HeaderChar"/>
    <w:uiPriority w:val="99"/>
    <w:rsid w:val="005F187A"/>
    <w:pPr>
      <w:tabs>
        <w:tab w:val="center" w:pos="4513"/>
        <w:tab w:val="right" w:pos="9026"/>
      </w:tabs>
    </w:pPr>
  </w:style>
  <w:style w:type="character" w:customStyle="1" w:styleId="HeaderChar">
    <w:name w:val="Header Char"/>
    <w:basedOn w:val="DefaultParagraphFont"/>
    <w:link w:val="Header"/>
    <w:uiPriority w:val="99"/>
    <w:rsid w:val="005F187A"/>
    <w:rPr>
      <w:sz w:val="24"/>
      <w:szCs w:val="24"/>
      <w:lang w:eastAsia="en-US"/>
    </w:rPr>
  </w:style>
  <w:style w:type="character" w:customStyle="1" w:styleId="FooterChar">
    <w:name w:val="Footer Char"/>
    <w:basedOn w:val="DefaultParagraphFont"/>
    <w:link w:val="Footer"/>
    <w:uiPriority w:val="99"/>
    <w:rsid w:val="005F187A"/>
    <w:rPr>
      <w:sz w:val="24"/>
      <w:szCs w:val="24"/>
      <w:lang w:eastAsia="en-US"/>
    </w:rPr>
  </w:style>
  <w:style w:type="character" w:styleId="Hyperlink">
    <w:name w:val="Hyperlink"/>
    <w:basedOn w:val="DefaultParagraphFont"/>
    <w:uiPriority w:val="99"/>
    <w:semiHidden/>
    <w:unhideWhenUsed/>
    <w:rsid w:val="00B90C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8774">
      <w:bodyDiv w:val="1"/>
      <w:marLeft w:val="0"/>
      <w:marRight w:val="0"/>
      <w:marTop w:val="0"/>
      <w:marBottom w:val="0"/>
      <w:divBdr>
        <w:top w:val="none" w:sz="0" w:space="0" w:color="auto"/>
        <w:left w:val="none" w:sz="0" w:space="0" w:color="auto"/>
        <w:bottom w:val="none" w:sz="0" w:space="0" w:color="auto"/>
        <w:right w:val="none" w:sz="0" w:space="0" w:color="auto"/>
      </w:divBdr>
    </w:div>
    <w:div w:id="36470430">
      <w:bodyDiv w:val="1"/>
      <w:marLeft w:val="0"/>
      <w:marRight w:val="0"/>
      <w:marTop w:val="0"/>
      <w:marBottom w:val="0"/>
      <w:divBdr>
        <w:top w:val="none" w:sz="0" w:space="0" w:color="auto"/>
        <w:left w:val="none" w:sz="0" w:space="0" w:color="auto"/>
        <w:bottom w:val="none" w:sz="0" w:space="0" w:color="auto"/>
        <w:right w:val="none" w:sz="0" w:space="0" w:color="auto"/>
      </w:divBdr>
    </w:div>
    <w:div w:id="76750818">
      <w:bodyDiv w:val="1"/>
      <w:marLeft w:val="0"/>
      <w:marRight w:val="0"/>
      <w:marTop w:val="0"/>
      <w:marBottom w:val="0"/>
      <w:divBdr>
        <w:top w:val="none" w:sz="0" w:space="0" w:color="auto"/>
        <w:left w:val="none" w:sz="0" w:space="0" w:color="auto"/>
        <w:bottom w:val="none" w:sz="0" w:space="0" w:color="auto"/>
        <w:right w:val="none" w:sz="0" w:space="0" w:color="auto"/>
      </w:divBdr>
    </w:div>
    <w:div w:id="103235128">
      <w:bodyDiv w:val="1"/>
      <w:marLeft w:val="0"/>
      <w:marRight w:val="0"/>
      <w:marTop w:val="0"/>
      <w:marBottom w:val="0"/>
      <w:divBdr>
        <w:top w:val="none" w:sz="0" w:space="0" w:color="auto"/>
        <w:left w:val="none" w:sz="0" w:space="0" w:color="auto"/>
        <w:bottom w:val="none" w:sz="0" w:space="0" w:color="auto"/>
        <w:right w:val="none" w:sz="0" w:space="0" w:color="auto"/>
      </w:divBdr>
    </w:div>
    <w:div w:id="196545426">
      <w:bodyDiv w:val="1"/>
      <w:marLeft w:val="0"/>
      <w:marRight w:val="0"/>
      <w:marTop w:val="0"/>
      <w:marBottom w:val="0"/>
      <w:divBdr>
        <w:top w:val="none" w:sz="0" w:space="0" w:color="auto"/>
        <w:left w:val="none" w:sz="0" w:space="0" w:color="auto"/>
        <w:bottom w:val="none" w:sz="0" w:space="0" w:color="auto"/>
        <w:right w:val="none" w:sz="0" w:space="0" w:color="auto"/>
      </w:divBdr>
    </w:div>
    <w:div w:id="229733724">
      <w:bodyDiv w:val="1"/>
      <w:marLeft w:val="0"/>
      <w:marRight w:val="0"/>
      <w:marTop w:val="0"/>
      <w:marBottom w:val="0"/>
      <w:divBdr>
        <w:top w:val="none" w:sz="0" w:space="0" w:color="auto"/>
        <w:left w:val="none" w:sz="0" w:space="0" w:color="auto"/>
        <w:bottom w:val="none" w:sz="0" w:space="0" w:color="auto"/>
        <w:right w:val="none" w:sz="0" w:space="0" w:color="auto"/>
      </w:divBdr>
    </w:div>
    <w:div w:id="237329336">
      <w:bodyDiv w:val="1"/>
      <w:marLeft w:val="0"/>
      <w:marRight w:val="0"/>
      <w:marTop w:val="0"/>
      <w:marBottom w:val="0"/>
      <w:divBdr>
        <w:top w:val="none" w:sz="0" w:space="0" w:color="auto"/>
        <w:left w:val="none" w:sz="0" w:space="0" w:color="auto"/>
        <w:bottom w:val="none" w:sz="0" w:space="0" w:color="auto"/>
        <w:right w:val="none" w:sz="0" w:space="0" w:color="auto"/>
      </w:divBdr>
    </w:div>
    <w:div w:id="251354251">
      <w:bodyDiv w:val="1"/>
      <w:marLeft w:val="0"/>
      <w:marRight w:val="0"/>
      <w:marTop w:val="0"/>
      <w:marBottom w:val="0"/>
      <w:divBdr>
        <w:top w:val="none" w:sz="0" w:space="0" w:color="auto"/>
        <w:left w:val="none" w:sz="0" w:space="0" w:color="auto"/>
        <w:bottom w:val="none" w:sz="0" w:space="0" w:color="auto"/>
        <w:right w:val="none" w:sz="0" w:space="0" w:color="auto"/>
      </w:divBdr>
    </w:div>
    <w:div w:id="269313702">
      <w:bodyDiv w:val="1"/>
      <w:marLeft w:val="0"/>
      <w:marRight w:val="0"/>
      <w:marTop w:val="0"/>
      <w:marBottom w:val="0"/>
      <w:divBdr>
        <w:top w:val="none" w:sz="0" w:space="0" w:color="auto"/>
        <w:left w:val="none" w:sz="0" w:space="0" w:color="auto"/>
        <w:bottom w:val="none" w:sz="0" w:space="0" w:color="auto"/>
        <w:right w:val="none" w:sz="0" w:space="0" w:color="auto"/>
      </w:divBdr>
    </w:div>
    <w:div w:id="459497484">
      <w:bodyDiv w:val="1"/>
      <w:marLeft w:val="0"/>
      <w:marRight w:val="0"/>
      <w:marTop w:val="0"/>
      <w:marBottom w:val="0"/>
      <w:divBdr>
        <w:top w:val="none" w:sz="0" w:space="0" w:color="auto"/>
        <w:left w:val="none" w:sz="0" w:space="0" w:color="auto"/>
        <w:bottom w:val="none" w:sz="0" w:space="0" w:color="auto"/>
        <w:right w:val="none" w:sz="0" w:space="0" w:color="auto"/>
      </w:divBdr>
    </w:div>
    <w:div w:id="474834963">
      <w:bodyDiv w:val="1"/>
      <w:marLeft w:val="0"/>
      <w:marRight w:val="0"/>
      <w:marTop w:val="0"/>
      <w:marBottom w:val="0"/>
      <w:divBdr>
        <w:top w:val="none" w:sz="0" w:space="0" w:color="auto"/>
        <w:left w:val="none" w:sz="0" w:space="0" w:color="auto"/>
        <w:bottom w:val="none" w:sz="0" w:space="0" w:color="auto"/>
        <w:right w:val="none" w:sz="0" w:space="0" w:color="auto"/>
      </w:divBdr>
    </w:div>
    <w:div w:id="482353868">
      <w:bodyDiv w:val="1"/>
      <w:marLeft w:val="0"/>
      <w:marRight w:val="0"/>
      <w:marTop w:val="0"/>
      <w:marBottom w:val="0"/>
      <w:divBdr>
        <w:top w:val="none" w:sz="0" w:space="0" w:color="auto"/>
        <w:left w:val="none" w:sz="0" w:space="0" w:color="auto"/>
        <w:bottom w:val="none" w:sz="0" w:space="0" w:color="auto"/>
        <w:right w:val="none" w:sz="0" w:space="0" w:color="auto"/>
      </w:divBdr>
    </w:div>
    <w:div w:id="515316091">
      <w:bodyDiv w:val="1"/>
      <w:marLeft w:val="0"/>
      <w:marRight w:val="0"/>
      <w:marTop w:val="0"/>
      <w:marBottom w:val="0"/>
      <w:divBdr>
        <w:top w:val="none" w:sz="0" w:space="0" w:color="auto"/>
        <w:left w:val="none" w:sz="0" w:space="0" w:color="auto"/>
        <w:bottom w:val="none" w:sz="0" w:space="0" w:color="auto"/>
        <w:right w:val="none" w:sz="0" w:space="0" w:color="auto"/>
      </w:divBdr>
    </w:div>
    <w:div w:id="580875798">
      <w:bodyDiv w:val="1"/>
      <w:marLeft w:val="0"/>
      <w:marRight w:val="0"/>
      <w:marTop w:val="0"/>
      <w:marBottom w:val="0"/>
      <w:divBdr>
        <w:top w:val="none" w:sz="0" w:space="0" w:color="auto"/>
        <w:left w:val="none" w:sz="0" w:space="0" w:color="auto"/>
        <w:bottom w:val="none" w:sz="0" w:space="0" w:color="auto"/>
        <w:right w:val="none" w:sz="0" w:space="0" w:color="auto"/>
      </w:divBdr>
    </w:div>
    <w:div w:id="585387935">
      <w:bodyDiv w:val="1"/>
      <w:marLeft w:val="0"/>
      <w:marRight w:val="0"/>
      <w:marTop w:val="0"/>
      <w:marBottom w:val="0"/>
      <w:divBdr>
        <w:top w:val="none" w:sz="0" w:space="0" w:color="auto"/>
        <w:left w:val="none" w:sz="0" w:space="0" w:color="auto"/>
        <w:bottom w:val="none" w:sz="0" w:space="0" w:color="auto"/>
        <w:right w:val="none" w:sz="0" w:space="0" w:color="auto"/>
      </w:divBdr>
    </w:div>
    <w:div w:id="698357394">
      <w:bodyDiv w:val="1"/>
      <w:marLeft w:val="0"/>
      <w:marRight w:val="0"/>
      <w:marTop w:val="0"/>
      <w:marBottom w:val="0"/>
      <w:divBdr>
        <w:top w:val="none" w:sz="0" w:space="0" w:color="auto"/>
        <w:left w:val="none" w:sz="0" w:space="0" w:color="auto"/>
        <w:bottom w:val="none" w:sz="0" w:space="0" w:color="auto"/>
        <w:right w:val="none" w:sz="0" w:space="0" w:color="auto"/>
      </w:divBdr>
    </w:div>
    <w:div w:id="713698345">
      <w:bodyDiv w:val="1"/>
      <w:marLeft w:val="0"/>
      <w:marRight w:val="0"/>
      <w:marTop w:val="0"/>
      <w:marBottom w:val="0"/>
      <w:divBdr>
        <w:top w:val="none" w:sz="0" w:space="0" w:color="auto"/>
        <w:left w:val="none" w:sz="0" w:space="0" w:color="auto"/>
        <w:bottom w:val="none" w:sz="0" w:space="0" w:color="auto"/>
        <w:right w:val="none" w:sz="0" w:space="0" w:color="auto"/>
      </w:divBdr>
    </w:div>
    <w:div w:id="779759463">
      <w:bodyDiv w:val="1"/>
      <w:marLeft w:val="0"/>
      <w:marRight w:val="0"/>
      <w:marTop w:val="0"/>
      <w:marBottom w:val="0"/>
      <w:divBdr>
        <w:top w:val="none" w:sz="0" w:space="0" w:color="auto"/>
        <w:left w:val="none" w:sz="0" w:space="0" w:color="auto"/>
        <w:bottom w:val="none" w:sz="0" w:space="0" w:color="auto"/>
        <w:right w:val="none" w:sz="0" w:space="0" w:color="auto"/>
      </w:divBdr>
    </w:div>
    <w:div w:id="842160026">
      <w:bodyDiv w:val="1"/>
      <w:marLeft w:val="0"/>
      <w:marRight w:val="0"/>
      <w:marTop w:val="0"/>
      <w:marBottom w:val="0"/>
      <w:divBdr>
        <w:top w:val="none" w:sz="0" w:space="0" w:color="auto"/>
        <w:left w:val="none" w:sz="0" w:space="0" w:color="auto"/>
        <w:bottom w:val="none" w:sz="0" w:space="0" w:color="auto"/>
        <w:right w:val="none" w:sz="0" w:space="0" w:color="auto"/>
      </w:divBdr>
    </w:div>
    <w:div w:id="944458279">
      <w:bodyDiv w:val="1"/>
      <w:marLeft w:val="0"/>
      <w:marRight w:val="0"/>
      <w:marTop w:val="0"/>
      <w:marBottom w:val="0"/>
      <w:divBdr>
        <w:top w:val="none" w:sz="0" w:space="0" w:color="auto"/>
        <w:left w:val="none" w:sz="0" w:space="0" w:color="auto"/>
        <w:bottom w:val="none" w:sz="0" w:space="0" w:color="auto"/>
        <w:right w:val="none" w:sz="0" w:space="0" w:color="auto"/>
      </w:divBdr>
    </w:div>
    <w:div w:id="1013535562">
      <w:bodyDiv w:val="1"/>
      <w:marLeft w:val="0"/>
      <w:marRight w:val="0"/>
      <w:marTop w:val="0"/>
      <w:marBottom w:val="0"/>
      <w:divBdr>
        <w:top w:val="none" w:sz="0" w:space="0" w:color="auto"/>
        <w:left w:val="none" w:sz="0" w:space="0" w:color="auto"/>
        <w:bottom w:val="none" w:sz="0" w:space="0" w:color="auto"/>
        <w:right w:val="none" w:sz="0" w:space="0" w:color="auto"/>
      </w:divBdr>
    </w:div>
    <w:div w:id="1141849993">
      <w:bodyDiv w:val="1"/>
      <w:marLeft w:val="0"/>
      <w:marRight w:val="0"/>
      <w:marTop w:val="0"/>
      <w:marBottom w:val="0"/>
      <w:divBdr>
        <w:top w:val="none" w:sz="0" w:space="0" w:color="auto"/>
        <w:left w:val="none" w:sz="0" w:space="0" w:color="auto"/>
        <w:bottom w:val="none" w:sz="0" w:space="0" w:color="auto"/>
        <w:right w:val="none" w:sz="0" w:space="0" w:color="auto"/>
      </w:divBdr>
    </w:div>
    <w:div w:id="1171330618">
      <w:bodyDiv w:val="1"/>
      <w:marLeft w:val="0"/>
      <w:marRight w:val="0"/>
      <w:marTop w:val="0"/>
      <w:marBottom w:val="0"/>
      <w:divBdr>
        <w:top w:val="none" w:sz="0" w:space="0" w:color="auto"/>
        <w:left w:val="none" w:sz="0" w:space="0" w:color="auto"/>
        <w:bottom w:val="none" w:sz="0" w:space="0" w:color="auto"/>
        <w:right w:val="none" w:sz="0" w:space="0" w:color="auto"/>
      </w:divBdr>
    </w:div>
    <w:div w:id="1179155508">
      <w:bodyDiv w:val="1"/>
      <w:marLeft w:val="0"/>
      <w:marRight w:val="0"/>
      <w:marTop w:val="0"/>
      <w:marBottom w:val="0"/>
      <w:divBdr>
        <w:top w:val="none" w:sz="0" w:space="0" w:color="auto"/>
        <w:left w:val="none" w:sz="0" w:space="0" w:color="auto"/>
        <w:bottom w:val="none" w:sz="0" w:space="0" w:color="auto"/>
        <w:right w:val="none" w:sz="0" w:space="0" w:color="auto"/>
      </w:divBdr>
    </w:div>
    <w:div w:id="1304584895">
      <w:bodyDiv w:val="1"/>
      <w:marLeft w:val="0"/>
      <w:marRight w:val="0"/>
      <w:marTop w:val="0"/>
      <w:marBottom w:val="0"/>
      <w:divBdr>
        <w:top w:val="none" w:sz="0" w:space="0" w:color="auto"/>
        <w:left w:val="none" w:sz="0" w:space="0" w:color="auto"/>
        <w:bottom w:val="none" w:sz="0" w:space="0" w:color="auto"/>
        <w:right w:val="none" w:sz="0" w:space="0" w:color="auto"/>
      </w:divBdr>
    </w:div>
    <w:div w:id="1388066980">
      <w:bodyDiv w:val="1"/>
      <w:marLeft w:val="0"/>
      <w:marRight w:val="0"/>
      <w:marTop w:val="0"/>
      <w:marBottom w:val="0"/>
      <w:divBdr>
        <w:top w:val="none" w:sz="0" w:space="0" w:color="auto"/>
        <w:left w:val="none" w:sz="0" w:space="0" w:color="auto"/>
        <w:bottom w:val="none" w:sz="0" w:space="0" w:color="auto"/>
        <w:right w:val="none" w:sz="0" w:space="0" w:color="auto"/>
      </w:divBdr>
    </w:div>
    <w:div w:id="1530752291">
      <w:bodyDiv w:val="1"/>
      <w:marLeft w:val="0"/>
      <w:marRight w:val="0"/>
      <w:marTop w:val="0"/>
      <w:marBottom w:val="0"/>
      <w:divBdr>
        <w:top w:val="none" w:sz="0" w:space="0" w:color="auto"/>
        <w:left w:val="none" w:sz="0" w:space="0" w:color="auto"/>
        <w:bottom w:val="none" w:sz="0" w:space="0" w:color="auto"/>
        <w:right w:val="none" w:sz="0" w:space="0" w:color="auto"/>
      </w:divBdr>
    </w:div>
    <w:div w:id="1546912996">
      <w:bodyDiv w:val="1"/>
      <w:marLeft w:val="0"/>
      <w:marRight w:val="0"/>
      <w:marTop w:val="0"/>
      <w:marBottom w:val="0"/>
      <w:divBdr>
        <w:top w:val="none" w:sz="0" w:space="0" w:color="auto"/>
        <w:left w:val="none" w:sz="0" w:space="0" w:color="auto"/>
        <w:bottom w:val="none" w:sz="0" w:space="0" w:color="auto"/>
        <w:right w:val="none" w:sz="0" w:space="0" w:color="auto"/>
      </w:divBdr>
    </w:div>
    <w:div w:id="1665740127">
      <w:bodyDiv w:val="1"/>
      <w:marLeft w:val="0"/>
      <w:marRight w:val="0"/>
      <w:marTop w:val="0"/>
      <w:marBottom w:val="0"/>
      <w:divBdr>
        <w:top w:val="none" w:sz="0" w:space="0" w:color="auto"/>
        <w:left w:val="none" w:sz="0" w:space="0" w:color="auto"/>
        <w:bottom w:val="none" w:sz="0" w:space="0" w:color="auto"/>
        <w:right w:val="none" w:sz="0" w:space="0" w:color="auto"/>
      </w:divBdr>
    </w:div>
    <w:div w:id="1717508124">
      <w:bodyDiv w:val="1"/>
      <w:marLeft w:val="0"/>
      <w:marRight w:val="0"/>
      <w:marTop w:val="0"/>
      <w:marBottom w:val="0"/>
      <w:divBdr>
        <w:top w:val="none" w:sz="0" w:space="0" w:color="auto"/>
        <w:left w:val="none" w:sz="0" w:space="0" w:color="auto"/>
        <w:bottom w:val="none" w:sz="0" w:space="0" w:color="auto"/>
        <w:right w:val="none" w:sz="0" w:space="0" w:color="auto"/>
      </w:divBdr>
    </w:div>
    <w:div w:id="1761833818">
      <w:bodyDiv w:val="1"/>
      <w:marLeft w:val="0"/>
      <w:marRight w:val="0"/>
      <w:marTop w:val="0"/>
      <w:marBottom w:val="0"/>
      <w:divBdr>
        <w:top w:val="none" w:sz="0" w:space="0" w:color="auto"/>
        <w:left w:val="none" w:sz="0" w:space="0" w:color="auto"/>
        <w:bottom w:val="none" w:sz="0" w:space="0" w:color="auto"/>
        <w:right w:val="none" w:sz="0" w:space="0" w:color="auto"/>
      </w:divBdr>
    </w:div>
    <w:div w:id="1765805557">
      <w:bodyDiv w:val="1"/>
      <w:marLeft w:val="0"/>
      <w:marRight w:val="0"/>
      <w:marTop w:val="0"/>
      <w:marBottom w:val="0"/>
      <w:divBdr>
        <w:top w:val="none" w:sz="0" w:space="0" w:color="auto"/>
        <w:left w:val="none" w:sz="0" w:space="0" w:color="auto"/>
        <w:bottom w:val="none" w:sz="0" w:space="0" w:color="auto"/>
        <w:right w:val="none" w:sz="0" w:space="0" w:color="auto"/>
      </w:divBdr>
    </w:div>
    <w:div w:id="1797796117">
      <w:bodyDiv w:val="1"/>
      <w:marLeft w:val="0"/>
      <w:marRight w:val="0"/>
      <w:marTop w:val="0"/>
      <w:marBottom w:val="0"/>
      <w:divBdr>
        <w:top w:val="none" w:sz="0" w:space="0" w:color="auto"/>
        <w:left w:val="none" w:sz="0" w:space="0" w:color="auto"/>
        <w:bottom w:val="none" w:sz="0" w:space="0" w:color="auto"/>
        <w:right w:val="none" w:sz="0" w:space="0" w:color="auto"/>
      </w:divBdr>
    </w:div>
    <w:div w:id="1901943191">
      <w:bodyDiv w:val="1"/>
      <w:marLeft w:val="0"/>
      <w:marRight w:val="0"/>
      <w:marTop w:val="0"/>
      <w:marBottom w:val="0"/>
      <w:divBdr>
        <w:top w:val="none" w:sz="0" w:space="0" w:color="auto"/>
        <w:left w:val="none" w:sz="0" w:space="0" w:color="auto"/>
        <w:bottom w:val="none" w:sz="0" w:space="0" w:color="auto"/>
        <w:right w:val="none" w:sz="0" w:space="0" w:color="auto"/>
      </w:divBdr>
    </w:div>
    <w:div w:id="1998070767">
      <w:bodyDiv w:val="1"/>
      <w:marLeft w:val="0"/>
      <w:marRight w:val="0"/>
      <w:marTop w:val="0"/>
      <w:marBottom w:val="0"/>
      <w:divBdr>
        <w:top w:val="none" w:sz="0" w:space="0" w:color="auto"/>
        <w:left w:val="none" w:sz="0" w:space="0" w:color="auto"/>
        <w:bottom w:val="none" w:sz="0" w:space="0" w:color="auto"/>
        <w:right w:val="none" w:sz="0" w:space="0" w:color="auto"/>
      </w:divBdr>
    </w:div>
    <w:div w:id="2008627214">
      <w:bodyDiv w:val="1"/>
      <w:marLeft w:val="0"/>
      <w:marRight w:val="0"/>
      <w:marTop w:val="0"/>
      <w:marBottom w:val="0"/>
      <w:divBdr>
        <w:top w:val="none" w:sz="0" w:space="0" w:color="auto"/>
        <w:left w:val="none" w:sz="0" w:space="0" w:color="auto"/>
        <w:bottom w:val="none" w:sz="0" w:space="0" w:color="auto"/>
        <w:right w:val="none" w:sz="0" w:space="0" w:color="auto"/>
      </w:divBdr>
    </w:div>
    <w:div w:id="2035305884">
      <w:bodyDiv w:val="1"/>
      <w:marLeft w:val="0"/>
      <w:marRight w:val="0"/>
      <w:marTop w:val="0"/>
      <w:marBottom w:val="0"/>
      <w:divBdr>
        <w:top w:val="none" w:sz="0" w:space="0" w:color="auto"/>
        <w:left w:val="none" w:sz="0" w:space="0" w:color="auto"/>
        <w:bottom w:val="none" w:sz="0" w:space="0" w:color="auto"/>
        <w:right w:val="none" w:sz="0" w:space="0" w:color="auto"/>
      </w:divBdr>
    </w:div>
    <w:div w:id="2057314136">
      <w:bodyDiv w:val="1"/>
      <w:marLeft w:val="0"/>
      <w:marRight w:val="0"/>
      <w:marTop w:val="0"/>
      <w:marBottom w:val="0"/>
      <w:divBdr>
        <w:top w:val="none" w:sz="0" w:space="0" w:color="auto"/>
        <w:left w:val="none" w:sz="0" w:space="0" w:color="auto"/>
        <w:bottom w:val="none" w:sz="0" w:space="0" w:color="auto"/>
        <w:right w:val="none" w:sz="0" w:space="0" w:color="auto"/>
      </w:divBdr>
    </w:div>
    <w:div w:id="2061897680">
      <w:bodyDiv w:val="1"/>
      <w:marLeft w:val="0"/>
      <w:marRight w:val="0"/>
      <w:marTop w:val="0"/>
      <w:marBottom w:val="0"/>
      <w:divBdr>
        <w:top w:val="none" w:sz="0" w:space="0" w:color="auto"/>
        <w:left w:val="none" w:sz="0" w:space="0" w:color="auto"/>
        <w:bottom w:val="none" w:sz="0" w:space="0" w:color="auto"/>
        <w:right w:val="none" w:sz="0" w:space="0" w:color="auto"/>
      </w:divBdr>
    </w:div>
    <w:div w:id="2086759695">
      <w:bodyDiv w:val="1"/>
      <w:marLeft w:val="0"/>
      <w:marRight w:val="0"/>
      <w:marTop w:val="0"/>
      <w:marBottom w:val="0"/>
      <w:divBdr>
        <w:top w:val="none" w:sz="0" w:space="0" w:color="auto"/>
        <w:left w:val="none" w:sz="0" w:space="0" w:color="auto"/>
        <w:bottom w:val="none" w:sz="0" w:space="0" w:color="auto"/>
        <w:right w:val="none" w:sz="0" w:space="0" w:color="auto"/>
      </w:divBdr>
    </w:div>
    <w:div w:id="2097942127">
      <w:bodyDiv w:val="1"/>
      <w:marLeft w:val="0"/>
      <w:marRight w:val="0"/>
      <w:marTop w:val="0"/>
      <w:marBottom w:val="0"/>
      <w:divBdr>
        <w:top w:val="none" w:sz="0" w:space="0" w:color="auto"/>
        <w:left w:val="none" w:sz="0" w:space="0" w:color="auto"/>
        <w:bottom w:val="none" w:sz="0" w:space="0" w:color="auto"/>
        <w:right w:val="none" w:sz="0" w:space="0" w:color="auto"/>
      </w:divBdr>
    </w:div>
    <w:div w:id="2128043546">
      <w:bodyDiv w:val="1"/>
      <w:marLeft w:val="0"/>
      <w:marRight w:val="0"/>
      <w:marTop w:val="0"/>
      <w:marBottom w:val="0"/>
      <w:divBdr>
        <w:top w:val="none" w:sz="0" w:space="0" w:color="auto"/>
        <w:left w:val="none" w:sz="0" w:space="0" w:color="auto"/>
        <w:bottom w:val="none" w:sz="0" w:space="0" w:color="auto"/>
        <w:right w:val="none" w:sz="0" w:space="0" w:color="auto"/>
      </w:divBdr>
    </w:div>
    <w:div w:id="21337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buying-for-sch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E0EE0-A4B2-4EAC-B862-E81CF76B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Report to Hartlepool Schools Forum 28th February 2007</vt:lpstr>
    </vt:vector>
  </TitlesOfParts>
  <Company>Hartlepool BC</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28th February 2007</dc:title>
  <dc:creator>ECRSAV</dc:creator>
  <cp:lastModifiedBy>CEMSEL</cp:lastModifiedBy>
  <cp:revision>2</cp:revision>
  <cp:lastPrinted>2018-05-02T17:36:00Z</cp:lastPrinted>
  <dcterms:created xsi:type="dcterms:W3CDTF">2019-04-30T15:00:00Z</dcterms:created>
  <dcterms:modified xsi:type="dcterms:W3CDTF">2019-04-30T15:00:00Z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-886163096</vt:i4>
  </property>
  <property fmtid="{D5CDD505-2E9C-101B-9397-08002B2CF9AE}" pid="3" name="_NewReviewCycle">
    <vt:lpwstr/>
  </property>
  <property fmtid="{D5CDD505-2E9C-101B-9397-08002B2CF9AE}" pid="4" name="_EmailSubject">
    <vt:lpwstr>Schools Forum -  7 May 2019</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-47833827</vt:i4>
  </property>
</Properties>
</file>