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F0" w:rsidRPr="00107F84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344F51">
        <w:rPr>
          <w:rFonts w:ascii="Arial" w:hAnsi="Arial" w:cs="Arial"/>
          <w:b/>
          <w:bCs/>
        </w:rPr>
        <w:t>05 February</w:t>
      </w:r>
      <w:r w:rsidR="009877BD">
        <w:rPr>
          <w:rFonts w:ascii="Arial" w:hAnsi="Arial" w:cs="Arial"/>
          <w:b/>
          <w:bCs/>
        </w:rPr>
        <w:t xml:space="preserve"> 20</w:t>
      </w:r>
      <w:r w:rsidR="00344F51">
        <w:rPr>
          <w:rFonts w:ascii="Arial" w:hAnsi="Arial" w:cs="Arial"/>
          <w:b/>
          <w:bCs/>
        </w:rPr>
        <w:t>20</w:t>
      </w:r>
    </w:p>
    <w:p w:rsidR="003871F0" w:rsidRPr="00BD5981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9877BD">
        <w:rPr>
          <w:rFonts w:ascii="Arial" w:hAnsi="Arial" w:cs="Arial"/>
          <w:b/>
          <w:bCs/>
        </w:rPr>
        <w:t>Amanda Whitehead</w:t>
      </w:r>
      <w:r>
        <w:rPr>
          <w:rFonts w:ascii="Arial" w:hAnsi="Arial" w:cs="Arial"/>
          <w:b/>
          <w:bCs/>
        </w:rPr>
        <w:t xml:space="preserve"> – Assistant Director Education</w:t>
      </w:r>
    </w:p>
    <w:p w:rsidR="001F2A93" w:rsidRDefault="001F2A93"/>
    <w:p w:rsidR="003871F0" w:rsidRDefault="00E471C6" w:rsidP="003871F0">
      <w:pPr>
        <w:jc w:val="center"/>
        <w:rPr>
          <w:rFonts w:ascii="Arial" w:hAnsi="Arial" w:cs="Arial"/>
          <w:b/>
          <w:u w:val="single"/>
        </w:rPr>
      </w:pPr>
      <w:r w:rsidRPr="005D373C">
        <w:rPr>
          <w:rFonts w:ascii="Arial" w:hAnsi="Arial" w:cs="Arial"/>
          <w:b/>
          <w:u w:val="single"/>
        </w:rPr>
        <w:t xml:space="preserve">Item </w:t>
      </w:r>
      <w:r w:rsidR="00CC3E88">
        <w:rPr>
          <w:rFonts w:ascii="Arial" w:hAnsi="Arial" w:cs="Arial"/>
          <w:b/>
          <w:u w:val="single"/>
        </w:rPr>
        <w:t>8</w:t>
      </w:r>
      <w:r w:rsidRPr="005D373C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="00C01C8B">
        <w:rPr>
          <w:rFonts w:ascii="Arial" w:hAnsi="Arial" w:cs="Arial"/>
          <w:b/>
          <w:u w:val="single"/>
        </w:rPr>
        <w:t>School Block Budget Update</w:t>
      </w:r>
      <w:r w:rsidR="009877BD">
        <w:rPr>
          <w:rFonts w:ascii="Arial" w:hAnsi="Arial" w:cs="Arial"/>
          <w:b/>
          <w:u w:val="single"/>
        </w:rPr>
        <w:t xml:space="preserve"> 2020/21</w:t>
      </w:r>
    </w:p>
    <w:p w:rsidR="003871F0" w:rsidRDefault="003871F0" w:rsidP="003871F0">
      <w:pPr>
        <w:jc w:val="center"/>
        <w:rPr>
          <w:rFonts w:ascii="Arial" w:hAnsi="Arial" w:cs="Arial"/>
          <w:b/>
          <w:u w:val="single"/>
        </w:rPr>
      </w:pPr>
    </w:p>
    <w:p w:rsidR="003871F0" w:rsidRPr="003871F0" w:rsidRDefault="003871F0" w:rsidP="002F069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Introduction</w:t>
      </w:r>
    </w:p>
    <w:p w:rsidR="009357D5" w:rsidRDefault="009357D5" w:rsidP="003871F0">
      <w:pPr>
        <w:ind w:left="360"/>
        <w:rPr>
          <w:rFonts w:ascii="Arial" w:hAnsi="Arial" w:cs="Arial"/>
        </w:rPr>
      </w:pPr>
    </w:p>
    <w:p w:rsidR="005F7375" w:rsidRDefault="00FA6DC9" w:rsidP="005F7375">
      <w:pPr>
        <w:pStyle w:val="ListParagraph"/>
        <w:numPr>
          <w:ilvl w:val="1"/>
          <w:numId w:val="1"/>
        </w:numPr>
        <w:spacing w:after="240"/>
        <w:ind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Schools’ Forum </w:t>
      </w:r>
      <w:r w:rsidR="00C01C8B">
        <w:rPr>
          <w:rFonts w:ascii="Arial" w:hAnsi="Arial" w:cs="Arial"/>
        </w:rPr>
        <w:t>received information on indicative school block budgets for 2020/21 at their meeting on 8 November 2019.</w:t>
      </w:r>
    </w:p>
    <w:p w:rsidR="006722AB" w:rsidRDefault="005F7375" w:rsidP="005F7375">
      <w:pPr>
        <w:pStyle w:val="ListParagraph"/>
        <w:spacing w:after="240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A6DC9" w:rsidRPr="00CF1F83" w:rsidRDefault="00C01C8B" w:rsidP="004A6AA8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ESFA published updated allocations </w:t>
      </w:r>
      <w:r w:rsidR="00344F51">
        <w:rPr>
          <w:rFonts w:ascii="Arial" w:hAnsi="Arial" w:cs="Arial"/>
        </w:rPr>
        <w:t>on 19</w:t>
      </w:r>
      <w:r>
        <w:rPr>
          <w:rFonts w:ascii="Arial" w:hAnsi="Arial" w:cs="Arial"/>
        </w:rPr>
        <w:t xml:space="preserve"> December 2019 to reflect changes in the October 2019 census.</w:t>
      </w:r>
    </w:p>
    <w:p w:rsidR="00FA6DC9" w:rsidRPr="00FA6DC9" w:rsidRDefault="00FA6DC9" w:rsidP="00FA6DC9">
      <w:pPr>
        <w:pStyle w:val="ListParagraph"/>
        <w:rPr>
          <w:rFonts w:ascii="Arial" w:hAnsi="Arial" w:cs="Arial"/>
        </w:rPr>
      </w:pPr>
    </w:p>
    <w:p w:rsidR="00FA6DC9" w:rsidRDefault="00C01C8B" w:rsidP="006732F1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Funding for the schools block in 2020/21 was also dependent upon the outcomes of two disapplication requests submitted to the Secretary of State – firstly, a request to transfer £0.550m to the high needs block and secondly, to allow the council to levy the £60 per pupil charge to maintained schools to cover former Education Services Grant (ESG) activities.</w:t>
      </w:r>
    </w:p>
    <w:p w:rsidR="00C01C8B" w:rsidRPr="00C01C8B" w:rsidRDefault="00C01C8B" w:rsidP="00C01C8B">
      <w:pPr>
        <w:pStyle w:val="ListParagraph"/>
        <w:rPr>
          <w:rFonts w:ascii="Arial" w:hAnsi="Arial" w:cs="Arial"/>
        </w:rPr>
      </w:pPr>
    </w:p>
    <w:p w:rsidR="00C01C8B" w:rsidRDefault="00C01C8B" w:rsidP="006732F1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The Secretary of State has responded to both disapplication requests. The levy of the £60 per pupil ESG charge has been approved. The high needs block transfer amount has not been approved, although a reduced transfer of 0.5% has been proposed as an amendment</w:t>
      </w:r>
      <w:r w:rsidR="00B86AFC">
        <w:rPr>
          <w:rFonts w:ascii="Arial" w:hAnsi="Arial" w:cs="Arial"/>
        </w:rPr>
        <w:t xml:space="preserve"> (subject to a vote by Schools’ Forum in a separate report item at this meeting)</w:t>
      </w:r>
      <w:r>
        <w:rPr>
          <w:rFonts w:ascii="Arial" w:hAnsi="Arial" w:cs="Arial"/>
        </w:rPr>
        <w:t>.</w:t>
      </w:r>
    </w:p>
    <w:p w:rsidR="00851211" w:rsidRPr="00851211" w:rsidRDefault="00851211" w:rsidP="00851211">
      <w:pPr>
        <w:pStyle w:val="ListParagraph"/>
        <w:rPr>
          <w:rFonts w:ascii="Arial" w:hAnsi="Arial" w:cs="Arial"/>
        </w:rPr>
      </w:pPr>
    </w:p>
    <w:p w:rsidR="006722AB" w:rsidRPr="00851211" w:rsidRDefault="00851211" w:rsidP="003C5B0C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 w:rsidRPr="00851211">
        <w:rPr>
          <w:rFonts w:ascii="Arial" w:hAnsi="Arial" w:cs="Arial"/>
        </w:rPr>
        <w:t>This report provides an updated school block allocation to reflect the updated allocations published by ESFA, along with the outcome of the two disapplication requests.</w:t>
      </w:r>
    </w:p>
    <w:p w:rsidR="001A384A" w:rsidRPr="006722AB" w:rsidRDefault="001A384A" w:rsidP="006722AB">
      <w:pPr>
        <w:rPr>
          <w:rFonts w:ascii="Arial" w:hAnsi="Arial" w:cs="Arial"/>
        </w:rPr>
      </w:pPr>
    </w:p>
    <w:p w:rsidR="003871F0" w:rsidRDefault="003871F0" w:rsidP="002F069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 w:rsidRPr="003871F0">
        <w:rPr>
          <w:rFonts w:ascii="Arial" w:hAnsi="Arial" w:cs="Arial"/>
          <w:b/>
          <w:u w:val="single"/>
        </w:rPr>
        <w:t>Background</w:t>
      </w:r>
    </w:p>
    <w:p w:rsidR="009357D5" w:rsidRDefault="009357D5" w:rsidP="009357D5">
      <w:pPr>
        <w:pStyle w:val="ListParagraph"/>
        <w:rPr>
          <w:rFonts w:ascii="Arial" w:hAnsi="Arial" w:cs="Arial"/>
          <w:b/>
          <w:u w:val="single"/>
        </w:rPr>
      </w:pPr>
    </w:p>
    <w:p w:rsidR="00FE198E" w:rsidRPr="00FA6DC9" w:rsidRDefault="00851211" w:rsidP="00876D9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The indicative allocations from ESFA are updated each year to reflect the latest October census data and pupil characteristics. The updates were published in December 2019.</w:t>
      </w:r>
      <w:r w:rsidR="00367800">
        <w:rPr>
          <w:rFonts w:ascii="Arial" w:hAnsi="Arial" w:cs="Arial"/>
        </w:rPr>
        <w:t xml:space="preserve"> The December updates also confirmed growth funding for 2020/21 (excluded from the indicative allocations published in October 2019).</w:t>
      </w:r>
    </w:p>
    <w:p w:rsidR="00FA6DC9" w:rsidRPr="00FA6DC9" w:rsidRDefault="00FA6DC9" w:rsidP="00FA6DC9">
      <w:pPr>
        <w:pStyle w:val="ListParagraph"/>
        <w:ind w:left="786"/>
        <w:rPr>
          <w:rFonts w:ascii="Arial" w:hAnsi="Arial" w:cs="Arial"/>
          <w:color w:val="FF0000"/>
        </w:rPr>
      </w:pPr>
    </w:p>
    <w:p w:rsidR="00FA6DC9" w:rsidRPr="00FA6DC9" w:rsidRDefault="00851211" w:rsidP="00876D9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Schools’ Forum agreed to transfer the residual funding (after meeting approved </w:t>
      </w:r>
      <w:proofErr w:type="gramStart"/>
      <w:r>
        <w:rPr>
          <w:rFonts w:ascii="Arial" w:hAnsi="Arial" w:cs="Arial"/>
        </w:rPr>
        <w:t>financial</w:t>
      </w:r>
      <w:proofErr w:type="gramEnd"/>
      <w:r>
        <w:rPr>
          <w:rFonts w:ascii="Arial" w:hAnsi="Arial" w:cs="Arial"/>
        </w:rPr>
        <w:t xml:space="preserve"> commitments) from the Central School Services Block (CSSB) to the schools block in 2020/21 at their meeting of 8 November 2019. </w:t>
      </w:r>
    </w:p>
    <w:p w:rsidR="00FA6DC9" w:rsidRPr="00FA6DC9" w:rsidRDefault="00FA6DC9" w:rsidP="00FA6DC9">
      <w:pPr>
        <w:pStyle w:val="ListParagraph"/>
        <w:rPr>
          <w:rFonts w:ascii="Arial" w:hAnsi="Arial" w:cs="Arial"/>
          <w:color w:val="FF0000"/>
        </w:rPr>
      </w:pPr>
    </w:p>
    <w:p w:rsidR="00FA6DC9" w:rsidRDefault="00851211" w:rsidP="00876D9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At their meeting on 26 November 2019, Schools’ Forum agreed to set a local MFG at the maximum allowed of +1.84%.</w:t>
      </w:r>
    </w:p>
    <w:p w:rsidR="001A384A" w:rsidRPr="001A384A" w:rsidRDefault="001A384A" w:rsidP="001A384A">
      <w:pPr>
        <w:pStyle w:val="ListParagraph"/>
        <w:rPr>
          <w:rFonts w:ascii="Arial" w:hAnsi="Arial" w:cs="Arial"/>
        </w:rPr>
      </w:pPr>
    </w:p>
    <w:p w:rsidR="001A384A" w:rsidRDefault="00851211" w:rsidP="00876D9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The local authority submitted a disapplication request to levy a £60 per pupil charge for ESG to maintained schools. Schools’ Forum did not support the request. The Secretary of State approved the disapplication request on 14 January 2020.</w:t>
      </w:r>
    </w:p>
    <w:p w:rsidR="00323BB8" w:rsidRPr="00323BB8" w:rsidRDefault="00323BB8" w:rsidP="00323BB8">
      <w:pPr>
        <w:pStyle w:val="ListParagraph"/>
        <w:rPr>
          <w:rFonts w:ascii="Arial" w:hAnsi="Arial" w:cs="Arial"/>
        </w:rPr>
      </w:pPr>
    </w:p>
    <w:p w:rsidR="00323BB8" w:rsidRPr="00323BB8" w:rsidRDefault="00851211" w:rsidP="00323BB8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The local authority submitted a disapplication request to transfer £0.550m to the high needs block. Schools’ Forum supported the request. The Secretary of State responded on 15 January 2020. The transfer of £0.550m was not approved. However, a reduced transfer of 0.5%, or £0.329m was suggested by the Secretary of State as an amendment.</w:t>
      </w:r>
    </w:p>
    <w:p w:rsidR="00730D1F" w:rsidRDefault="00730D1F" w:rsidP="00730D1F">
      <w:pPr>
        <w:pStyle w:val="ListParagraph"/>
        <w:rPr>
          <w:rFonts w:ascii="Arial" w:hAnsi="Arial" w:cs="Arial"/>
          <w:color w:val="FF0000"/>
        </w:rPr>
      </w:pPr>
    </w:p>
    <w:p w:rsidR="001A384A" w:rsidRDefault="001A384A" w:rsidP="00730D1F">
      <w:pPr>
        <w:pStyle w:val="ListParagraph"/>
        <w:rPr>
          <w:rFonts w:ascii="Arial" w:hAnsi="Arial" w:cs="Arial"/>
          <w:color w:val="FF0000"/>
        </w:rPr>
      </w:pPr>
    </w:p>
    <w:p w:rsidR="002F069C" w:rsidRDefault="00851211" w:rsidP="0040116D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Updated School Budget Share Funding 2020/21</w:t>
      </w:r>
    </w:p>
    <w:p w:rsidR="002F069C" w:rsidRDefault="002F069C" w:rsidP="002F069C">
      <w:pPr>
        <w:rPr>
          <w:rFonts w:ascii="Arial" w:hAnsi="Arial" w:cs="Arial"/>
          <w:b/>
        </w:rPr>
      </w:pPr>
    </w:p>
    <w:p w:rsidR="00C12996" w:rsidRPr="00851211" w:rsidRDefault="00851211" w:rsidP="00876D9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The following table outlines the change in available funding for the schools block in 2020/21</w:t>
      </w:r>
      <w:r w:rsidR="000F56B1">
        <w:rPr>
          <w:rFonts w:ascii="Arial" w:hAnsi="Arial" w:cs="Arial"/>
        </w:rPr>
        <w:t xml:space="preserve"> taking into account both the updated figures published in December 2019 and the disapplication request outcomes</w:t>
      </w:r>
      <w:r>
        <w:rPr>
          <w:rFonts w:ascii="Arial" w:hAnsi="Arial" w:cs="Arial"/>
        </w:rPr>
        <w:t>.</w:t>
      </w:r>
      <w:r w:rsidR="00462F9E">
        <w:rPr>
          <w:rFonts w:ascii="Arial" w:hAnsi="Arial" w:cs="Arial"/>
        </w:rPr>
        <w:t xml:space="preserve"> The figures assume that Schools’ Forum approved the reduced transfer of £0.329m under a separate agenda item at this meeting.</w:t>
      </w:r>
    </w:p>
    <w:p w:rsidR="00851211" w:rsidRDefault="00851211" w:rsidP="00851211">
      <w:pPr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417"/>
        <w:gridCol w:w="1276"/>
        <w:gridCol w:w="1163"/>
        <w:gridCol w:w="1672"/>
      </w:tblGrid>
      <w:tr w:rsidR="00344F51" w:rsidRPr="008C317D" w:rsidTr="003E4616">
        <w:tc>
          <w:tcPr>
            <w:tcW w:w="3969" w:type="dxa"/>
            <w:shd w:val="clear" w:color="auto" w:fill="000000" w:themeFill="text1"/>
          </w:tcPr>
          <w:p w:rsidR="00344F51" w:rsidRPr="008C317D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Funding Stream</w:t>
            </w:r>
          </w:p>
        </w:tc>
        <w:tc>
          <w:tcPr>
            <w:tcW w:w="1417" w:type="dxa"/>
            <w:shd w:val="clear" w:color="auto" w:fill="000000" w:themeFill="text1"/>
          </w:tcPr>
          <w:p w:rsidR="00344F51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Forum </w:t>
            </w:r>
          </w:p>
          <w:p w:rsidR="00344F51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08 Nov</w:t>
            </w:r>
          </w:p>
          <w:p w:rsidR="00344F51" w:rsidRPr="008C317D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£m</w:t>
            </w:r>
          </w:p>
        </w:tc>
        <w:tc>
          <w:tcPr>
            <w:tcW w:w="1276" w:type="dxa"/>
            <w:shd w:val="clear" w:color="auto" w:fill="000000" w:themeFill="text1"/>
          </w:tcPr>
          <w:p w:rsidR="00344F51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Change</w:t>
            </w:r>
          </w:p>
          <w:p w:rsidR="00344F51" w:rsidRPr="008C317D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£m</w:t>
            </w:r>
          </w:p>
        </w:tc>
        <w:tc>
          <w:tcPr>
            <w:tcW w:w="1163" w:type="dxa"/>
            <w:shd w:val="clear" w:color="auto" w:fill="000000" w:themeFill="text1"/>
          </w:tcPr>
          <w:p w:rsidR="00344F51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Revised Funding</w:t>
            </w:r>
          </w:p>
          <w:p w:rsidR="00344F51" w:rsidRPr="008C317D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£m</w:t>
            </w:r>
          </w:p>
        </w:tc>
        <w:tc>
          <w:tcPr>
            <w:tcW w:w="1672" w:type="dxa"/>
            <w:shd w:val="clear" w:color="auto" w:fill="000000" w:themeFill="text1"/>
          </w:tcPr>
          <w:p w:rsidR="00344F51" w:rsidRDefault="00344F51" w:rsidP="004602F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Reason for change</w:t>
            </w:r>
          </w:p>
        </w:tc>
      </w:tr>
      <w:tr w:rsidR="00344F51" w:rsidRPr="008C317D" w:rsidTr="003E4616">
        <w:tc>
          <w:tcPr>
            <w:tcW w:w="3969" w:type="dxa"/>
          </w:tcPr>
          <w:p w:rsidR="00344F51" w:rsidRPr="008C317D" w:rsidRDefault="00344F51" w:rsidP="007F4068">
            <w:pPr>
              <w:rPr>
                <w:rFonts w:ascii="Arial" w:hAnsi="Arial" w:cs="Arial"/>
              </w:rPr>
            </w:pPr>
            <w:r w:rsidRPr="008C317D">
              <w:rPr>
                <w:rFonts w:ascii="Arial" w:hAnsi="Arial" w:cs="Arial"/>
              </w:rPr>
              <w:t xml:space="preserve">DSG </w:t>
            </w:r>
            <w:r>
              <w:rPr>
                <w:rFonts w:ascii="Arial" w:hAnsi="Arial" w:cs="Arial"/>
              </w:rPr>
              <w:t>Schools</w:t>
            </w:r>
            <w:r w:rsidRPr="008C317D">
              <w:rPr>
                <w:rFonts w:ascii="Arial" w:hAnsi="Arial" w:cs="Arial"/>
              </w:rPr>
              <w:t xml:space="preserve"> Block Allocation</w:t>
            </w:r>
            <w:r>
              <w:rPr>
                <w:rFonts w:ascii="Arial" w:hAnsi="Arial" w:cs="Arial"/>
              </w:rPr>
              <w:t xml:space="preserve"> (before recoupment)</w:t>
            </w:r>
          </w:p>
        </w:tc>
        <w:tc>
          <w:tcPr>
            <w:tcW w:w="1417" w:type="dxa"/>
          </w:tcPr>
          <w:p w:rsidR="00344F51" w:rsidRPr="008C317D" w:rsidRDefault="00344F51" w:rsidP="004602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65.287</w:t>
            </w:r>
          </w:p>
        </w:tc>
        <w:tc>
          <w:tcPr>
            <w:tcW w:w="1276" w:type="dxa"/>
          </w:tcPr>
          <w:p w:rsidR="00344F51" w:rsidRPr="008C317D" w:rsidRDefault="00344F51" w:rsidP="004602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0.248</w:t>
            </w:r>
          </w:p>
        </w:tc>
        <w:tc>
          <w:tcPr>
            <w:tcW w:w="1163" w:type="dxa"/>
          </w:tcPr>
          <w:p w:rsidR="00344F51" w:rsidRPr="008C317D" w:rsidRDefault="00344F51" w:rsidP="00E55B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65.535</w:t>
            </w:r>
          </w:p>
        </w:tc>
        <w:tc>
          <w:tcPr>
            <w:tcW w:w="1672" w:type="dxa"/>
          </w:tcPr>
          <w:p w:rsidR="00344F51" w:rsidRPr="00344F51" w:rsidRDefault="00344F51" w:rsidP="00344F51">
            <w:pPr>
              <w:rPr>
                <w:rFonts w:ascii="Arial" w:hAnsi="Arial" w:cs="Arial"/>
                <w:sz w:val="20"/>
                <w:szCs w:val="20"/>
              </w:rPr>
            </w:pPr>
            <w:r w:rsidRPr="00344F51">
              <w:rPr>
                <w:rFonts w:ascii="Arial" w:hAnsi="Arial" w:cs="Arial"/>
                <w:sz w:val="20"/>
                <w:szCs w:val="20"/>
              </w:rPr>
              <w:t>Updated for Oct-19 census</w:t>
            </w:r>
          </w:p>
        </w:tc>
      </w:tr>
      <w:tr w:rsidR="00344F51" w:rsidRPr="008C317D" w:rsidTr="003E4616">
        <w:tc>
          <w:tcPr>
            <w:tcW w:w="3969" w:type="dxa"/>
          </w:tcPr>
          <w:p w:rsidR="00344F51" w:rsidRPr="008C317D" w:rsidRDefault="00344F51" w:rsidP="007F4068">
            <w:pPr>
              <w:rPr>
                <w:rFonts w:ascii="Arial" w:hAnsi="Arial" w:cs="Arial"/>
              </w:rPr>
            </w:pPr>
            <w:r w:rsidRPr="008C317D">
              <w:rPr>
                <w:rFonts w:ascii="Arial" w:hAnsi="Arial" w:cs="Arial"/>
              </w:rPr>
              <w:t xml:space="preserve">Transfer </w:t>
            </w:r>
            <w:r>
              <w:rPr>
                <w:rFonts w:ascii="Arial" w:hAnsi="Arial" w:cs="Arial"/>
              </w:rPr>
              <w:t>in from CSSB</w:t>
            </w:r>
          </w:p>
        </w:tc>
        <w:tc>
          <w:tcPr>
            <w:tcW w:w="1417" w:type="dxa"/>
          </w:tcPr>
          <w:p w:rsidR="00344F51" w:rsidRPr="008C317D" w:rsidRDefault="00344F51" w:rsidP="004602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0.267</w:t>
            </w:r>
          </w:p>
        </w:tc>
        <w:tc>
          <w:tcPr>
            <w:tcW w:w="1276" w:type="dxa"/>
          </w:tcPr>
          <w:p w:rsidR="00344F51" w:rsidRPr="008C317D" w:rsidRDefault="00344F51" w:rsidP="007F40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0.011</w:t>
            </w:r>
          </w:p>
        </w:tc>
        <w:tc>
          <w:tcPr>
            <w:tcW w:w="1163" w:type="dxa"/>
          </w:tcPr>
          <w:p w:rsidR="00344F51" w:rsidRPr="008C317D" w:rsidRDefault="00344F51" w:rsidP="007F40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0.278</w:t>
            </w:r>
          </w:p>
        </w:tc>
        <w:tc>
          <w:tcPr>
            <w:tcW w:w="1672" w:type="dxa"/>
          </w:tcPr>
          <w:p w:rsidR="00344F51" w:rsidRPr="00344F51" w:rsidRDefault="00344F51" w:rsidP="00344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E4616">
              <w:rPr>
                <w:rFonts w:ascii="Arial" w:hAnsi="Arial" w:cs="Arial"/>
                <w:sz w:val="20"/>
                <w:szCs w:val="20"/>
              </w:rPr>
              <w:t xml:space="preserve">icence cost confirmed </w:t>
            </w:r>
          </w:p>
        </w:tc>
      </w:tr>
      <w:tr w:rsidR="00344F51" w:rsidRPr="008C317D" w:rsidTr="003E4616">
        <w:tc>
          <w:tcPr>
            <w:tcW w:w="3969" w:type="dxa"/>
          </w:tcPr>
          <w:p w:rsidR="00344F51" w:rsidRPr="008C317D" w:rsidRDefault="00344F51" w:rsidP="0046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 out to HNB</w:t>
            </w:r>
          </w:p>
        </w:tc>
        <w:tc>
          <w:tcPr>
            <w:tcW w:w="1417" w:type="dxa"/>
          </w:tcPr>
          <w:p w:rsidR="00344F51" w:rsidRDefault="00344F51" w:rsidP="004602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(0.550)</w:t>
            </w:r>
          </w:p>
        </w:tc>
        <w:tc>
          <w:tcPr>
            <w:tcW w:w="1276" w:type="dxa"/>
          </w:tcPr>
          <w:p w:rsidR="00344F51" w:rsidRDefault="00344F51" w:rsidP="004602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0.221</w:t>
            </w:r>
          </w:p>
        </w:tc>
        <w:tc>
          <w:tcPr>
            <w:tcW w:w="1163" w:type="dxa"/>
          </w:tcPr>
          <w:p w:rsidR="00344F51" w:rsidRDefault="00344F51" w:rsidP="004602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(0.329)</w:t>
            </w:r>
          </w:p>
        </w:tc>
        <w:tc>
          <w:tcPr>
            <w:tcW w:w="1672" w:type="dxa"/>
          </w:tcPr>
          <w:p w:rsidR="00344F51" w:rsidRPr="00344F51" w:rsidRDefault="003E4616" w:rsidP="00344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Disapplication outcome / proposal</w:t>
            </w:r>
          </w:p>
        </w:tc>
      </w:tr>
      <w:tr w:rsidR="00344F51" w:rsidRPr="00341080" w:rsidTr="003E4616">
        <w:tc>
          <w:tcPr>
            <w:tcW w:w="3969" w:type="dxa"/>
          </w:tcPr>
          <w:p w:rsidR="00344F51" w:rsidRPr="00341080" w:rsidRDefault="00344F51" w:rsidP="000F56B1">
            <w:pPr>
              <w:rPr>
                <w:rFonts w:ascii="Arial" w:hAnsi="Arial" w:cs="Arial"/>
                <w:b/>
              </w:rPr>
            </w:pPr>
            <w:r w:rsidRPr="00341080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School Block</w:t>
            </w:r>
            <w:r w:rsidRPr="00341080">
              <w:rPr>
                <w:rFonts w:ascii="Arial" w:hAnsi="Arial" w:cs="Arial"/>
                <w:b/>
              </w:rPr>
              <w:t xml:space="preserve"> Funding 2020/21</w:t>
            </w:r>
            <w:r>
              <w:rPr>
                <w:rFonts w:ascii="Arial" w:hAnsi="Arial" w:cs="Arial"/>
                <w:b/>
              </w:rPr>
              <w:t xml:space="preserve"> (excluding growth fund)</w:t>
            </w:r>
          </w:p>
        </w:tc>
        <w:tc>
          <w:tcPr>
            <w:tcW w:w="1417" w:type="dxa"/>
          </w:tcPr>
          <w:p w:rsidR="00344F51" w:rsidRPr="00341080" w:rsidRDefault="00344F51" w:rsidP="004602F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65.004</w:t>
            </w:r>
          </w:p>
        </w:tc>
        <w:tc>
          <w:tcPr>
            <w:tcW w:w="1276" w:type="dxa"/>
          </w:tcPr>
          <w:p w:rsidR="00344F51" w:rsidRPr="00341080" w:rsidRDefault="00344F51" w:rsidP="004602F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0.480</w:t>
            </w:r>
          </w:p>
        </w:tc>
        <w:tc>
          <w:tcPr>
            <w:tcW w:w="1163" w:type="dxa"/>
          </w:tcPr>
          <w:p w:rsidR="00344F51" w:rsidRPr="00341080" w:rsidRDefault="00344F51" w:rsidP="004602F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65.484</w:t>
            </w:r>
          </w:p>
        </w:tc>
        <w:tc>
          <w:tcPr>
            <w:tcW w:w="1672" w:type="dxa"/>
          </w:tcPr>
          <w:p w:rsidR="00344F51" w:rsidRPr="00344F51" w:rsidRDefault="00344F51" w:rsidP="00344F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4F51" w:rsidRPr="00341080" w:rsidTr="003E4616">
        <w:tc>
          <w:tcPr>
            <w:tcW w:w="3969" w:type="dxa"/>
          </w:tcPr>
          <w:p w:rsidR="00344F51" w:rsidRPr="008C317D" w:rsidRDefault="00344F51" w:rsidP="00D6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DSG Growth Fund</w:t>
            </w:r>
          </w:p>
        </w:tc>
        <w:tc>
          <w:tcPr>
            <w:tcW w:w="1417" w:type="dxa"/>
          </w:tcPr>
          <w:p w:rsidR="00344F51" w:rsidRDefault="00344F51" w:rsidP="00D600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0.000</w:t>
            </w:r>
          </w:p>
        </w:tc>
        <w:tc>
          <w:tcPr>
            <w:tcW w:w="1276" w:type="dxa"/>
          </w:tcPr>
          <w:p w:rsidR="00344F51" w:rsidRDefault="00344F51" w:rsidP="00D600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0.343</w:t>
            </w:r>
          </w:p>
        </w:tc>
        <w:tc>
          <w:tcPr>
            <w:tcW w:w="1163" w:type="dxa"/>
          </w:tcPr>
          <w:p w:rsidR="00344F51" w:rsidRDefault="00344F51" w:rsidP="00D600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0.343</w:t>
            </w:r>
          </w:p>
        </w:tc>
        <w:tc>
          <w:tcPr>
            <w:tcW w:w="1672" w:type="dxa"/>
          </w:tcPr>
          <w:p w:rsidR="00344F51" w:rsidRPr="00344F51" w:rsidRDefault="003E4616" w:rsidP="00344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notified until Dec</w:t>
            </w:r>
          </w:p>
        </w:tc>
      </w:tr>
      <w:tr w:rsidR="00344F51" w:rsidRPr="00341080" w:rsidTr="003E4616">
        <w:tc>
          <w:tcPr>
            <w:tcW w:w="3969" w:type="dxa"/>
          </w:tcPr>
          <w:p w:rsidR="00344F51" w:rsidRPr="00341080" w:rsidRDefault="00344F51" w:rsidP="00D60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Schools Block Funding 2020/21 (including growth fund)</w:t>
            </w:r>
          </w:p>
        </w:tc>
        <w:tc>
          <w:tcPr>
            <w:tcW w:w="1417" w:type="dxa"/>
          </w:tcPr>
          <w:p w:rsidR="00344F51" w:rsidRDefault="00344F51" w:rsidP="00D600B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65.004</w:t>
            </w:r>
          </w:p>
        </w:tc>
        <w:tc>
          <w:tcPr>
            <w:tcW w:w="1276" w:type="dxa"/>
          </w:tcPr>
          <w:p w:rsidR="00344F51" w:rsidRPr="00341080" w:rsidRDefault="00344F51" w:rsidP="00D600B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0.381</w:t>
            </w:r>
          </w:p>
        </w:tc>
        <w:tc>
          <w:tcPr>
            <w:tcW w:w="1163" w:type="dxa"/>
          </w:tcPr>
          <w:p w:rsidR="00344F51" w:rsidRDefault="00344F51" w:rsidP="00D600B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65.827</w:t>
            </w:r>
          </w:p>
        </w:tc>
        <w:tc>
          <w:tcPr>
            <w:tcW w:w="1672" w:type="dxa"/>
          </w:tcPr>
          <w:p w:rsidR="00344F51" w:rsidRPr="00344F51" w:rsidRDefault="00344F51" w:rsidP="00344F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1211" w:rsidRPr="00851211" w:rsidRDefault="00851211" w:rsidP="00851211">
      <w:pPr>
        <w:ind w:left="720"/>
        <w:rPr>
          <w:rFonts w:ascii="Arial" w:hAnsi="Arial" w:cs="Arial"/>
          <w:color w:val="FF0000"/>
        </w:rPr>
      </w:pPr>
    </w:p>
    <w:p w:rsidR="00C12996" w:rsidRPr="00C12996" w:rsidRDefault="00C12996" w:rsidP="00C12996">
      <w:pPr>
        <w:pStyle w:val="ListParagraph"/>
        <w:ind w:left="786"/>
        <w:rPr>
          <w:rFonts w:ascii="Arial" w:hAnsi="Arial" w:cs="Arial"/>
          <w:color w:val="FF0000"/>
        </w:rPr>
      </w:pPr>
    </w:p>
    <w:p w:rsidR="00876D91" w:rsidRPr="0040116D" w:rsidRDefault="00AE1027" w:rsidP="00876D9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Using t</w:t>
      </w:r>
      <w:r w:rsidR="00D600BB">
        <w:rPr>
          <w:rFonts w:ascii="Arial" w:hAnsi="Arial" w:cs="Arial"/>
        </w:rPr>
        <w:t xml:space="preserve">he revised </w:t>
      </w:r>
      <w:r>
        <w:rPr>
          <w:rFonts w:ascii="Arial" w:hAnsi="Arial" w:cs="Arial"/>
        </w:rPr>
        <w:t>schools block allocation of £65.484m, individual School Budget Shares have been calculated and submitted to ESFA for approval.</w:t>
      </w:r>
    </w:p>
    <w:p w:rsidR="00876D91" w:rsidRPr="0040116D" w:rsidRDefault="00876D91" w:rsidP="00876D91">
      <w:pPr>
        <w:pStyle w:val="ListParagraph"/>
        <w:rPr>
          <w:rFonts w:ascii="Arial" w:hAnsi="Arial" w:cs="Arial"/>
        </w:rPr>
      </w:pPr>
    </w:p>
    <w:p w:rsidR="005637BF" w:rsidRPr="00B62061" w:rsidRDefault="00AE1027" w:rsidP="00B6206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The agreed local MFG of +1.84% has been applied to School Budget Shares. Owing to the increased funding of £0.480m, a cap was not required to fund any of the maximum MFG. Therefore, any schools gaining under the 2020/21 National Funding Formula (NFF) receive the full benefit of increases without the limit of a cap.</w:t>
      </w:r>
    </w:p>
    <w:p w:rsidR="00B62061" w:rsidRPr="00B62061" w:rsidRDefault="00B62061" w:rsidP="00B62061">
      <w:pPr>
        <w:pStyle w:val="ListParagraph"/>
        <w:rPr>
          <w:rFonts w:ascii="Arial" w:hAnsi="Arial" w:cs="Arial"/>
        </w:rPr>
      </w:pPr>
    </w:p>
    <w:p w:rsidR="00065F18" w:rsidRPr="00B62061" w:rsidRDefault="003E4616" w:rsidP="00B62061">
      <w:pPr>
        <w:pStyle w:val="ListParagraph"/>
        <w:numPr>
          <w:ilvl w:val="1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Schools will be notified of the individual budget shares by mid-February, pending approval from ESFA.</w:t>
      </w:r>
    </w:p>
    <w:p w:rsidR="00D22808" w:rsidRPr="00B62061" w:rsidRDefault="00690CC2" w:rsidP="00FC2304">
      <w:pPr>
        <w:ind w:left="709" w:hanging="709"/>
        <w:rPr>
          <w:rFonts w:ascii="Arial" w:hAnsi="Arial" w:cs="Arial"/>
        </w:rPr>
      </w:pPr>
      <w:r w:rsidRPr="00B62061">
        <w:rPr>
          <w:rFonts w:ascii="Arial" w:hAnsi="Arial" w:cs="Arial"/>
        </w:rPr>
        <w:tab/>
      </w:r>
    </w:p>
    <w:p w:rsidR="00FC2304" w:rsidRDefault="00B62061" w:rsidP="00FC2304">
      <w:pPr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D22808" w:rsidRPr="00D22808">
        <w:rPr>
          <w:rFonts w:ascii="Arial" w:hAnsi="Arial" w:cs="Arial"/>
          <w:b/>
        </w:rPr>
        <w:t>.</w:t>
      </w:r>
      <w:r w:rsidR="00FC2304">
        <w:rPr>
          <w:rFonts w:ascii="Arial" w:hAnsi="Arial" w:cs="Arial"/>
        </w:rPr>
        <w:tab/>
      </w:r>
      <w:r w:rsidR="00FC2304" w:rsidRPr="00FC2304">
        <w:rPr>
          <w:rFonts w:ascii="Arial" w:hAnsi="Arial" w:cs="Arial"/>
          <w:b/>
          <w:u w:val="single"/>
        </w:rPr>
        <w:t>Recommendations</w:t>
      </w:r>
    </w:p>
    <w:p w:rsidR="00FC2304" w:rsidRDefault="00FC2304" w:rsidP="00FC2304">
      <w:pPr>
        <w:ind w:left="709" w:hanging="709"/>
        <w:rPr>
          <w:rFonts w:ascii="Arial" w:hAnsi="Arial" w:cs="Arial"/>
          <w:b/>
          <w:u w:val="single"/>
        </w:rPr>
      </w:pPr>
    </w:p>
    <w:p w:rsidR="00431E6E" w:rsidRDefault="00B62061" w:rsidP="00DA3D90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22808">
        <w:rPr>
          <w:rFonts w:ascii="Arial" w:hAnsi="Arial" w:cs="Arial"/>
        </w:rPr>
        <w:t>.1</w:t>
      </w:r>
      <w:r w:rsidR="00D22808">
        <w:rPr>
          <w:rFonts w:ascii="Arial" w:hAnsi="Arial" w:cs="Arial"/>
        </w:rPr>
        <w:tab/>
        <w:t xml:space="preserve">Forum is </w:t>
      </w:r>
      <w:r w:rsidR="00CD4F22">
        <w:rPr>
          <w:rFonts w:ascii="Arial" w:hAnsi="Arial" w:cs="Arial"/>
        </w:rPr>
        <w:t>asked</w:t>
      </w:r>
      <w:r w:rsidR="00DA3D90">
        <w:rPr>
          <w:rFonts w:ascii="Arial" w:hAnsi="Arial" w:cs="Arial"/>
        </w:rPr>
        <w:t xml:space="preserve"> to n</w:t>
      </w:r>
      <w:r w:rsidR="00B86AFC">
        <w:rPr>
          <w:rFonts w:ascii="Arial" w:hAnsi="Arial" w:cs="Arial"/>
        </w:rPr>
        <w:t>ote the changes to schools block funding outlined in this report.</w:t>
      </w:r>
    </w:p>
    <w:sectPr w:rsidR="00431E6E" w:rsidSect="0075449A">
      <w:headerReference w:type="default" r:id="rId8"/>
      <w:footerReference w:type="default" r:id="rId9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F15B17" w16cid:durableId="1F6733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E2" w:rsidRDefault="00641EE2" w:rsidP="00E471C6">
      <w:r>
        <w:separator/>
      </w:r>
    </w:p>
  </w:endnote>
  <w:endnote w:type="continuationSeparator" w:id="0">
    <w:p w:rsidR="00641EE2" w:rsidRDefault="00641EE2" w:rsidP="00E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BC" w:rsidRPr="00E471C6" w:rsidRDefault="005219BC" w:rsidP="00E471C6">
    <w:pPr>
      <w:pStyle w:val="Footer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E2" w:rsidRDefault="00641EE2" w:rsidP="00E471C6">
      <w:r>
        <w:separator/>
      </w:r>
    </w:p>
  </w:footnote>
  <w:footnote w:type="continuationSeparator" w:id="0">
    <w:p w:rsidR="00641EE2" w:rsidRDefault="00641EE2" w:rsidP="00E4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01386"/>
      <w:docPartObj>
        <w:docPartGallery w:val="Page Numbers (Top of Page)"/>
        <w:docPartUnique/>
      </w:docPartObj>
    </w:sdtPr>
    <w:sdtEndPr/>
    <w:sdtContent>
      <w:p w:rsidR="005219BC" w:rsidRDefault="005219BC">
        <w:pPr>
          <w:pStyle w:val="Header"/>
          <w:jc w:val="right"/>
        </w:pPr>
        <w:r w:rsidRPr="004C5FD4">
          <w:rPr>
            <w:rFonts w:ascii="Arial" w:hAnsi="Arial" w:cs="Arial"/>
            <w:sz w:val="16"/>
            <w:szCs w:val="16"/>
          </w:rPr>
          <w:t xml:space="preserve">Page </w:t>
        </w:r>
        <w:r w:rsidR="00861333"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="00861333"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335531">
          <w:rPr>
            <w:rFonts w:ascii="Arial" w:hAnsi="Arial" w:cs="Arial"/>
            <w:b/>
            <w:noProof/>
            <w:sz w:val="16"/>
            <w:szCs w:val="16"/>
          </w:rPr>
          <w:t>2</w:t>
        </w:r>
        <w:r w:rsidR="00861333" w:rsidRPr="004C5FD4">
          <w:rPr>
            <w:rFonts w:ascii="Arial" w:hAnsi="Arial" w:cs="Arial"/>
            <w:b/>
            <w:sz w:val="16"/>
            <w:szCs w:val="16"/>
          </w:rPr>
          <w:fldChar w:fldCharType="end"/>
        </w:r>
        <w:r w:rsidRPr="004C5FD4">
          <w:rPr>
            <w:rFonts w:ascii="Arial" w:hAnsi="Arial" w:cs="Arial"/>
            <w:sz w:val="16"/>
            <w:szCs w:val="16"/>
          </w:rPr>
          <w:t xml:space="preserve"> of </w:t>
        </w:r>
        <w:r w:rsidR="00861333"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="00861333"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335531">
          <w:rPr>
            <w:rFonts w:ascii="Arial" w:hAnsi="Arial" w:cs="Arial"/>
            <w:b/>
            <w:noProof/>
            <w:sz w:val="16"/>
            <w:szCs w:val="16"/>
          </w:rPr>
          <w:t>2</w:t>
        </w:r>
        <w:r w:rsidR="00861333" w:rsidRPr="004C5FD4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5219BC" w:rsidRDefault="00521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1A9"/>
    <w:multiLevelType w:val="multilevel"/>
    <w:tmpl w:val="99B42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18D722C9"/>
    <w:multiLevelType w:val="multilevel"/>
    <w:tmpl w:val="411C4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F42110"/>
    <w:multiLevelType w:val="multilevel"/>
    <w:tmpl w:val="40CAD6E2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468" w:hanging="46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" w15:restartNumberingAfterBreak="0">
    <w:nsid w:val="262922EA"/>
    <w:multiLevelType w:val="multilevel"/>
    <w:tmpl w:val="2264B0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8D3E66"/>
    <w:multiLevelType w:val="multilevel"/>
    <w:tmpl w:val="2F4CD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5" w15:restartNumberingAfterBreak="0">
    <w:nsid w:val="306716E9"/>
    <w:multiLevelType w:val="multilevel"/>
    <w:tmpl w:val="2F4CD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6" w15:restartNumberingAfterBreak="0">
    <w:nsid w:val="3F7B030B"/>
    <w:multiLevelType w:val="multilevel"/>
    <w:tmpl w:val="D586F776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5A5548"/>
    <w:multiLevelType w:val="multilevel"/>
    <w:tmpl w:val="2F4CD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8" w15:restartNumberingAfterBreak="0">
    <w:nsid w:val="50867B7D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11E22A4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52135B45"/>
    <w:multiLevelType w:val="multilevel"/>
    <w:tmpl w:val="F30CD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5496584D"/>
    <w:multiLevelType w:val="multilevel"/>
    <w:tmpl w:val="F30CD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58697234"/>
    <w:multiLevelType w:val="multilevel"/>
    <w:tmpl w:val="079E844E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CE36E8"/>
    <w:multiLevelType w:val="multilevel"/>
    <w:tmpl w:val="500C4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6BAD0F27"/>
    <w:multiLevelType w:val="hybridMultilevel"/>
    <w:tmpl w:val="FF4A868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6C123EEC"/>
    <w:multiLevelType w:val="multilevel"/>
    <w:tmpl w:val="2F4CD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</w:rPr>
    </w:lvl>
  </w:abstractNum>
  <w:abstractNum w:abstractNumId="16" w15:restartNumberingAfterBreak="0">
    <w:nsid w:val="6D471DEB"/>
    <w:multiLevelType w:val="multilevel"/>
    <w:tmpl w:val="DAFEC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6F9B6804"/>
    <w:multiLevelType w:val="multilevel"/>
    <w:tmpl w:val="7BE44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72D64CC1"/>
    <w:multiLevelType w:val="hybridMultilevel"/>
    <w:tmpl w:val="3F96E7F6"/>
    <w:lvl w:ilvl="0" w:tplc="320667B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6513C9"/>
    <w:multiLevelType w:val="hybridMultilevel"/>
    <w:tmpl w:val="1E7CEA14"/>
    <w:lvl w:ilvl="0" w:tplc="1184369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8"/>
  </w:num>
  <w:num w:numId="5">
    <w:abstractNumId w:val="13"/>
  </w:num>
  <w:num w:numId="6">
    <w:abstractNumId w:val="16"/>
  </w:num>
  <w:num w:numId="7">
    <w:abstractNumId w:val="1"/>
  </w:num>
  <w:num w:numId="8">
    <w:abstractNumId w:val="17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19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0"/>
    <w:rsid w:val="00012FC0"/>
    <w:rsid w:val="000135E5"/>
    <w:rsid w:val="000619C5"/>
    <w:rsid w:val="00065F18"/>
    <w:rsid w:val="000E2752"/>
    <w:rsid w:val="000F185B"/>
    <w:rsid w:val="000F305D"/>
    <w:rsid w:val="000F56B1"/>
    <w:rsid w:val="0010706F"/>
    <w:rsid w:val="001A0974"/>
    <w:rsid w:val="001A384A"/>
    <w:rsid w:val="001A5F33"/>
    <w:rsid w:val="001C7302"/>
    <w:rsid w:val="001F2A93"/>
    <w:rsid w:val="001F530F"/>
    <w:rsid w:val="00221836"/>
    <w:rsid w:val="00270F89"/>
    <w:rsid w:val="002734D1"/>
    <w:rsid w:val="00273DDA"/>
    <w:rsid w:val="002752A3"/>
    <w:rsid w:val="00284D93"/>
    <w:rsid w:val="002D22FD"/>
    <w:rsid w:val="002D2E9D"/>
    <w:rsid w:val="002E7B05"/>
    <w:rsid w:val="002F069C"/>
    <w:rsid w:val="002F0AE1"/>
    <w:rsid w:val="002F150B"/>
    <w:rsid w:val="002F5167"/>
    <w:rsid w:val="00314AE7"/>
    <w:rsid w:val="003204CE"/>
    <w:rsid w:val="00323BB8"/>
    <w:rsid w:val="00335531"/>
    <w:rsid w:val="00344F51"/>
    <w:rsid w:val="0035130A"/>
    <w:rsid w:val="00362A51"/>
    <w:rsid w:val="00367800"/>
    <w:rsid w:val="00381270"/>
    <w:rsid w:val="00386059"/>
    <w:rsid w:val="003871F0"/>
    <w:rsid w:val="00393359"/>
    <w:rsid w:val="003940C8"/>
    <w:rsid w:val="00396E47"/>
    <w:rsid w:val="003A59BE"/>
    <w:rsid w:val="003B651C"/>
    <w:rsid w:val="003C21DE"/>
    <w:rsid w:val="003E4616"/>
    <w:rsid w:val="003E6B68"/>
    <w:rsid w:val="0040116D"/>
    <w:rsid w:val="004159CE"/>
    <w:rsid w:val="00424395"/>
    <w:rsid w:val="004312D1"/>
    <w:rsid w:val="00431E6E"/>
    <w:rsid w:val="0043458F"/>
    <w:rsid w:val="004473E9"/>
    <w:rsid w:val="00454EDB"/>
    <w:rsid w:val="00462F9E"/>
    <w:rsid w:val="00484477"/>
    <w:rsid w:val="004853D7"/>
    <w:rsid w:val="004A1E2C"/>
    <w:rsid w:val="004C5FD4"/>
    <w:rsid w:val="004E4BFB"/>
    <w:rsid w:val="004E613E"/>
    <w:rsid w:val="0051311E"/>
    <w:rsid w:val="005219BC"/>
    <w:rsid w:val="0054743C"/>
    <w:rsid w:val="005637BF"/>
    <w:rsid w:val="00583F49"/>
    <w:rsid w:val="005A62EC"/>
    <w:rsid w:val="005A7F62"/>
    <w:rsid w:val="005D1A77"/>
    <w:rsid w:val="005D373C"/>
    <w:rsid w:val="005F7375"/>
    <w:rsid w:val="00625D19"/>
    <w:rsid w:val="006266F4"/>
    <w:rsid w:val="006306AD"/>
    <w:rsid w:val="00641EE2"/>
    <w:rsid w:val="0065474A"/>
    <w:rsid w:val="00663FCF"/>
    <w:rsid w:val="0066628C"/>
    <w:rsid w:val="006722AB"/>
    <w:rsid w:val="006732F1"/>
    <w:rsid w:val="00690A42"/>
    <w:rsid w:val="00690CC2"/>
    <w:rsid w:val="006F0BCB"/>
    <w:rsid w:val="00727711"/>
    <w:rsid w:val="00730D1F"/>
    <w:rsid w:val="00732263"/>
    <w:rsid w:val="0073581B"/>
    <w:rsid w:val="00736143"/>
    <w:rsid w:val="00741D19"/>
    <w:rsid w:val="00744CFF"/>
    <w:rsid w:val="0075150F"/>
    <w:rsid w:val="0075449A"/>
    <w:rsid w:val="007608C2"/>
    <w:rsid w:val="0076496B"/>
    <w:rsid w:val="00765AC5"/>
    <w:rsid w:val="00766A24"/>
    <w:rsid w:val="0078481B"/>
    <w:rsid w:val="007923E8"/>
    <w:rsid w:val="007B2BA5"/>
    <w:rsid w:val="007D4460"/>
    <w:rsid w:val="007D7C94"/>
    <w:rsid w:val="007F4068"/>
    <w:rsid w:val="007F7961"/>
    <w:rsid w:val="00815AEA"/>
    <w:rsid w:val="00822771"/>
    <w:rsid w:val="00851211"/>
    <w:rsid w:val="0086108B"/>
    <w:rsid w:val="00861333"/>
    <w:rsid w:val="00876D91"/>
    <w:rsid w:val="008911E4"/>
    <w:rsid w:val="008978F8"/>
    <w:rsid w:val="008C2C0F"/>
    <w:rsid w:val="00931974"/>
    <w:rsid w:val="00932AE5"/>
    <w:rsid w:val="009357D5"/>
    <w:rsid w:val="009460AE"/>
    <w:rsid w:val="009509C0"/>
    <w:rsid w:val="00973CB9"/>
    <w:rsid w:val="009877BD"/>
    <w:rsid w:val="0099785C"/>
    <w:rsid w:val="009A3EFB"/>
    <w:rsid w:val="009D26C3"/>
    <w:rsid w:val="009D7961"/>
    <w:rsid w:val="00A378FE"/>
    <w:rsid w:val="00A94CB3"/>
    <w:rsid w:val="00AE1027"/>
    <w:rsid w:val="00B469B0"/>
    <w:rsid w:val="00B51317"/>
    <w:rsid w:val="00B62061"/>
    <w:rsid w:val="00B63511"/>
    <w:rsid w:val="00B72C8B"/>
    <w:rsid w:val="00B86AFC"/>
    <w:rsid w:val="00B912B8"/>
    <w:rsid w:val="00BA64C3"/>
    <w:rsid w:val="00BA7011"/>
    <w:rsid w:val="00BB5B41"/>
    <w:rsid w:val="00BE523D"/>
    <w:rsid w:val="00BE6D2A"/>
    <w:rsid w:val="00C01C8B"/>
    <w:rsid w:val="00C03685"/>
    <w:rsid w:val="00C12996"/>
    <w:rsid w:val="00C12D6E"/>
    <w:rsid w:val="00C35AF0"/>
    <w:rsid w:val="00C548E4"/>
    <w:rsid w:val="00C93284"/>
    <w:rsid w:val="00C96FD9"/>
    <w:rsid w:val="00CA1B56"/>
    <w:rsid w:val="00CA3206"/>
    <w:rsid w:val="00CB5BE6"/>
    <w:rsid w:val="00CC13BE"/>
    <w:rsid w:val="00CC3E88"/>
    <w:rsid w:val="00CD4F22"/>
    <w:rsid w:val="00CF1F83"/>
    <w:rsid w:val="00D22808"/>
    <w:rsid w:val="00D551CA"/>
    <w:rsid w:val="00D600BB"/>
    <w:rsid w:val="00D70399"/>
    <w:rsid w:val="00D83418"/>
    <w:rsid w:val="00D87564"/>
    <w:rsid w:val="00DA3D90"/>
    <w:rsid w:val="00DB1989"/>
    <w:rsid w:val="00E13956"/>
    <w:rsid w:val="00E27966"/>
    <w:rsid w:val="00E32CB2"/>
    <w:rsid w:val="00E37FE2"/>
    <w:rsid w:val="00E409C8"/>
    <w:rsid w:val="00E4359B"/>
    <w:rsid w:val="00E471C6"/>
    <w:rsid w:val="00E55B95"/>
    <w:rsid w:val="00E61178"/>
    <w:rsid w:val="00E62BA1"/>
    <w:rsid w:val="00E744A1"/>
    <w:rsid w:val="00E902F8"/>
    <w:rsid w:val="00E90F23"/>
    <w:rsid w:val="00EC003E"/>
    <w:rsid w:val="00EC69C9"/>
    <w:rsid w:val="00EE4D56"/>
    <w:rsid w:val="00EF5032"/>
    <w:rsid w:val="00F12636"/>
    <w:rsid w:val="00F545DB"/>
    <w:rsid w:val="00F662F7"/>
    <w:rsid w:val="00F72B4F"/>
    <w:rsid w:val="00F84B22"/>
    <w:rsid w:val="00F87248"/>
    <w:rsid w:val="00FA2FC6"/>
    <w:rsid w:val="00FA6DC9"/>
    <w:rsid w:val="00FB6C7E"/>
    <w:rsid w:val="00FC2304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8B672-1069-4DC1-9C99-80B7AAB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1C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B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B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B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CFB3-04F6-4A40-B25E-55949121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Patton</dc:creator>
  <cp:lastModifiedBy>Eileen Larkin</cp:lastModifiedBy>
  <cp:revision>4</cp:revision>
  <cp:lastPrinted>2020-01-29T17:09:00Z</cp:lastPrinted>
  <dcterms:created xsi:type="dcterms:W3CDTF">2020-01-29T16:50:00Z</dcterms:created>
  <dcterms:modified xsi:type="dcterms:W3CDTF">2020-01-29T17:09:00Z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364039726</vt:i4>
  </property>
  <property fmtid="{D5CDD505-2E9C-101B-9397-08002B2CF9AE}" pid="3" name="_NewReviewCycle">
    <vt:lpwstr/>
  </property>
  <property fmtid="{D5CDD505-2E9C-101B-9397-08002B2CF9AE}" pid="4" name="_EmailSubject">
    <vt:lpwstr>Schools Forum - 5  February 2020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8" name="_PreviousAdHocReviewCycleID">
    <vt:i4>1442970430</vt:i4>
  </property>
</Properties>
</file>