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1AC" w:rsidRPr="00127C03" w:rsidRDefault="00B921AC" w:rsidP="00B921AC">
      <w:pPr>
        <w:pBdr>
          <w:top w:val="single" w:sz="4" w:space="1" w:color="auto"/>
          <w:left w:val="single" w:sz="4" w:space="4" w:color="auto"/>
          <w:bottom w:val="single" w:sz="4" w:space="1" w:color="auto"/>
          <w:right w:val="single" w:sz="4" w:space="4" w:color="auto"/>
        </w:pBdr>
        <w:jc w:val="center"/>
        <w:rPr>
          <w:rFonts w:ascii="Arial" w:hAnsi="Arial" w:cs="Arial"/>
          <w:b/>
          <w:bCs/>
        </w:rPr>
      </w:pPr>
      <w:r w:rsidRPr="00127C03">
        <w:rPr>
          <w:rFonts w:ascii="Arial" w:hAnsi="Arial" w:cs="Arial"/>
          <w:b/>
          <w:bCs/>
        </w:rPr>
        <w:t>Report to Hartlepool Schools’ Forum</w:t>
      </w:r>
      <w:r w:rsidR="005879DB" w:rsidRPr="00127C03">
        <w:rPr>
          <w:rFonts w:ascii="Arial" w:hAnsi="Arial" w:cs="Arial"/>
          <w:b/>
          <w:bCs/>
        </w:rPr>
        <w:t xml:space="preserve"> </w:t>
      </w:r>
      <w:r w:rsidR="000904BC">
        <w:rPr>
          <w:rFonts w:ascii="Arial" w:hAnsi="Arial" w:cs="Arial"/>
          <w:b/>
          <w:bCs/>
        </w:rPr>
        <w:t>14</w:t>
      </w:r>
      <w:r w:rsidR="00DE5658">
        <w:rPr>
          <w:rFonts w:ascii="Arial" w:hAnsi="Arial" w:cs="Arial"/>
          <w:b/>
          <w:bCs/>
          <w:vertAlign w:val="superscript"/>
        </w:rPr>
        <w:t xml:space="preserve"> </w:t>
      </w:r>
      <w:r w:rsidR="000904BC">
        <w:rPr>
          <w:rFonts w:ascii="Arial" w:hAnsi="Arial" w:cs="Arial"/>
          <w:b/>
          <w:bCs/>
        </w:rPr>
        <w:t>Jul</w:t>
      </w:r>
      <w:r w:rsidR="007B345D">
        <w:rPr>
          <w:rFonts w:ascii="Arial" w:hAnsi="Arial" w:cs="Arial"/>
          <w:b/>
          <w:bCs/>
        </w:rPr>
        <w:t>y</w:t>
      </w:r>
      <w:r w:rsidR="000904BC">
        <w:rPr>
          <w:rFonts w:ascii="Arial" w:hAnsi="Arial" w:cs="Arial"/>
          <w:b/>
          <w:bCs/>
        </w:rPr>
        <w:t xml:space="preserve"> 2020</w:t>
      </w:r>
    </w:p>
    <w:p w:rsidR="00B921AC" w:rsidRPr="00127C03" w:rsidRDefault="00B921AC" w:rsidP="00B921AC">
      <w:pPr>
        <w:pBdr>
          <w:top w:val="single" w:sz="4" w:space="1" w:color="auto"/>
          <w:left w:val="single" w:sz="4" w:space="4" w:color="auto"/>
          <w:bottom w:val="single" w:sz="4" w:space="1" w:color="auto"/>
          <w:right w:val="single" w:sz="4" w:space="4" w:color="auto"/>
        </w:pBdr>
        <w:jc w:val="center"/>
        <w:rPr>
          <w:rFonts w:ascii="Arial" w:hAnsi="Arial" w:cs="Arial"/>
          <w:b/>
          <w:bCs/>
        </w:rPr>
      </w:pPr>
      <w:r w:rsidRPr="00127C03">
        <w:rPr>
          <w:rFonts w:ascii="Arial" w:hAnsi="Arial" w:cs="Arial"/>
          <w:b/>
          <w:bCs/>
        </w:rPr>
        <w:t xml:space="preserve">From </w:t>
      </w:r>
      <w:r w:rsidR="000904BC">
        <w:rPr>
          <w:rFonts w:ascii="Arial" w:hAnsi="Arial" w:cs="Arial"/>
          <w:b/>
          <w:bCs/>
        </w:rPr>
        <w:t>Amanda Whitehead</w:t>
      </w:r>
      <w:r w:rsidR="00380BB4">
        <w:rPr>
          <w:rFonts w:ascii="Arial" w:hAnsi="Arial" w:cs="Arial"/>
          <w:b/>
          <w:bCs/>
        </w:rPr>
        <w:t xml:space="preserve"> </w:t>
      </w:r>
      <w:r w:rsidR="001D775A">
        <w:rPr>
          <w:rFonts w:ascii="Arial" w:hAnsi="Arial" w:cs="Arial"/>
          <w:b/>
          <w:bCs/>
        </w:rPr>
        <w:t>(</w:t>
      </w:r>
      <w:r w:rsidR="000904BC">
        <w:rPr>
          <w:rFonts w:ascii="Arial" w:hAnsi="Arial" w:cs="Arial"/>
          <w:b/>
          <w:bCs/>
        </w:rPr>
        <w:t xml:space="preserve">Assistant </w:t>
      </w:r>
      <w:r w:rsidR="001D775A">
        <w:rPr>
          <w:rFonts w:ascii="Arial" w:hAnsi="Arial" w:cs="Arial"/>
          <w:b/>
          <w:bCs/>
        </w:rPr>
        <w:t>Director</w:t>
      </w:r>
      <w:r w:rsidR="000904BC">
        <w:rPr>
          <w:rFonts w:ascii="Arial" w:hAnsi="Arial" w:cs="Arial"/>
          <w:b/>
          <w:bCs/>
        </w:rPr>
        <w:t xml:space="preserve"> - Education</w:t>
      </w:r>
      <w:r w:rsidR="008B24AA" w:rsidRPr="00127C03">
        <w:rPr>
          <w:rFonts w:ascii="Arial" w:hAnsi="Arial" w:cs="Arial"/>
          <w:b/>
          <w:bCs/>
        </w:rPr>
        <w:t>)</w:t>
      </w:r>
    </w:p>
    <w:p w:rsidR="0079428F" w:rsidRPr="00127C03" w:rsidRDefault="0079428F">
      <w:pPr>
        <w:rPr>
          <w:rFonts w:ascii="Arial" w:hAnsi="Arial" w:cs="Arial"/>
          <w:b/>
          <w:bCs/>
        </w:rPr>
      </w:pPr>
    </w:p>
    <w:p w:rsidR="0079428F" w:rsidRPr="00127C03" w:rsidRDefault="0079428F" w:rsidP="0079428F">
      <w:pPr>
        <w:pStyle w:val="Heading1"/>
      </w:pPr>
      <w:r w:rsidRPr="00127C03">
        <w:t>Agenda Item</w:t>
      </w:r>
      <w:r w:rsidR="0086076D" w:rsidRPr="00127C03">
        <w:t xml:space="preserve"> </w:t>
      </w:r>
      <w:r w:rsidR="00D03C58">
        <w:t>8</w:t>
      </w:r>
      <w:bookmarkStart w:id="0" w:name="_GoBack"/>
      <w:bookmarkEnd w:id="0"/>
      <w:r w:rsidR="002B3E18" w:rsidRPr="00127C03">
        <w:t xml:space="preserve"> </w:t>
      </w:r>
      <w:r w:rsidR="007B345D">
        <w:t>–</w:t>
      </w:r>
      <w:r w:rsidRPr="00127C03">
        <w:t xml:space="preserve"> </w:t>
      </w:r>
      <w:r w:rsidR="00B90C59">
        <w:t>Updates to Scheme for Financing Schools</w:t>
      </w:r>
    </w:p>
    <w:p w:rsidR="0079428F" w:rsidRDefault="0079428F" w:rsidP="0079428F">
      <w:pPr>
        <w:rPr>
          <w:rFonts w:ascii="Arial" w:hAnsi="Arial" w:cs="Arial"/>
        </w:rPr>
      </w:pPr>
    </w:p>
    <w:p w:rsidR="005F187A" w:rsidRPr="00127C03" w:rsidRDefault="005F187A" w:rsidP="0079428F">
      <w:pPr>
        <w:rPr>
          <w:rFonts w:ascii="Arial" w:hAnsi="Arial" w:cs="Arial"/>
        </w:rPr>
      </w:pPr>
    </w:p>
    <w:p w:rsidR="0079428F" w:rsidRPr="00127C03" w:rsidRDefault="0079428F" w:rsidP="004D7F53">
      <w:pPr>
        <w:numPr>
          <w:ilvl w:val="0"/>
          <w:numId w:val="4"/>
        </w:numPr>
        <w:rPr>
          <w:rFonts w:ascii="Arial" w:hAnsi="Arial" w:cs="Arial"/>
          <w:b/>
          <w:u w:val="single"/>
        </w:rPr>
      </w:pPr>
      <w:r w:rsidRPr="00127C03">
        <w:rPr>
          <w:rFonts w:ascii="Arial" w:hAnsi="Arial" w:cs="Arial"/>
          <w:b/>
          <w:u w:val="single"/>
        </w:rPr>
        <w:t>Introduction</w:t>
      </w:r>
    </w:p>
    <w:p w:rsidR="007B345D" w:rsidRDefault="007B345D" w:rsidP="007B345D">
      <w:pPr>
        <w:rPr>
          <w:rFonts w:ascii="Arial" w:hAnsi="Arial" w:cs="Arial"/>
        </w:rPr>
      </w:pPr>
    </w:p>
    <w:p w:rsidR="00C962B8" w:rsidRPr="00B90C59" w:rsidRDefault="00C962B8" w:rsidP="00C962B8">
      <w:pPr>
        <w:numPr>
          <w:ilvl w:val="1"/>
          <w:numId w:val="4"/>
        </w:numPr>
        <w:rPr>
          <w:rFonts w:ascii="Arial" w:hAnsi="Arial" w:cs="Arial"/>
          <w:color w:val="000000" w:themeColor="text1"/>
        </w:rPr>
      </w:pPr>
      <w:r w:rsidRPr="00B46AAA">
        <w:rPr>
          <w:rFonts w:ascii="Arial" w:hAnsi="Arial" w:cs="Arial"/>
        </w:rPr>
        <w:t xml:space="preserve">Local authorities are </w:t>
      </w:r>
      <w:r>
        <w:rPr>
          <w:rFonts w:ascii="Arial" w:hAnsi="Arial" w:cs="Arial"/>
        </w:rPr>
        <w:t>required to have a scheme for financing schools, setting out the relationship they have with their maintained schools.</w:t>
      </w:r>
    </w:p>
    <w:p w:rsidR="00C962B8" w:rsidRDefault="00C962B8" w:rsidP="00C962B8">
      <w:pPr>
        <w:pStyle w:val="ListParagraph"/>
        <w:rPr>
          <w:rFonts w:ascii="Arial" w:hAnsi="Arial" w:cs="Arial"/>
          <w:bCs/>
        </w:rPr>
      </w:pPr>
    </w:p>
    <w:p w:rsidR="007B345D" w:rsidRDefault="00B90C59" w:rsidP="007B345D">
      <w:pPr>
        <w:pStyle w:val="ListParagraph"/>
        <w:numPr>
          <w:ilvl w:val="1"/>
          <w:numId w:val="4"/>
        </w:numPr>
        <w:rPr>
          <w:rFonts w:ascii="Arial" w:hAnsi="Arial" w:cs="Arial"/>
          <w:bCs/>
        </w:rPr>
      </w:pPr>
      <w:r>
        <w:rPr>
          <w:rFonts w:ascii="Arial" w:hAnsi="Arial" w:cs="Arial"/>
          <w:bCs/>
        </w:rPr>
        <w:t>Each year, ESFA (Education and Skills Funding Agency) publish changes required to the Scheme for Financing Schools. Local authorities are required to incorporate the changes into their Scheme and associated documentation</w:t>
      </w:r>
      <w:r w:rsidR="00C962B8">
        <w:rPr>
          <w:rFonts w:ascii="Arial" w:hAnsi="Arial" w:cs="Arial"/>
          <w:bCs/>
        </w:rPr>
        <w:t>,</w:t>
      </w:r>
      <w:r>
        <w:rPr>
          <w:rFonts w:ascii="Arial" w:hAnsi="Arial" w:cs="Arial"/>
          <w:bCs/>
        </w:rPr>
        <w:t xml:space="preserve"> in consultation with schools.</w:t>
      </w:r>
    </w:p>
    <w:p w:rsidR="00B90C59" w:rsidRDefault="00B90C59" w:rsidP="00B90C59">
      <w:pPr>
        <w:pStyle w:val="ListParagraph"/>
        <w:rPr>
          <w:rFonts w:ascii="Arial" w:hAnsi="Arial" w:cs="Arial"/>
          <w:bCs/>
        </w:rPr>
      </w:pPr>
    </w:p>
    <w:p w:rsidR="00B90C59" w:rsidRDefault="00B90C59" w:rsidP="007B345D">
      <w:pPr>
        <w:pStyle w:val="ListParagraph"/>
        <w:numPr>
          <w:ilvl w:val="1"/>
          <w:numId w:val="4"/>
        </w:numPr>
        <w:rPr>
          <w:rFonts w:ascii="Arial" w:hAnsi="Arial" w:cs="Arial"/>
          <w:bCs/>
        </w:rPr>
      </w:pPr>
      <w:r>
        <w:rPr>
          <w:rFonts w:ascii="Arial" w:hAnsi="Arial" w:cs="Arial"/>
          <w:bCs/>
        </w:rPr>
        <w:t>This report outlines the required changes to the existing Scheme and provides a revised Scheme to reflect the updates.</w:t>
      </w:r>
    </w:p>
    <w:p w:rsidR="005F187A" w:rsidRDefault="005F187A" w:rsidP="008C700B">
      <w:pPr>
        <w:pStyle w:val="ListParagraph"/>
        <w:rPr>
          <w:rFonts w:ascii="Arial" w:hAnsi="Arial" w:cs="Arial"/>
          <w:bCs/>
        </w:rPr>
      </w:pPr>
    </w:p>
    <w:p w:rsidR="008C700B" w:rsidRPr="00E86B0D" w:rsidRDefault="008C700B" w:rsidP="008C700B">
      <w:pPr>
        <w:pStyle w:val="ListParagraph"/>
        <w:numPr>
          <w:ilvl w:val="0"/>
          <w:numId w:val="4"/>
        </w:numPr>
        <w:rPr>
          <w:rFonts w:ascii="Arial" w:hAnsi="Arial" w:cs="Arial"/>
          <w:b/>
          <w:bCs/>
          <w:u w:val="single"/>
        </w:rPr>
      </w:pPr>
      <w:r w:rsidRPr="00E86B0D">
        <w:rPr>
          <w:rFonts w:ascii="Arial" w:hAnsi="Arial" w:cs="Arial"/>
          <w:b/>
          <w:bCs/>
          <w:u w:val="single"/>
        </w:rPr>
        <w:t>Background</w:t>
      </w:r>
    </w:p>
    <w:p w:rsidR="008C700B" w:rsidRDefault="008C700B" w:rsidP="008C700B">
      <w:pPr>
        <w:pStyle w:val="ListParagraph"/>
        <w:rPr>
          <w:rFonts w:ascii="Arial" w:hAnsi="Arial" w:cs="Arial"/>
          <w:bCs/>
        </w:rPr>
      </w:pPr>
    </w:p>
    <w:p w:rsidR="00147F92" w:rsidRDefault="00B90C59" w:rsidP="00147F92">
      <w:pPr>
        <w:numPr>
          <w:ilvl w:val="1"/>
          <w:numId w:val="4"/>
        </w:numPr>
        <w:rPr>
          <w:rFonts w:ascii="Arial" w:hAnsi="Arial" w:cs="Arial"/>
        </w:rPr>
      </w:pPr>
      <w:r>
        <w:rPr>
          <w:rFonts w:ascii="Arial" w:hAnsi="Arial" w:cs="Arial"/>
        </w:rPr>
        <w:t>ESFA published an update to the Scheme for Financing Schools sta</w:t>
      </w:r>
      <w:r w:rsidR="000904BC">
        <w:rPr>
          <w:rFonts w:ascii="Arial" w:hAnsi="Arial" w:cs="Arial"/>
        </w:rPr>
        <w:t>tutory guidance in April 2020</w:t>
      </w:r>
      <w:r w:rsidR="00147F92">
        <w:rPr>
          <w:rFonts w:ascii="Arial" w:hAnsi="Arial" w:cs="Arial"/>
        </w:rPr>
        <w:t>.</w:t>
      </w:r>
      <w:r>
        <w:rPr>
          <w:rFonts w:ascii="Arial" w:hAnsi="Arial" w:cs="Arial"/>
        </w:rPr>
        <w:t xml:space="preserve"> </w:t>
      </w:r>
      <w:r w:rsidR="000904BC" w:rsidRPr="000904BC">
        <w:rPr>
          <w:rFonts w:ascii="Arial" w:hAnsi="Arial" w:cs="Arial"/>
        </w:rPr>
        <w:t>In the context of coronavirus (COVID-19), changes have been kept to a minimum</w:t>
      </w:r>
      <w:r w:rsidR="000904BC">
        <w:rPr>
          <w:rFonts w:ascii="Arial" w:hAnsi="Arial" w:cs="Arial"/>
        </w:rPr>
        <w:t>.</w:t>
      </w:r>
    </w:p>
    <w:p w:rsidR="00147F92" w:rsidRDefault="00147F92" w:rsidP="001D775A">
      <w:pPr>
        <w:rPr>
          <w:rFonts w:ascii="Arial" w:hAnsi="Arial" w:cs="Arial"/>
        </w:rPr>
      </w:pPr>
    </w:p>
    <w:p w:rsidR="00DF5AC6" w:rsidRPr="000904BC" w:rsidRDefault="002C7EE9" w:rsidP="00DF5AC6">
      <w:pPr>
        <w:numPr>
          <w:ilvl w:val="1"/>
          <w:numId w:val="4"/>
        </w:numPr>
        <w:rPr>
          <w:rFonts w:ascii="Arial" w:hAnsi="Arial" w:cs="Arial"/>
          <w:color w:val="000000" w:themeColor="text1"/>
        </w:rPr>
      </w:pPr>
      <w:r>
        <w:rPr>
          <w:rFonts w:ascii="Arial" w:hAnsi="Arial" w:cs="Arial"/>
        </w:rPr>
        <w:t>Planned changes to the S</w:t>
      </w:r>
      <w:r w:rsidR="000904BC">
        <w:rPr>
          <w:rFonts w:ascii="Arial" w:hAnsi="Arial" w:cs="Arial"/>
        </w:rPr>
        <w:t xml:space="preserve">cheme relating to </w:t>
      </w:r>
      <w:r w:rsidR="006A5D78">
        <w:rPr>
          <w:rFonts w:ascii="Arial" w:hAnsi="Arial" w:cs="Arial"/>
        </w:rPr>
        <w:t xml:space="preserve">revised reporting guidance for </w:t>
      </w:r>
      <w:r>
        <w:rPr>
          <w:rFonts w:ascii="Arial" w:hAnsi="Arial" w:cs="Arial"/>
        </w:rPr>
        <w:t>f</w:t>
      </w:r>
      <w:r w:rsidR="000904BC" w:rsidRPr="000904BC">
        <w:rPr>
          <w:rFonts w:ascii="Arial" w:hAnsi="Arial" w:cs="Arial"/>
        </w:rPr>
        <w:t>inancial transparency of maintained schools and academy trusts</w:t>
      </w:r>
      <w:r w:rsidR="006A5D78">
        <w:rPr>
          <w:rFonts w:ascii="Arial" w:hAnsi="Arial" w:cs="Arial"/>
        </w:rPr>
        <w:t xml:space="preserve"> </w:t>
      </w:r>
      <w:r>
        <w:rPr>
          <w:rFonts w:ascii="Arial" w:hAnsi="Arial" w:cs="Arial"/>
        </w:rPr>
        <w:t>have been delayed.</w:t>
      </w:r>
    </w:p>
    <w:p w:rsidR="000904BC" w:rsidRDefault="000904BC" w:rsidP="000904BC">
      <w:pPr>
        <w:pStyle w:val="ListParagraph"/>
        <w:rPr>
          <w:rFonts w:ascii="Arial" w:hAnsi="Arial" w:cs="Arial"/>
          <w:color w:val="000000" w:themeColor="text1"/>
        </w:rPr>
      </w:pPr>
    </w:p>
    <w:p w:rsidR="000904BC" w:rsidRPr="00B90C59" w:rsidRDefault="002C7EE9" w:rsidP="00DF5AC6">
      <w:pPr>
        <w:numPr>
          <w:ilvl w:val="1"/>
          <w:numId w:val="4"/>
        </w:numPr>
        <w:rPr>
          <w:rFonts w:ascii="Arial" w:hAnsi="Arial" w:cs="Arial"/>
          <w:color w:val="000000" w:themeColor="text1"/>
        </w:rPr>
      </w:pPr>
      <w:r>
        <w:rPr>
          <w:rFonts w:ascii="Arial" w:hAnsi="Arial" w:cs="Arial"/>
          <w:color w:val="000000" w:themeColor="text1"/>
        </w:rPr>
        <w:t>Planned changes to the Scheme relating to</w:t>
      </w:r>
      <w:r w:rsidR="006A5D78">
        <w:rPr>
          <w:rFonts w:ascii="Arial" w:hAnsi="Arial" w:cs="Arial"/>
          <w:color w:val="000000" w:themeColor="text1"/>
        </w:rPr>
        <w:t xml:space="preserve"> accounting regulation changes for leases have been delayed as the regulation change itself has been deferred. Accounting changes were planned to come into effect on 1 April 2020 and have now been deferred to April 2021.</w:t>
      </w:r>
    </w:p>
    <w:p w:rsidR="00B90C59" w:rsidRDefault="00B90C59" w:rsidP="00B90C59">
      <w:pPr>
        <w:pStyle w:val="ListParagraph"/>
        <w:rPr>
          <w:rFonts w:ascii="Arial" w:hAnsi="Arial" w:cs="Arial"/>
          <w:color w:val="000000" w:themeColor="text1"/>
        </w:rPr>
      </w:pPr>
    </w:p>
    <w:p w:rsidR="005F187A" w:rsidRPr="00127C03" w:rsidRDefault="005F187A" w:rsidP="00DF5AC6">
      <w:pPr>
        <w:rPr>
          <w:rFonts w:ascii="Arial" w:hAnsi="Arial" w:cs="Arial"/>
          <w:color w:val="000000" w:themeColor="text1"/>
        </w:rPr>
      </w:pPr>
    </w:p>
    <w:p w:rsidR="009F0AAE" w:rsidRDefault="009F0AAE" w:rsidP="009F0AAE">
      <w:pPr>
        <w:rPr>
          <w:rFonts w:ascii="Arial" w:hAnsi="Arial" w:cs="Arial"/>
          <w:b/>
          <w:bCs/>
          <w:u w:val="single"/>
        </w:rPr>
      </w:pPr>
      <w:r w:rsidRPr="009F0AAE">
        <w:rPr>
          <w:rFonts w:ascii="Arial" w:hAnsi="Arial" w:cs="Arial"/>
          <w:b/>
          <w:color w:val="000000" w:themeColor="text1"/>
        </w:rPr>
        <w:t>3</w:t>
      </w:r>
      <w:r>
        <w:rPr>
          <w:rFonts w:ascii="Arial" w:hAnsi="Arial" w:cs="Arial"/>
          <w:color w:val="000000" w:themeColor="text1"/>
        </w:rPr>
        <w:tab/>
      </w:r>
      <w:r w:rsidR="00B90C59">
        <w:rPr>
          <w:rFonts w:ascii="Arial" w:hAnsi="Arial" w:cs="Arial"/>
          <w:b/>
          <w:color w:val="000000" w:themeColor="text1"/>
          <w:u w:val="single"/>
        </w:rPr>
        <w:t>Changes to the Scheme</w:t>
      </w:r>
    </w:p>
    <w:p w:rsidR="00EA1391" w:rsidRPr="00EA1391" w:rsidRDefault="00EA1391" w:rsidP="00EA1391">
      <w:pPr>
        <w:ind w:left="720"/>
        <w:rPr>
          <w:rFonts w:ascii="Arial" w:hAnsi="Arial" w:cs="Arial"/>
          <w:b/>
          <w:bCs/>
          <w:u w:val="single"/>
        </w:rPr>
      </w:pPr>
    </w:p>
    <w:p w:rsidR="006A5D78" w:rsidRDefault="009F0AAE" w:rsidP="006A5D78">
      <w:pPr>
        <w:ind w:left="720" w:hanging="720"/>
        <w:rPr>
          <w:rFonts w:ascii="Helvetica" w:hAnsi="Helvetica"/>
          <w:color w:val="0B0C0C"/>
          <w:sz w:val="29"/>
          <w:szCs w:val="29"/>
        </w:rPr>
      </w:pPr>
      <w:r w:rsidRPr="009F0AAE">
        <w:rPr>
          <w:rFonts w:ascii="Arial" w:hAnsi="Arial" w:cs="Arial"/>
        </w:rPr>
        <w:t>3.</w:t>
      </w:r>
      <w:r>
        <w:rPr>
          <w:rFonts w:ascii="Arial" w:hAnsi="Arial" w:cs="Arial"/>
        </w:rPr>
        <w:t>1</w:t>
      </w:r>
      <w:r w:rsidRPr="009F0AAE">
        <w:rPr>
          <w:rFonts w:ascii="Arial" w:hAnsi="Arial" w:cs="Arial"/>
        </w:rPr>
        <w:tab/>
      </w:r>
      <w:r w:rsidR="006A5D78">
        <w:rPr>
          <w:rFonts w:ascii="Arial" w:hAnsi="Arial" w:cs="Arial"/>
        </w:rPr>
        <w:t xml:space="preserve">The only significant change to the Scheme relates to the extended offer of </w:t>
      </w:r>
      <w:r w:rsidR="006A5D78" w:rsidRPr="006A5D78">
        <w:rPr>
          <w:rFonts w:ascii="Arial" w:hAnsi="Arial" w:cs="Arial"/>
        </w:rPr>
        <w:t>risk protection arrangement (RPA), an alternative to commercial insurance for academies, to local authority maintained schools from 1 April 202</w:t>
      </w:r>
      <w:r w:rsidR="00777B52">
        <w:rPr>
          <w:rFonts w:ascii="Arial" w:hAnsi="Arial" w:cs="Arial"/>
        </w:rPr>
        <w:t>0</w:t>
      </w:r>
      <w:r w:rsidR="007579FE">
        <w:rPr>
          <w:rFonts w:ascii="Arial" w:hAnsi="Arial" w:cs="Arial"/>
        </w:rPr>
        <w:t xml:space="preserve">. The changes are shown at </w:t>
      </w:r>
      <w:r w:rsidR="007579FE" w:rsidRPr="00777B52">
        <w:rPr>
          <w:rFonts w:ascii="Arial" w:hAnsi="Arial" w:cs="Arial"/>
        </w:rPr>
        <w:t xml:space="preserve">section </w:t>
      </w:r>
      <w:r w:rsidR="00777B52" w:rsidRPr="00777B52">
        <w:rPr>
          <w:rFonts w:ascii="Arial" w:hAnsi="Arial" w:cs="Arial"/>
        </w:rPr>
        <w:t>13.9</w:t>
      </w:r>
      <w:r w:rsidR="007579FE" w:rsidRPr="00777B52">
        <w:rPr>
          <w:rFonts w:ascii="Arial" w:hAnsi="Arial" w:cs="Arial"/>
        </w:rPr>
        <w:t xml:space="preserve"> of</w:t>
      </w:r>
      <w:r w:rsidR="007579FE">
        <w:rPr>
          <w:rFonts w:ascii="Arial" w:hAnsi="Arial" w:cs="Arial"/>
        </w:rPr>
        <w:t xml:space="preserve"> the updated Scheme attached at appendix A.</w:t>
      </w:r>
    </w:p>
    <w:p w:rsidR="007579FE" w:rsidRPr="007579FE" w:rsidRDefault="006A5D78" w:rsidP="007579FE">
      <w:pPr>
        <w:pStyle w:val="NormalWeb"/>
        <w:ind w:left="720" w:hanging="720"/>
        <w:rPr>
          <w:rFonts w:ascii="Arial" w:hAnsi="Arial" w:cs="Arial"/>
          <w:lang w:eastAsia="en-US"/>
        </w:rPr>
      </w:pPr>
      <w:r w:rsidRPr="006A5D78">
        <w:rPr>
          <w:rFonts w:ascii="Arial" w:hAnsi="Arial" w:cs="Arial"/>
        </w:rPr>
        <w:t>3.2</w:t>
      </w:r>
      <w:r w:rsidR="007579FE">
        <w:rPr>
          <w:rFonts w:ascii="Arial" w:hAnsi="Arial" w:cs="Arial"/>
        </w:rPr>
        <w:tab/>
      </w:r>
      <w:r w:rsidR="007579FE" w:rsidRPr="007579FE">
        <w:rPr>
          <w:rFonts w:ascii="Arial" w:hAnsi="Arial" w:cs="Arial"/>
          <w:lang w:eastAsia="en-US"/>
        </w:rPr>
        <w:t>Instead of taking out insurance, a school may join the Secretary of State’s risk protection arrangement (RPA) for risks that are covered by the RPA.</w:t>
      </w:r>
      <w:r w:rsidR="007579FE">
        <w:rPr>
          <w:rFonts w:ascii="Arial" w:hAnsi="Arial" w:cs="Arial"/>
          <w:lang w:eastAsia="en-US"/>
        </w:rPr>
        <w:t xml:space="preserve"> </w:t>
      </w:r>
      <w:r w:rsidR="007579FE" w:rsidRPr="007579FE">
        <w:rPr>
          <w:rFonts w:ascii="Arial" w:hAnsi="Arial" w:cs="Arial"/>
          <w:lang w:eastAsia="en-US"/>
        </w:rPr>
        <w:t>The scheme should contain a provision which allows schools to join the RPA after 1 April 2020. Schools may do this individually when any insurance contract of which they are part expires.</w:t>
      </w:r>
      <w:r w:rsidR="007579FE">
        <w:rPr>
          <w:rFonts w:ascii="Arial" w:hAnsi="Arial" w:cs="Arial"/>
          <w:lang w:eastAsia="en-US"/>
        </w:rPr>
        <w:t xml:space="preserve"> </w:t>
      </w:r>
      <w:r w:rsidR="007579FE" w:rsidRPr="007579FE">
        <w:rPr>
          <w:rFonts w:ascii="Arial" w:hAnsi="Arial" w:cs="Arial"/>
          <w:lang w:eastAsia="en-US"/>
        </w:rPr>
        <w:t>The scheme should also provide for all primary and/or secondary maintained schools to join the RPA collec</w:t>
      </w:r>
      <w:r w:rsidR="007579FE">
        <w:rPr>
          <w:rFonts w:ascii="Arial" w:hAnsi="Arial" w:cs="Arial"/>
          <w:lang w:eastAsia="en-US"/>
        </w:rPr>
        <w:t>tively by agreeing through the S</w:t>
      </w:r>
      <w:r w:rsidR="007579FE" w:rsidRPr="007579FE">
        <w:rPr>
          <w:rFonts w:ascii="Arial" w:hAnsi="Arial" w:cs="Arial"/>
          <w:lang w:eastAsia="en-US"/>
        </w:rPr>
        <w:t>chools</w:t>
      </w:r>
      <w:r w:rsidR="007579FE">
        <w:rPr>
          <w:rFonts w:ascii="Arial" w:hAnsi="Arial" w:cs="Arial"/>
          <w:lang w:eastAsia="en-US"/>
        </w:rPr>
        <w:t>’ F</w:t>
      </w:r>
      <w:r w:rsidR="007579FE" w:rsidRPr="007579FE">
        <w:rPr>
          <w:rFonts w:ascii="Arial" w:hAnsi="Arial" w:cs="Arial"/>
          <w:lang w:eastAsia="en-US"/>
        </w:rPr>
        <w:t>orum to de-delegate funding.</w:t>
      </w:r>
    </w:p>
    <w:p w:rsidR="007579FE" w:rsidRDefault="006A5D78" w:rsidP="006A5D78">
      <w:pPr>
        <w:ind w:left="720" w:hanging="720"/>
        <w:rPr>
          <w:rFonts w:ascii="Arial" w:hAnsi="Arial" w:cs="Arial"/>
        </w:rPr>
      </w:pPr>
      <w:r w:rsidRPr="006A5D78">
        <w:rPr>
          <w:rFonts w:ascii="Arial" w:hAnsi="Arial" w:cs="Arial"/>
        </w:rPr>
        <w:tab/>
      </w:r>
    </w:p>
    <w:p w:rsidR="007579FE" w:rsidRDefault="007579FE" w:rsidP="006A5D78">
      <w:pPr>
        <w:ind w:left="720" w:hanging="720"/>
        <w:rPr>
          <w:rFonts w:ascii="Arial" w:hAnsi="Arial" w:cs="Arial"/>
        </w:rPr>
      </w:pPr>
    </w:p>
    <w:p w:rsidR="007579FE" w:rsidRDefault="007579FE" w:rsidP="006A5D78">
      <w:pPr>
        <w:ind w:left="720" w:hanging="720"/>
        <w:rPr>
          <w:rFonts w:ascii="Arial" w:hAnsi="Arial" w:cs="Arial"/>
        </w:rPr>
      </w:pPr>
    </w:p>
    <w:p w:rsidR="007579FE" w:rsidRDefault="007579FE" w:rsidP="006A5D78">
      <w:pPr>
        <w:ind w:left="720" w:hanging="720"/>
        <w:rPr>
          <w:rFonts w:ascii="Arial" w:hAnsi="Arial" w:cs="Arial"/>
        </w:rPr>
      </w:pPr>
    </w:p>
    <w:p w:rsidR="007B345D" w:rsidRPr="009F0AAE" w:rsidRDefault="007579FE" w:rsidP="006A5D78">
      <w:pPr>
        <w:ind w:left="720" w:hanging="720"/>
        <w:rPr>
          <w:rFonts w:ascii="Arial" w:hAnsi="Arial" w:cs="Arial"/>
        </w:rPr>
      </w:pPr>
      <w:r>
        <w:rPr>
          <w:rFonts w:ascii="Arial" w:hAnsi="Arial" w:cs="Arial"/>
        </w:rPr>
        <w:t>3.3</w:t>
      </w:r>
      <w:r>
        <w:rPr>
          <w:rFonts w:ascii="Arial" w:hAnsi="Arial" w:cs="Arial"/>
        </w:rPr>
        <w:tab/>
      </w:r>
      <w:r w:rsidR="007B345D" w:rsidRPr="009F0AAE">
        <w:rPr>
          <w:rFonts w:ascii="Arial" w:hAnsi="Arial" w:cs="Arial"/>
        </w:rPr>
        <w:t xml:space="preserve">The table below </w:t>
      </w:r>
      <w:r w:rsidR="001D775A">
        <w:rPr>
          <w:rFonts w:ascii="Arial" w:hAnsi="Arial" w:cs="Arial"/>
        </w:rPr>
        <w:t>summarises</w:t>
      </w:r>
      <w:r w:rsidR="007B345D" w:rsidRPr="009F0AAE">
        <w:rPr>
          <w:rFonts w:ascii="Arial" w:hAnsi="Arial" w:cs="Arial"/>
        </w:rPr>
        <w:t xml:space="preserve"> the </w:t>
      </w:r>
      <w:r w:rsidR="006A5D78">
        <w:rPr>
          <w:rFonts w:ascii="Arial" w:hAnsi="Arial" w:cs="Arial"/>
        </w:rPr>
        <w:t>remaining minor updates required</w:t>
      </w:r>
      <w:r w:rsidR="00C962B8">
        <w:rPr>
          <w:rFonts w:ascii="Arial" w:hAnsi="Arial" w:cs="Arial"/>
        </w:rPr>
        <w:t xml:space="preserve"> to the current Scheme</w:t>
      </w:r>
      <w:r w:rsidR="008C700B" w:rsidRPr="009F0AAE">
        <w:rPr>
          <w:rFonts w:ascii="Arial" w:hAnsi="Arial" w:cs="Arial"/>
        </w:rPr>
        <w:t>.</w:t>
      </w:r>
    </w:p>
    <w:p w:rsidR="007B4E26" w:rsidRPr="000255F6" w:rsidRDefault="007B4E26" w:rsidP="001E5326">
      <w:pPr>
        <w:rPr>
          <w:rFonts w:ascii="Arial" w:hAnsi="Arial" w:cs="Arial"/>
          <w:bCs/>
          <w:vanish/>
        </w:rPr>
      </w:pPr>
    </w:p>
    <w:p w:rsidR="00C962B8" w:rsidRDefault="00C962B8" w:rsidP="00B90C59">
      <w:pPr>
        <w:ind w:left="720" w:hanging="720"/>
        <w:rPr>
          <w:rFonts w:ascii="Arial" w:hAnsi="Arial" w:cs="Arial"/>
        </w:rPr>
      </w:pPr>
      <w:r>
        <w:rPr>
          <w:rFonts w:ascii="Arial" w:hAnsi="Arial" w:cs="Arial"/>
        </w:rPr>
        <w:tab/>
      </w:r>
    </w:p>
    <w:tbl>
      <w:tblPr>
        <w:tblStyle w:val="TableGrid"/>
        <w:tblW w:w="0" w:type="auto"/>
        <w:tblInd w:w="720" w:type="dxa"/>
        <w:tblLook w:val="04A0" w:firstRow="1" w:lastRow="0" w:firstColumn="1" w:lastColumn="0" w:noHBand="0" w:noVBand="1"/>
      </w:tblPr>
      <w:tblGrid>
        <w:gridCol w:w="2110"/>
        <w:gridCol w:w="6797"/>
      </w:tblGrid>
      <w:tr w:rsidR="00C962B8" w:rsidTr="00C962B8">
        <w:tc>
          <w:tcPr>
            <w:tcW w:w="2110" w:type="dxa"/>
            <w:shd w:val="clear" w:color="auto" w:fill="B6DDE8" w:themeFill="accent5" w:themeFillTint="66"/>
          </w:tcPr>
          <w:p w:rsidR="00C962B8" w:rsidRDefault="00C962B8" w:rsidP="00B90C59">
            <w:pPr>
              <w:rPr>
                <w:rFonts w:ascii="Arial" w:hAnsi="Arial" w:cs="Arial"/>
              </w:rPr>
            </w:pPr>
            <w:r>
              <w:rPr>
                <w:rFonts w:ascii="Arial" w:hAnsi="Arial" w:cs="Arial"/>
              </w:rPr>
              <w:t>Paragraph</w:t>
            </w:r>
          </w:p>
        </w:tc>
        <w:tc>
          <w:tcPr>
            <w:tcW w:w="6797" w:type="dxa"/>
            <w:shd w:val="clear" w:color="auto" w:fill="B6DDE8" w:themeFill="accent5" w:themeFillTint="66"/>
          </w:tcPr>
          <w:p w:rsidR="00C962B8" w:rsidRDefault="00C962B8" w:rsidP="00B90C59">
            <w:pPr>
              <w:rPr>
                <w:rFonts w:ascii="Arial" w:hAnsi="Arial" w:cs="Arial"/>
              </w:rPr>
            </w:pPr>
            <w:r>
              <w:rPr>
                <w:rFonts w:ascii="Arial" w:hAnsi="Arial" w:cs="Arial"/>
              </w:rPr>
              <w:t>Change</w:t>
            </w:r>
          </w:p>
        </w:tc>
      </w:tr>
      <w:tr w:rsidR="00806D53" w:rsidTr="00C962B8">
        <w:tc>
          <w:tcPr>
            <w:tcW w:w="2110" w:type="dxa"/>
            <w:vMerge w:val="restart"/>
          </w:tcPr>
          <w:p w:rsidR="00806D53" w:rsidRDefault="00806D53" w:rsidP="00B90C59">
            <w:pPr>
              <w:rPr>
                <w:rFonts w:ascii="Arial" w:hAnsi="Arial" w:cs="Arial"/>
              </w:rPr>
            </w:pPr>
            <w:r>
              <w:rPr>
                <w:rFonts w:ascii="Arial" w:hAnsi="Arial" w:cs="Arial"/>
              </w:rPr>
              <w:t xml:space="preserve">1.1 The Funding Framework </w:t>
            </w:r>
          </w:p>
        </w:tc>
        <w:tc>
          <w:tcPr>
            <w:tcW w:w="6797" w:type="dxa"/>
          </w:tcPr>
          <w:p w:rsidR="00806D53" w:rsidRDefault="00806D53" w:rsidP="00B90C59">
            <w:pPr>
              <w:rPr>
                <w:rFonts w:ascii="Arial" w:hAnsi="Arial" w:cs="Arial"/>
              </w:rPr>
            </w:pPr>
            <w:r w:rsidRPr="007579FE">
              <w:rPr>
                <w:rFonts w:ascii="Arial" w:hAnsi="Arial" w:cs="Arial"/>
              </w:rPr>
              <w:t xml:space="preserve">Regulation change - changed to ““the regulations” are the </w:t>
            </w:r>
            <w:hyperlink r:id="rId8" w:history="1">
              <w:r w:rsidRPr="007579FE">
                <w:rPr>
                  <w:rFonts w:ascii="Arial" w:hAnsi="Arial" w:cs="Arial"/>
                </w:rPr>
                <w:t>School and Early Years Finance (England) Regulations 2020</w:t>
              </w:r>
            </w:hyperlink>
          </w:p>
        </w:tc>
      </w:tr>
      <w:tr w:rsidR="00806D53" w:rsidTr="00C962B8">
        <w:tc>
          <w:tcPr>
            <w:tcW w:w="2110" w:type="dxa"/>
            <w:vMerge/>
          </w:tcPr>
          <w:p w:rsidR="00806D53" w:rsidRDefault="00806D53" w:rsidP="00B90C59">
            <w:pPr>
              <w:rPr>
                <w:rFonts w:ascii="Arial" w:hAnsi="Arial" w:cs="Arial"/>
              </w:rPr>
            </w:pPr>
          </w:p>
        </w:tc>
        <w:tc>
          <w:tcPr>
            <w:tcW w:w="6797" w:type="dxa"/>
          </w:tcPr>
          <w:p w:rsidR="00806D53" w:rsidRDefault="00806D53" w:rsidP="00B90C59">
            <w:pPr>
              <w:rPr>
                <w:rFonts w:ascii="Arial" w:hAnsi="Arial" w:cs="Arial"/>
              </w:rPr>
            </w:pPr>
            <w:r w:rsidRPr="007579FE">
              <w:rPr>
                <w:rFonts w:ascii="Arial" w:hAnsi="Arial" w:cs="Arial"/>
              </w:rPr>
              <w:t>Minor change - changed to “current funding framework”.</w:t>
            </w:r>
          </w:p>
        </w:tc>
      </w:tr>
      <w:tr w:rsidR="00C962B8" w:rsidTr="00C962B8">
        <w:tc>
          <w:tcPr>
            <w:tcW w:w="2110" w:type="dxa"/>
          </w:tcPr>
          <w:p w:rsidR="00C962B8" w:rsidRDefault="005B32C7" w:rsidP="00B90C59">
            <w:pPr>
              <w:rPr>
                <w:rFonts w:ascii="Arial" w:hAnsi="Arial" w:cs="Arial"/>
              </w:rPr>
            </w:pPr>
            <w:r>
              <w:rPr>
                <w:rFonts w:ascii="Arial" w:hAnsi="Arial" w:cs="Arial"/>
              </w:rPr>
              <w:t>2</w:t>
            </w:r>
            <w:r w:rsidR="007579FE">
              <w:rPr>
                <w:rFonts w:ascii="Arial" w:hAnsi="Arial" w:cs="Arial"/>
              </w:rPr>
              <w:t>.4</w:t>
            </w:r>
            <w:r>
              <w:rPr>
                <w:rFonts w:ascii="Arial" w:hAnsi="Arial" w:cs="Arial"/>
              </w:rPr>
              <w:t xml:space="preserve"> School Resource Management</w:t>
            </w:r>
          </w:p>
        </w:tc>
        <w:tc>
          <w:tcPr>
            <w:tcW w:w="6797" w:type="dxa"/>
          </w:tcPr>
          <w:p w:rsidR="00C962B8" w:rsidRDefault="007579FE" w:rsidP="00B90C59">
            <w:pPr>
              <w:rPr>
                <w:rFonts w:ascii="Arial" w:hAnsi="Arial" w:cs="Arial"/>
              </w:rPr>
            </w:pPr>
            <w:r w:rsidRPr="007579FE">
              <w:rPr>
                <w:rFonts w:ascii="Arial" w:hAnsi="Arial" w:cs="Arial"/>
              </w:rPr>
              <w:t>Minor change - removed “Taking into account the purchasing, tendering and contracting requirements.”</w:t>
            </w:r>
          </w:p>
        </w:tc>
      </w:tr>
      <w:tr w:rsidR="00C962B8" w:rsidTr="00C962B8">
        <w:tc>
          <w:tcPr>
            <w:tcW w:w="2110" w:type="dxa"/>
          </w:tcPr>
          <w:p w:rsidR="00C962B8" w:rsidRDefault="00F208CA" w:rsidP="00B90C59">
            <w:pPr>
              <w:rPr>
                <w:rFonts w:ascii="Arial" w:hAnsi="Arial" w:cs="Arial"/>
              </w:rPr>
            </w:pPr>
            <w:r>
              <w:rPr>
                <w:rFonts w:ascii="Arial" w:hAnsi="Arial" w:cs="Arial"/>
              </w:rPr>
              <w:t>2</w:t>
            </w:r>
            <w:r w:rsidR="007579FE">
              <w:rPr>
                <w:rFonts w:ascii="Arial" w:hAnsi="Arial" w:cs="Arial"/>
              </w:rPr>
              <w:t>.10</w:t>
            </w:r>
            <w:r>
              <w:rPr>
                <w:rFonts w:ascii="Arial" w:hAnsi="Arial" w:cs="Arial"/>
              </w:rPr>
              <w:t xml:space="preserve"> Purchasing, Contracting and Tendering Requirements</w:t>
            </w:r>
          </w:p>
        </w:tc>
        <w:tc>
          <w:tcPr>
            <w:tcW w:w="6797" w:type="dxa"/>
          </w:tcPr>
          <w:p w:rsidR="00C962B8" w:rsidRDefault="007579FE" w:rsidP="003B087A">
            <w:pPr>
              <w:rPr>
                <w:rFonts w:ascii="Arial" w:hAnsi="Arial" w:cs="Arial"/>
              </w:rPr>
            </w:pPr>
            <w:r w:rsidRPr="007579FE">
              <w:rPr>
                <w:rFonts w:ascii="Arial" w:hAnsi="Arial" w:cs="Arial"/>
              </w:rPr>
              <w:t>Minor change - changed to “contracting authorities”</w:t>
            </w:r>
          </w:p>
        </w:tc>
      </w:tr>
      <w:tr w:rsidR="004D43B3" w:rsidTr="00C962B8">
        <w:tc>
          <w:tcPr>
            <w:tcW w:w="2110" w:type="dxa"/>
            <w:vMerge w:val="restart"/>
          </w:tcPr>
          <w:p w:rsidR="004D43B3" w:rsidRDefault="003036DE" w:rsidP="00B90C59">
            <w:pPr>
              <w:rPr>
                <w:rFonts w:ascii="Arial" w:hAnsi="Arial" w:cs="Arial"/>
              </w:rPr>
            </w:pPr>
            <w:r>
              <w:rPr>
                <w:rFonts w:ascii="Arial" w:hAnsi="Arial" w:cs="Arial"/>
              </w:rPr>
              <w:t>11</w:t>
            </w:r>
            <w:r w:rsidR="004D43B3">
              <w:rPr>
                <w:rFonts w:ascii="Arial" w:hAnsi="Arial" w:cs="Arial"/>
              </w:rPr>
              <w:t>.3</w:t>
            </w:r>
            <w:r>
              <w:rPr>
                <w:rFonts w:ascii="Arial" w:hAnsi="Arial" w:cs="Arial"/>
              </w:rPr>
              <w:t xml:space="preserve"> Governors’ Expenses</w:t>
            </w:r>
          </w:p>
        </w:tc>
        <w:tc>
          <w:tcPr>
            <w:tcW w:w="6797" w:type="dxa"/>
          </w:tcPr>
          <w:p w:rsidR="004D43B3" w:rsidRDefault="004D43B3" w:rsidP="00B90C59">
            <w:pPr>
              <w:rPr>
                <w:rFonts w:ascii="Arial" w:hAnsi="Arial" w:cs="Arial"/>
              </w:rPr>
            </w:pPr>
            <w:r w:rsidRPr="004D43B3">
              <w:rPr>
                <w:rFonts w:ascii="Arial" w:hAnsi="Arial" w:cs="Arial"/>
              </w:rPr>
              <w:t>Minor change - changed “Governors’ Allowances”</w:t>
            </w:r>
          </w:p>
        </w:tc>
      </w:tr>
      <w:tr w:rsidR="004D43B3" w:rsidTr="00C962B8">
        <w:tc>
          <w:tcPr>
            <w:tcW w:w="2110" w:type="dxa"/>
            <w:vMerge/>
          </w:tcPr>
          <w:p w:rsidR="004D43B3" w:rsidRDefault="004D43B3" w:rsidP="00B90C59">
            <w:pPr>
              <w:rPr>
                <w:rFonts w:ascii="Arial" w:hAnsi="Arial" w:cs="Arial"/>
              </w:rPr>
            </w:pPr>
          </w:p>
        </w:tc>
        <w:tc>
          <w:tcPr>
            <w:tcW w:w="6797" w:type="dxa"/>
          </w:tcPr>
          <w:p w:rsidR="004D43B3" w:rsidRDefault="004D43B3" w:rsidP="00B90C59">
            <w:pPr>
              <w:rPr>
                <w:rFonts w:ascii="Arial" w:hAnsi="Arial" w:cs="Arial"/>
              </w:rPr>
            </w:pPr>
            <w:r w:rsidRPr="004D43B3">
              <w:rPr>
                <w:rFonts w:ascii="Arial" w:hAnsi="Arial" w:cs="Arial"/>
              </w:rPr>
              <w:t>Presentational change - added “Schools without delegated budgets”</w:t>
            </w:r>
          </w:p>
        </w:tc>
      </w:tr>
      <w:tr w:rsidR="004D43B3" w:rsidTr="00C962B8">
        <w:tc>
          <w:tcPr>
            <w:tcW w:w="2110" w:type="dxa"/>
            <w:vMerge/>
          </w:tcPr>
          <w:p w:rsidR="004D43B3" w:rsidRDefault="004D43B3" w:rsidP="00B90C59">
            <w:pPr>
              <w:rPr>
                <w:rFonts w:ascii="Arial" w:hAnsi="Arial" w:cs="Arial"/>
              </w:rPr>
            </w:pPr>
          </w:p>
        </w:tc>
        <w:tc>
          <w:tcPr>
            <w:tcW w:w="6797" w:type="dxa"/>
          </w:tcPr>
          <w:p w:rsidR="004D43B3" w:rsidRDefault="004D43B3" w:rsidP="00B90C59">
            <w:pPr>
              <w:rPr>
                <w:rFonts w:ascii="Arial" w:hAnsi="Arial" w:cs="Arial"/>
              </w:rPr>
            </w:pPr>
            <w:r w:rsidRPr="004D43B3">
              <w:rPr>
                <w:rFonts w:ascii="Arial" w:hAnsi="Arial" w:cs="Arial"/>
              </w:rPr>
              <w:t>Presentational change - added “Schools with delegated budgets”</w:t>
            </w:r>
          </w:p>
        </w:tc>
      </w:tr>
      <w:tr w:rsidR="003B087A" w:rsidTr="00C962B8">
        <w:tc>
          <w:tcPr>
            <w:tcW w:w="2110" w:type="dxa"/>
          </w:tcPr>
          <w:p w:rsidR="003B087A" w:rsidRDefault="0023630B" w:rsidP="00B90C59">
            <w:pPr>
              <w:rPr>
                <w:rFonts w:ascii="Arial" w:hAnsi="Arial" w:cs="Arial"/>
              </w:rPr>
            </w:pPr>
            <w:r>
              <w:rPr>
                <w:rFonts w:ascii="Arial" w:hAnsi="Arial" w:cs="Arial"/>
              </w:rPr>
              <w:t>13.11 Banking</w:t>
            </w:r>
          </w:p>
        </w:tc>
        <w:tc>
          <w:tcPr>
            <w:tcW w:w="6797" w:type="dxa"/>
          </w:tcPr>
          <w:p w:rsidR="003B087A" w:rsidRDefault="004D43B3" w:rsidP="00B90C59">
            <w:pPr>
              <w:rPr>
                <w:rFonts w:ascii="Arial" w:hAnsi="Arial" w:cs="Arial"/>
              </w:rPr>
            </w:pPr>
            <w:r w:rsidRPr="004D43B3">
              <w:rPr>
                <w:rFonts w:ascii="Arial" w:hAnsi="Arial" w:cs="Arial"/>
              </w:rPr>
              <w:t>Changes to the guidance - deleted “The scheme should contain a provision reminding schools that they must not borrow money without the written consent of the Secretary of State. This requirement does not extend to monies lent to schools by their maintaining authority.”</w:t>
            </w:r>
          </w:p>
        </w:tc>
      </w:tr>
      <w:tr w:rsidR="003B087A" w:rsidTr="00C962B8">
        <w:tc>
          <w:tcPr>
            <w:tcW w:w="2110" w:type="dxa"/>
          </w:tcPr>
          <w:p w:rsidR="003B087A" w:rsidRDefault="002061F2" w:rsidP="00B90C59">
            <w:pPr>
              <w:rPr>
                <w:rFonts w:ascii="Arial" w:hAnsi="Arial" w:cs="Arial"/>
              </w:rPr>
            </w:pPr>
            <w:r>
              <w:rPr>
                <w:rFonts w:ascii="Arial" w:hAnsi="Arial" w:cs="Arial"/>
              </w:rPr>
              <w:t>Annex 1</w:t>
            </w:r>
          </w:p>
        </w:tc>
        <w:tc>
          <w:tcPr>
            <w:tcW w:w="6797" w:type="dxa"/>
          </w:tcPr>
          <w:p w:rsidR="003B087A" w:rsidRDefault="002061F2" w:rsidP="00B90C59">
            <w:pPr>
              <w:rPr>
                <w:rFonts w:ascii="Arial" w:hAnsi="Arial" w:cs="Arial"/>
              </w:rPr>
            </w:pPr>
            <w:r>
              <w:rPr>
                <w:rFonts w:ascii="Arial" w:hAnsi="Arial" w:cs="Arial"/>
              </w:rPr>
              <w:t>List of schools covered by the scheme amended to reflect academy conversions</w:t>
            </w:r>
          </w:p>
        </w:tc>
      </w:tr>
    </w:tbl>
    <w:p w:rsidR="00072AD6" w:rsidRDefault="00072AD6" w:rsidP="00B90C59">
      <w:pPr>
        <w:ind w:left="720" w:hanging="720"/>
        <w:rPr>
          <w:rFonts w:ascii="Arial" w:hAnsi="Arial" w:cs="Arial"/>
        </w:rPr>
      </w:pPr>
    </w:p>
    <w:p w:rsidR="00072AD6" w:rsidRDefault="00072AD6" w:rsidP="009F0AAE">
      <w:pPr>
        <w:ind w:left="709" w:hanging="709"/>
        <w:rPr>
          <w:rFonts w:ascii="Arial" w:hAnsi="Arial" w:cs="Arial"/>
        </w:rPr>
      </w:pPr>
    </w:p>
    <w:p w:rsidR="00C03663" w:rsidRDefault="004D43B3" w:rsidP="009F0AAE">
      <w:pPr>
        <w:ind w:left="709" w:hanging="709"/>
        <w:rPr>
          <w:rFonts w:ascii="Arial" w:hAnsi="Arial" w:cs="Arial"/>
        </w:rPr>
      </w:pPr>
      <w:r>
        <w:rPr>
          <w:rFonts w:ascii="Arial" w:hAnsi="Arial" w:cs="Arial"/>
        </w:rPr>
        <w:t>3.4</w:t>
      </w:r>
      <w:r w:rsidR="0007213A">
        <w:rPr>
          <w:rFonts w:ascii="Arial" w:hAnsi="Arial" w:cs="Arial"/>
        </w:rPr>
        <w:tab/>
      </w:r>
      <w:r w:rsidR="00A457C1">
        <w:rPr>
          <w:rFonts w:ascii="Arial" w:hAnsi="Arial" w:cs="Arial"/>
        </w:rPr>
        <w:tab/>
        <w:t>The revised Scheme reflecting the changes outlined in this report is attached at appendix A. All changes and deletions are highlighted in yellow.</w:t>
      </w:r>
    </w:p>
    <w:p w:rsidR="00C03663" w:rsidRDefault="00C03663" w:rsidP="009F0AAE">
      <w:pPr>
        <w:ind w:left="709" w:hanging="709"/>
        <w:rPr>
          <w:rFonts w:ascii="Arial" w:hAnsi="Arial" w:cs="Arial"/>
        </w:rPr>
      </w:pPr>
    </w:p>
    <w:p w:rsidR="00576018" w:rsidRPr="00576018" w:rsidRDefault="00B90C59" w:rsidP="00576018">
      <w:pPr>
        <w:rPr>
          <w:rFonts w:ascii="Arial" w:hAnsi="Arial" w:cs="Arial"/>
        </w:rPr>
      </w:pPr>
      <w:r>
        <w:rPr>
          <w:rFonts w:ascii="Arial" w:hAnsi="Arial" w:cs="Arial"/>
          <w:b/>
        </w:rPr>
        <w:t>4</w:t>
      </w:r>
      <w:r w:rsidR="00576018" w:rsidRPr="00576018">
        <w:rPr>
          <w:rFonts w:ascii="Arial" w:hAnsi="Arial" w:cs="Arial"/>
        </w:rPr>
        <w:tab/>
      </w:r>
      <w:r w:rsidR="00576018" w:rsidRPr="00576018">
        <w:rPr>
          <w:rFonts w:ascii="Arial" w:hAnsi="Arial" w:cs="Arial"/>
          <w:b/>
          <w:bCs/>
          <w:u w:val="single"/>
        </w:rPr>
        <w:t>Recommendations</w:t>
      </w:r>
    </w:p>
    <w:p w:rsidR="00576018" w:rsidRDefault="00576018" w:rsidP="00576018">
      <w:pPr>
        <w:rPr>
          <w:rFonts w:ascii="Arial" w:hAnsi="Arial" w:cs="Arial"/>
        </w:rPr>
      </w:pPr>
    </w:p>
    <w:p w:rsidR="0007213A" w:rsidRDefault="00B90C59" w:rsidP="002E6944">
      <w:pPr>
        <w:ind w:left="567" w:hanging="567"/>
        <w:rPr>
          <w:rFonts w:ascii="Arial" w:hAnsi="Arial" w:cs="Arial"/>
        </w:rPr>
      </w:pPr>
      <w:r>
        <w:rPr>
          <w:rFonts w:ascii="Arial" w:hAnsi="Arial" w:cs="Arial"/>
        </w:rPr>
        <w:t>4</w:t>
      </w:r>
      <w:r w:rsidR="00F674ED">
        <w:rPr>
          <w:rFonts w:ascii="Arial" w:hAnsi="Arial" w:cs="Arial"/>
        </w:rPr>
        <w:t>.1</w:t>
      </w:r>
      <w:r w:rsidR="00F674ED">
        <w:rPr>
          <w:rFonts w:ascii="Arial" w:hAnsi="Arial" w:cs="Arial"/>
        </w:rPr>
        <w:tab/>
      </w:r>
      <w:r w:rsidR="001D775A">
        <w:rPr>
          <w:rFonts w:ascii="Arial" w:hAnsi="Arial" w:cs="Arial"/>
        </w:rPr>
        <w:t xml:space="preserve">Forum is </w:t>
      </w:r>
      <w:r w:rsidR="0007213A">
        <w:rPr>
          <w:rFonts w:ascii="Arial" w:hAnsi="Arial" w:cs="Arial"/>
        </w:rPr>
        <w:t>asked to:</w:t>
      </w:r>
    </w:p>
    <w:p w:rsidR="0007213A" w:rsidRDefault="0007213A" w:rsidP="0007213A">
      <w:pPr>
        <w:ind w:left="567"/>
        <w:rPr>
          <w:rFonts w:ascii="Arial" w:hAnsi="Arial" w:cs="Arial"/>
        </w:rPr>
      </w:pPr>
      <w:r>
        <w:rPr>
          <w:rFonts w:ascii="Arial" w:hAnsi="Arial" w:cs="Arial"/>
        </w:rPr>
        <w:t>a) note the ESFA changes outlined in the report</w:t>
      </w:r>
      <w:r w:rsidR="006A5D78">
        <w:rPr>
          <w:rFonts w:ascii="Arial" w:hAnsi="Arial" w:cs="Arial"/>
        </w:rPr>
        <w:t>;</w:t>
      </w:r>
    </w:p>
    <w:p w:rsidR="0007213A" w:rsidRDefault="0007213A" w:rsidP="0007213A">
      <w:pPr>
        <w:ind w:left="567"/>
        <w:rPr>
          <w:rFonts w:ascii="Arial" w:hAnsi="Arial" w:cs="Arial"/>
        </w:rPr>
      </w:pPr>
      <w:r>
        <w:rPr>
          <w:rFonts w:ascii="Arial" w:hAnsi="Arial" w:cs="Arial"/>
        </w:rPr>
        <w:t xml:space="preserve">b) </w:t>
      </w:r>
      <w:r w:rsidR="00C962B8">
        <w:rPr>
          <w:rFonts w:ascii="Arial" w:hAnsi="Arial" w:cs="Arial"/>
        </w:rPr>
        <w:t xml:space="preserve">agree that the changes outlined are </w:t>
      </w:r>
      <w:r w:rsidR="00A457C1">
        <w:rPr>
          <w:rFonts w:ascii="Arial" w:hAnsi="Arial" w:cs="Arial"/>
        </w:rPr>
        <w:t xml:space="preserve">confirmed in </w:t>
      </w:r>
      <w:r w:rsidR="00C962B8">
        <w:rPr>
          <w:rFonts w:ascii="Arial" w:hAnsi="Arial" w:cs="Arial"/>
        </w:rPr>
        <w:t xml:space="preserve">the Scheme </w:t>
      </w:r>
      <w:r>
        <w:rPr>
          <w:rFonts w:ascii="Arial" w:hAnsi="Arial" w:cs="Arial"/>
        </w:rPr>
        <w:t xml:space="preserve">documentation </w:t>
      </w:r>
      <w:r w:rsidR="00C962B8">
        <w:rPr>
          <w:rFonts w:ascii="Arial" w:hAnsi="Arial" w:cs="Arial"/>
        </w:rPr>
        <w:t>and published</w:t>
      </w:r>
      <w:r w:rsidR="00C32D21">
        <w:rPr>
          <w:rFonts w:ascii="Arial" w:hAnsi="Arial" w:cs="Arial"/>
        </w:rPr>
        <w:t>.</w:t>
      </w:r>
      <w:r w:rsidR="00C962B8">
        <w:rPr>
          <w:rFonts w:ascii="Arial" w:hAnsi="Arial" w:cs="Arial"/>
        </w:rPr>
        <w:t xml:space="preserve"> </w:t>
      </w:r>
    </w:p>
    <w:p w:rsidR="0007213A" w:rsidRDefault="0007213A" w:rsidP="0007213A">
      <w:pPr>
        <w:ind w:left="567"/>
        <w:rPr>
          <w:rFonts w:ascii="Arial" w:hAnsi="Arial" w:cs="Arial"/>
        </w:rPr>
      </w:pPr>
    </w:p>
    <w:p w:rsidR="002E6944" w:rsidRDefault="0007213A" w:rsidP="0007213A">
      <w:pPr>
        <w:ind w:left="567"/>
        <w:rPr>
          <w:rFonts w:ascii="Arial" w:hAnsi="Arial" w:cs="Arial"/>
        </w:rPr>
      </w:pPr>
      <w:r>
        <w:rPr>
          <w:rFonts w:ascii="Arial" w:hAnsi="Arial" w:cs="Arial"/>
          <w:b/>
          <w:u w:val="single"/>
        </w:rPr>
        <w:t>Please note that only Maintained School Forum Representatives are affected by these recommendations</w:t>
      </w:r>
    </w:p>
    <w:p w:rsidR="00155095" w:rsidRDefault="00155095" w:rsidP="002E6944">
      <w:pPr>
        <w:ind w:left="567" w:hanging="567"/>
        <w:rPr>
          <w:rFonts w:ascii="Arial" w:hAnsi="Arial" w:cs="Arial"/>
        </w:rPr>
      </w:pPr>
    </w:p>
    <w:p w:rsidR="000659C3" w:rsidRPr="000659C3" w:rsidRDefault="000659C3">
      <w:pPr>
        <w:rPr>
          <w:rFonts w:ascii="Arial" w:hAnsi="Arial"/>
          <w:b/>
        </w:rPr>
      </w:pPr>
    </w:p>
    <w:sectPr w:rsidR="000659C3" w:rsidRPr="000659C3" w:rsidSect="005F187A">
      <w:headerReference w:type="default" r:id="rId9"/>
      <w:footerReference w:type="even" r:id="rId10"/>
      <w:footerReference w:type="default" r:id="rId11"/>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5F1" w:rsidRDefault="006F45F1">
      <w:r>
        <w:separator/>
      </w:r>
    </w:p>
  </w:endnote>
  <w:endnote w:type="continuationSeparator" w:id="0">
    <w:p w:rsidR="006F45F1" w:rsidRDefault="006F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5F1" w:rsidRDefault="006F45F1" w:rsidP="00A97E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45F1" w:rsidRDefault="006F45F1" w:rsidP="00A566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055532"/>
      <w:docPartObj>
        <w:docPartGallery w:val="Page Numbers (Bottom of Page)"/>
        <w:docPartUnique/>
      </w:docPartObj>
    </w:sdtPr>
    <w:sdtEndPr/>
    <w:sdtContent>
      <w:sdt>
        <w:sdtPr>
          <w:id w:val="565050523"/>
          <w:docPartObj>
            <w:docPartGallery w:val="Page Numbers (Top of Page)"/>
            <w:docPartUnique/>
          </w:docPartObj>
        </w:sdtPr>
        <w:sdtEndPr/>
        <w:sdtContent>
          <w:p w:rsidR="006F45F1" w:rsidRDefault="001A4F7F" w:rsidP="005F187A">
            <w:pPr>
              <w:pStyle w:val="Footer"/>
              <w:jc w:val="right"/>
            </w:pPr>
            <w:r>
              <w:rPr>
                <w:rFonts w:ascii="Arial" w:hAnsi="Arial" w:cs="Arial"/>
                <w:noProof/>
                <w:sz w:val="12"/>
                <w:szCs w:val="12"/>
              </w:rPr>
              <w:fldChar w:fldCharType="begin"/>
            </w:r>
            <w:r>
              <w:rPr>
                <w:rFonts w:ascii="Arial" w:hAnsi="Arial" w:cs="Arial"/>
                <w:noProof/>
                <w:sz w:val="12"/>
                <w:szCs w:val="12"/>
              </w:rPr>
              <w:instrText xml:space="preserve"> FILENAME  \* Lower \p  \* MERGEFORMAT </w:instrText>
            </w:r>
            <w:r>
              <w:rPr>
                <w:rFonts w:ascii="Arial" w:hAnsi="Arial" w:cs="Arial"/>
                <w:noProof/>
                <w:sz w:val="12"/>
                <w:szCs w:val="12"/>
              </w:rPr>
              <w:fldChar w:fldCharType="separate"/>
            </w:r>
            <w:r w:rsidR="00FB0AB9">
              <w:rPr>
                <w:rFonts w:ascii="Arial" w:hAnsi="Arial" w:cs="Arial"/>
                <w:noProof/>
                <w:sz w:val="12"/>
                <w:szCs w:val="12"/>
              </w:rPr>
              <w:t>y:\corporate finance\child &amp; adult services\child\schools\schools forum\meetings\2019-20\07 may 2019\2019 05 07  updates to scheme for financing schools.docx</w:t>
            </w:r>
            <w:r>
              <w:rPr>
                <w:rFonts w:ascii="Arial" w:hAnsi="Arial" w:cs="Arial"/>
                <w:noProof/>
                <w:sz w:val="12"/>
                <w:szCs w:val="12"/>
              </w:rPr>
              <w:fldChar w:fldCharType="end"/>
            </w:r>
          </w:p>
        </w:sdtContent>
      </w:sdt>
    </w:sdtContent>
  </w:sdt>
  <w:p w:rsidR="006F45F1" w:rsidRDefault="006F45F1" w:rsidP="00A566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5F1" w:rsidRDefault="006F45F1">
      <w:r>
        <w:separator/>
      </w:r>
    </w:p>
  </w:footnote>
  <w:footnote w:type="continuationSeparator" w:id="0">
    <w:p w:rsidR="006F45F1" w:rsidRDefault="006F4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5F1" w:rsidRDefault="00D03C58">
    <w:pPr>
      <w:pStyle w:val="Header"/>
      <w:jc w:val="right"/>
    </w:pPr>
    <w:sdt>
      <w:sdtPr>
        <w:id w:val="565053189"/>
        <w:docPartObj>
          <w:docPartGallery w:val="Page Numbers (Top of Page)"/>
          <w:docPartUnique/>
        </w:docPartObj>
      </w:sdtPr>
      <w:sdtEndPr/>
      <w:sdtContent>
        <w:r w:rsidR="006F45F1" w:rsidRPr="005F187A">
          <w:rPr>
            <w:rFonts w:ascii="Arial" w:hAnsi="Arial" w:cs="Arial"/>
            <w:sz w:val="16"/>
            <w:szCs w:val="16"/>
          </w:rPr>
          <w:t xml:space="preserve">Page </w:t>
        </w:r>
        <w:r w:rsidR="006F45F1" w:rsidRPr="005F187A">
          <w:rPr>
            <w:rFonts w:ascii="Arial" w:hAnsi="Arial" w:cs="Arial"/>
            <w:b/>
            <w:sz w:val="16"/>
            <w:szCs w:val="16"/>
          </w:rPr>
          <w:fldChar w:fldCharType="begin"/>
        </w:r>
        <w:r w:rsidR="006F45F1" w:rsidRPr="005F187A">
          <w:rPr>
            <w:rFonts w:ascii="Arial" w:hAnsi="Arial" w:cs="Arial"/>
            <w:b/>
            <w:sz w:val="16"/>
            <w:szCs w:val="16"/>
          </w:rPr>
          <w:instrText xml:space="preserve"> PAGE </w:instrText>
        </w:r>
        <w:r w:rsidR="006F45F1" w:rsidRPr="005F187A">
          <w:rPr>
            <w:rFonts w:ascii="Arial" w:hAnsi="Arial" w:cs="Arial"/>
            <w:b/>
            <w:sz w:val="16"/>
            <w:szCs w:val="16"/>
          </w:rPr>
          <w:fldChar w:fldCharType="separate"/>
        </w:r>
        <w:r>
          <w:rPr>
            <w:rFonts w:ascii="Arial" w:hAnsi="Arial" w:cs="Arial"/>
            <w:b/>
            <w:noProof/>
            <w:sz w:val="16"/>
            <w:szCs w:val="16"/>
          </w:rPr>
          <w:t>2</w:t>
        </w:r>
        <w:r w:rsidR="006F45F1" w:rsidRPr="005F187A">
          <w:rPr>
            <w:rFonts w:ascii="Arial" w:hAnsi="Arial" w:cs="Arial"/>
            <w:b/>
            <w:sz w:val="16"/>
            <w:szCs w:val="16"/>
          </w:rPr>
          <w:fldChar w:fldCharType="end"/>
        </w:r>
        <w:r w:rsidR="006F45F1" w:rsidRPr="005F187A">
          <w:rPr>
            <w:rFonts w:ascii="Arial" w:hAnsi="Arial" w:cs="Arial"/>
            <w:sz w:val="16"/>
            <w:szCs w:val="16"/>
          </w:rPr>
          <w:t xml:space="preserve"> of </w:t>
        </w:r>
        <w:r w:rsidR="006F45F1" w:rsidRPr="005F187A">
          <w:rPr>
            <w:rFonts w:ascii="Arial" w:hAnsi="Arial" w:cs="Arial"/>
            <w:b/>
            <w:sz w:val="16"/>
            <w:szCs w:val="16"/>
          </w:rPr>
          <w:fldChar w:fldCharType="begin"/>
        </w:r>
        <w:r w:rsidR="006F45F1" w:rsidRPr="005F187A">
          <w:rPr>
            <w:rFonts w:ascii="Arial" w:hAnsi="Arial" w:cs="Arial"/>
            <w:b/>
            <w:sz w:val="16"/>
            <w:szCs w:val="16"/>
          </w:rPr>
          <w:instrText xml:space="preserve"> NUMPAGES  </w:instrText>
        </w:r>
        <w:r w:rsidR="006F45F1" w:rsidRPr="005F187A">
          <w:rPr>
            <w:rFonts w:ascii="Arial" w:hAnsi="Arial" w:cs="Arial"/>
            <w:b/>
            <w:sz w:val="16"/>
            <w:szCs w:val="16"/>
          </w:rPr>
          <w:fldChar w:fldCharType="separate"/>
        </w:r>
        <w:r>
          <w:rPr>
            <w:rFonts w:ascii="Arial" w:hAnsi="Arial" w:cs="Arial"/>
            <w:b/>
            <w:noProof/>
            <w:sz w:val="16"/>
            <w:szCs w:val="16"/>
          </w:rPr>
          <w:t>2</w:t>
        </w:r>
        <w:r w:rsidR="006F45F1" w:rsidRPr="005F187A">
          <w:rPr>
            <w:rFonts w:ascii="Arial" w:hAnsi="Arial" w:cs="Arial"/>
            <w:b/>
            <w:sz w:val="16"/>
            <w:szCs w:val="16"/>
          </w:rPr>
          <w:fldChar w:fldCharType="end"/>
        </w:r>
      </w:sdtContent>
    </w:sdt>
  </w:p>
  <w:p w:rsidR="006F45F1" w:rsidRDefault="006F4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A6E"/>
    <w:multiLevelType w:val="hybridMultilevel"/>
    <w:tmpl w:val="B08EDDCE"/>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22FEC"/>
    <w:multiLevelType w:val="hybridMultilevel"/>
    <w:tmpl w:val="99C0D8D6"/>
    <w:lvl w:ilvl="0" w:tplc="E4621478">
      <w:start w:val="1"/>
      <w:numFmt w:val="decimal"/>
      <w:lvlText w:val="%1."/>
      <w:lvlJc w:val="left"/>
      <w:pPr>
        <w:ind w:left="720" w:hanging="360"/>
      </w:pPr>
      <w:rPr>
        <w:color w:val="17365D"/>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4544B86"/>
    <w:multiLevelType w:val="multilevel"/>
    <w:tmpl w:val="5D9453C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E92DEA"/>
    <w:multiLevelType w:val="multilevel"/>
    <w:tmpl w:val="6C2E86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80CF9"/>
    <w:multiLevelType w:val="multilevel"/>
    <w:tmpl w:val="A6A81C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9B4E1E"/>
    <w:multiLevelType w:val="hybridMultilevel"/>
    <w:tmpl w:val="6CBA8B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AD4F55"/>
    <w:multiLevelType w:val="multilevel"/>
    <w:tmpl w:val="5DE208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F75415"/>
    <w:multiLevelType w:val="hybridMultilevel"/>
    <w:tmpl w:val="C78E409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3671AA6"/>
    <w:multiLevelType w:val="multilevel"/>
    <w:tmpl w:val="E5EAC930"/>
    <w:lvl w:ilvl="0">
      <w:start w:val="1"/>
      <w:numFmt w:val="decimal"/>
      <w:lvlText w:val="%1."/>
      <w:lvlJc w:val="left"/>
      <w:pPr>
        <w:tabs>
          <w:tab w:val="num" w:pos="1080"/>
        </w:tabs>
        <w:ind w:left="1080" w:hanging="72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6D6217"/>
    <w:multiLevelType w:val="hybridMultilevel"/>
    <w:tmpl w:val="A40AC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9C35AC"/>
    <w:multiLevelType w:val="hybridMultilevel"/>
    <w:tmpl w:val="8716D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5A1FF2"/>
    <w:multiLevelType w:val="multilevel"/>
    <w:tmpl w:val="938A9F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5C669E"/>
    <w:multiLevelType w:val="multilevel"/>
    <w:tmpl w:val="A6A81CF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0A48AB"/>
    <w:multiLevelType w:val="multilevel"/>
    <w:tmpl w:val="A6A81C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9B2C73"/>
    <w:multiLevelType w:val="hybridMultilevel"/>
    <w:tmpl w:val="D7C2D02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1B">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5" w15:restartNumberingAfterBreak="0">
    <w:nsid w:val="2EDD1659"/>
    <w:multiLevelType w:val="multilevel"/>
    <w:tmpl w:val="2F3A103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590572"/>
    <w:multiLevelType w:val="multilevel"/>
    <w:tmpl w:val="157ECA46"/>
    <w:lvl w:ilvl="0">
      <w:start w:val="2"/>
      <w:numFmt w:val="decimal"/>
      <w:lvlText w:val="%1"/>
      <w:lvlJc w:val="left"/>
      <w:pPr>
        <w:ind w:left="502"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092680"/>
    <w:multiLevelType w:val="hybridMultilevel"/>
    <w:tmpl w:val="99EEBF84"/>
    <w:lvl w:ilvl="0" w:tplc="D55E0B32">
      <w:start w:val="4"/>
      <w:numFmt w:val="decimal"/>
      <w:lvlText w:val="%1."/>
      <w:lvlJc w:val="left"/>
      <w:pPr>
        <w:ind w:left="502" w:hanging="360"/>
      </w:pPr>
      <w:rPr>
        <w:rFonts w:hint="default"/>
        <w:b/>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6D261C44"/>
    <w:multiLevelType w:val="multilevel"/>
    <w:tmpl w:val="406617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F671E1"/>
    <w:multiLevelType w:val="multilevel"/>
    <w:tmpl w:val="377C00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82534F"/>
    <w:multiLevelType w:val="hybridMultilevel"/>
    <w:tmpl w:val="103E809C"/>
    <w:lvl w:ilvl="0" w:tplc="68666A2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2B737C"/>
    <w:multiLevelType w:val="hybridMultilevel"/>
    <w:tmpl w:val="C9AC7A9A"/>
    <w:lvl w:ilvl="0" w:tplc="242051DC">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D8235A3"/>
    <w:multiLevelType w:val="multilevel"/>
    <w:tmpl w:val="B9E414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8"/>
  </w:num>
  <w:num w:numId="4">
    <w:abstractNumId w:val="2"/>
  </w:num>
  <w:num w:numId="5">
    <w:abstractNumId w:val="20"/>
  </w:num>
  <w:num w:numId="6">
    <w:abstractNumId w:val="15"/>
  </w:num>
  <w:num w:numId="7">
    <w:abstractNumId w:val="13"/>
  </w:num>
  <w:num w:numId="8">
    <w:abstractNumId w:val="4"/>
  </w:num>
  <w:num w:numId="9">
    <w:abstractNumId w:val="12"/>
  </w:num>
  <w:num w:numId="10">
    <w:abstractNumId w:val="2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9"/>
  </w:num>
  <w:num w:numId="15">
    <w:abstractNumId w:val="16"/>
  </w:num>
  <w:num w:numId="16">
    <w:abstractNumId w:val="3"/>
  </w:num>
  <w:num w:numId="17">
    <w:abstractNumId w:val="10"/>
  </w:num>
  <w:num w:numId="18">
    <w:abstractNumId w:val="17"/>
  </w:num>
  <w:num w:numId="19">
    <w:abstractNumId w:val="18"/>
  </w:num>
  <w:num w:numId="20">
    <w:abstractNumId w:val="6"/>
  </w:num>
  <w:num w:numId="21">
    <w:abstractNumId w:val="19"/>
  </w:num>
  <w:num w:numId="22">
    <w:abstractNumId w:val="5"/>
  </w:num>
  <w:num w:numId="23">
    <w:abstractNumId w:val="11"/>
  </w:num>
  <w:num w:numId="2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8C"/>
    <w:rsid w:val="00006046"/>
    <w:rsid w:val="00010596"/>
    <w:rsid w:val="000157E6"/>
    <w:rsid w:val="00015B0D"/>
    <w:rsid w:val="00016C47"/>
    <w:rsid w:val="00017F86"/>
    <w:rsid w:val="00022435"/>
    <w:rsid w:val="00023889"/>
    <w:rsid w:val="000255F6"/>
    <w:rsid w:val="00025CAE"/>
    <w:rsid w:val="0002676C"/>
    <w:rsid w:val="0002712E"/>
    <w:rsid w:val="0002762C"/>
    <w:rsid w:val="00027E44"/>
    <w:rsid w:val="00031A2B"/>
    <w:rsid w:val="00035172"/>
    <w:rsid w:val="00036B9E"/>
    <w:rsid w:val="00042C1A"/>
    <w:rsid w:val="00044D8C"/>
    <w:rsid w:val="0004518F"/>
    <w:rsid w:val="00050DA8"/>
    <w:rsid w:val="000576D0"/>
    <w:rsid w:val="000579CD"/>
    <w:rsid w:val="00060EDC"/>
    <w:rsid w:val="00062657"/>
    <w:rsid w:val="0006510E"/>
    <w:rsid w:val="000659C3"/>
    <w:rsid w:val="0007213A"/>
    <w:rsid w:val="00072AD6"/>
    <w:rsid w:val="000730FD"/>
    <w:rsid w:val="00076A3E"/>
    <w:rsid w:val="00080701"/>
    <w:rsid w:val="00081603"/>
    <w:rsid w:val="000816AF"/>
    <w:rsid w:val="000870A3"/>
    <w:rsid w:val="000871DD"/>
    <w:rsid w:val="000904BC"/>
    <w:rsid w:val="00096B31"/>
    <w:rsid w:val="000A7DA7"/>
    <w:rsid w:val="000B6930"/>
    <w:rsid w:val="000B77D9"/>
    <w:rsid w:val="000C61A9"/>
    <w:rsid w:val="000C636B"/>
    <w:rsid w:val="000D01DC"/>
    <w:rsid w:val="000D1131"/>
    <w:rsid w:val="000D130D"/>
    <w:rsid w:val="000D2704"/>
    <w:rsid w:val="000D411F"/>
    <w:rsid w:val="000D524D"/>
    <w:rsid w:val="000D7BB1"/>
    <w:rsid w:val="000D7E2E"/>
    <w:rsid w:val="000E007D"/>
    <w:rsid w:val="000E18CC"/>
    <w:rsid w:val="000E1A1B"/>
    <w:rsid w:val="000E7370"/>
    <w:rsid w:val="000E73FA"/>
    <w:rsid w:val="000F0141"/>
    <w:rsid w:val="000F159C"/>
    <w:rsid w:val="000F6580"/>
    <w:rsid w:val="000F69D5"/>
    <w:rsid w:val="000F7333"/>
    <w:rsid w:val="000F75D4"/>
    <w:rsid w:val="000F7CB3"/>
    <w:rsid w:val="00106BCD"/>
    <w:rsid w:val="00107761"/>
    <w:rsid w:val="0011367C"/>
    <w:rsid w:val="0012185E"/>
    <w:rsid w:val="00122C6C"/>
    <w:rsid w:val="00127BE9"/>
    <w:rsid w:val="00127C03"/>
    <w:rsid w:val="001354B0"/>
    <w:rsid w:val="0013705D"/>
    <w:rsid w:val="00147F00"/>
    <w:rsid w:val="00147F92"/>
    <w:rsid w:val="00151D0B"/>
    <w:rsid w:val="00153604"/>
    <w:rsid w:val="00153F60"/>
    <w:rsid w:val="00155095"/>
    <w:rsid w:val="00155D0D"/>
    <w:rsid w:val="00157268"/>
    <w:rsid w:val="00157C00"/>
    <w:rsid w:val="00162062"/>
    <w:rsid w:val="00165A0D"/>
    <w:rsid w:val="00165CCE"/>
    <w:rsid w:val="00167703"/>
    <w:rsid w:val="001710A1"/>
    <w:rsid w:val="00171BAB"/>
    <w:rsid w:val="00172EEB"/>
    <w:rsid w:val="001747DC"/>
    <w:rsid w:val="001752DA"/>
    <w:rsid w:val="00181F27"/>
    <w:rsid w:val="00182076"/>
    <w:rsid w:val="00184980"/>
    <w:rsid w:val="00185126"/>
    <w:rsid w:val="00186078"/>
    <w:rsid w:val="001939EE"/>
    <w:rsid w:val="001960FF"/>
    <w:rsid w:val="001965AD"/>
    <w:rsid w:val="001A3299"/>
    <w:rsid w:val="001A465F"/>
    <w:rsid w:val="001A4F7F"/>
    <w:rsid w:val="001A644E"/>
    <w:rsid w:val="001B5346"/>
    <w:rsid w:val="001B734F"/>
    <w:rsid w:val="001B7E42"/>
    <w:rsid w:val="001C66BD"/>
    <w:rsid w:val="001D3819"/>
    <w:rsid w:val="001D3C00"/>
    <w:rsid w:val="001D5B25"/>
    <w:rsid w:val="001D775A"/>
    <w:rsid w:val="001E1743"/>
    <w:rsid w:val="001E3B91"/>
    <w:rsid w:val="001E5326"/>
    <w:rsid w:val="001F0D1D"/>
    <w:rsid w:val="001F2F83"/>
    <w:rsid w:val="001F512E"/>
    <w:rsid w:val="001F7A1E"/>
    <w:rsid w:val="002061F2"/>
    <w:rsid w:val="00207252"/>
    <w:rsid w:val="00213071"/>
    <w:rsid w:val="00215481"/>
    <w:rsid w:val="002214E2"/>
    <w:rsid w:val="0023373B"/>
    <w:rsid w:val="0023630B"/>
    <w:rsid w:val="00243B24"/>
    <w:rsid w:val="00247E78"/>
    <w:rsid w:val="002522AB"/>
    <w:rsid w:val="00254F9E"/>
    <w:rsid w:val="00260196"/>
    <w:rsid w:val="0026094C"/>
    <w:rsid w:val="002614ED"/>
    <w:rsid w:val="00263866"/>
    <w:rsid w:val="002650E1"/>
    <w:rsid w:val="00265CBA"/>
    <w:rsid w:val="002678E9"/>
    <w:rsid w:val="00277A16"/>
    <w:rsid w:val="002804C0"/>
    <w:rsid w:val="00282452"/>
    <w:rsid w:val="00294964"/>
    <w:rsid w:val="00294EAA"/>
    <w:rsid w:val="0029534A"/>
    <w:rsid w:val="00297FCB"/>
    <w:rsid w:val="002A160B"/>
    <w:rsid w:val="002A268C"/>
    <w:rsid w:val="002B3E18"/>
    <w:rsid w:val="002C0547"/>
    <w:rsid w:val="002C6500"/>
    <w:rsid w:val="002C7EE9"/>
    <w:rsid w:val="002D591E"/>
    <w:rsid w:val="002D738C"/>
    <w:rsid w:val="002E0FB0"/>
    <w:rsid w:val="002E18F4"/>
    <w:rsid w:val="002E499B"/>
    <w:rsid w:val="002E513D"/>
    <w:rsid w:val="002E6944"/>
    <w:rsid w:val="002F79E8"/>
    <w:rsid w:val="0030307E"/>
    <w:rsid w:val="003036DE"/>
    <w:rsid w:val="00304957"/>
    <w:rsid w:val="00306823"/>
    <w:rsid w:val="00306AE8"/>
    <w:rsid w:val="0030706A"/>
    <w:rsid w:val="0030773F"/>
    <w:rsid w:val="003102C5"/>
    <w:rsid w:val="003117E2"/>
    <w:rsid w:val="00311DDB"/>
    <w:rsid w:val="00314569"/>
    <w:rsid w:val="00315834"/>
    <w:rsid w:val="00315D46"/>
    <w:rsid w:val="003208F0"/>
    <w:rsid w:val="00321E39"/>
    <w:rsid w:val="00323FB7"/>
    <w:rsid w:val="00326230"/>
    <w:rsid w:val="0032696D"/>
    <w:rsid w:val="0033382A"/>
    <w:rsid w:val="00334B3D"/>
    <w:rsid w:val="0034027A"/>
    <w:rsid w:val="00341307"/>
    <w:rsid w:val="00341D0E"/>
    <w:rsid w:val="00343746"/>
    <w:rsid w:val="00343994"/>
    <w:rsid w:val="00346155"/>
    <w:rsid w:val="00353C5A"/>
    <w:rsid w:val="00355890"/>
    <w:rsid w:val="00363164"/>
    <w:rsid w:val="00374E7E"/>
    <w:rsid w:val="003756DE"/>
    <w:rsid w:val="00375AA2"/>
    <w:rsid w:val="0037702F"/>
    <w:rsid w:val="00377069"/>
    <w:rsid w:val="00380BB4"/>
    <w:rsid w:val="00381832"/>
    <w:rsid w:val="0038276D"/>
    <w:rsid w:val="00383A39"/>
    <w:rsid w:val="00386155"/>
    <w:rsid w:val="0038726F"/>
    <w:rsid w:val="00391AE2"/>
    <w:rsid w:val="003920D3"/>
    <w:rsid w:val="0039238C"/>
    <w:rsid w:val="00394BFB"/>
    <w:rsid w:val="00396CAE"/>
    <w:rsid w:val="00397F55"/>
    <w:rsid w:val="003A39EF"/>
    <w:rsid w:val="003A516E"/>
    <w:rsid w:val="003A7955"/>
    <w:rsid w:val="003B087A"/>
    <w:rsid w:val="003B19A7"/>
    <w:rsid w:val="003B26A4"/>
    <w:rsid w:val="003B62E8"/>
    <w:rsid w:val="003B73BB"/>
    <w:rsid w:val="003C0233"/>
    <w:rsid w:val="003C0C17"/>
    <w:rsid w:val="003C1B4E"/>
    <w:rsid w:val="003C230C"/>
    <w:rsid w:val="003C2A00"/>
    <w:rsid w:val="003C3354"/>
    <w:rsid w:val="003C3602"/>
    <w:rsid w:val="003C3A9C"/>
    <w:rsid w:val="003C4D53"/>
    <w:rsid w:val="003D2177"/>
    <w:rsid w:val="003D24A7"/>
    <w:rsid w:val="003D3828"/>
    <w:rsid w:val="003D3ED0"/>
    <w:rsid w:val="003D461F"/>
    <w:rsid w:val="003D4799"/>
    <w:rsid w:val="003D50F9"/>
    <w:rsid w:val="003D66CD"/>
    <w:rsid w:val="003D7E0B"/>
    <w:rsid w:val="003F036D"/>
    <w:rsid w:val="003F1C2A"/>
    <w:rsid w:val="004103C4"/>
    <w:rsid w:val="00422DB6"/>
    <w:rsid w:val="00427695"/>
    <w:rsid w:val="00427B62"/>
    <w:rsid w:val="00433566"/>
    <w:rsid w:val="004338DD"/>
    <w:rsid w:val="00436C63"/>
    <w:rsid w:val="00436E52"/>
    <w:rsid w:val="004404C2"/>
    <w:rsid w:val="00444704"/>
    <w:rsid w:val="00457F4E"/>
    <w:rsid w:val="00460549"/>
    <w:rsid w:val="00461D2D"/>
    <w:rsid w:val="00462157"/>
    <w:rsid w:val="00466EDC"/>
    <w:rsid w:val="00467CF3"/>
    <w:rsid w:val="0047341B"/>
    <w:rsid w:val="00475E64"/>
    <w:rsid w:val="00476A33"/>
    <w:rsid w:val="00480169"/>
    <w:rsid w:val="00482C42"/>
    <w:rsid w:val="004852E4"/>
    <w:rsid w:val="0048685E"/>
    <w:rsid w:val="0049005B"/>
    <w:rsid w:val="0049512B"/>
    <w:rsid w:val="004951BD"/>
    <w:rsid w:val="00496161"/>
    <w:rsid w:val="00496199"/>
    <w:rsid w:val="0049690B"/>
    <w:rsid w:val="00497C2A"/>
    <w:rsid w:val="004A4A4D"/>
    <w:rsid w:val="004A6037"/>
    <w:rsid w:val="004A6A1C"/>
    <w:rsid w:val="004B1397"/>
    <w:rsid w:val="004B4B72"/>
    <w:rsid w:val="004B6CFA"/>
    <w:rsid w:val="004C0B26"/>
    <w:rsid w:val="004C19EE"/>
    <w:rsid w:val="004D1245"/>
    <w:rsid w:val="004D1316"/>
    <w:rsid w:val="004D16F6"/>
    <w:rsid w:val="004D41B4"/>
    <w:rsid w:val="004D43B3"/>
    <w:rsid w:val="004D5FD2"/>
    <w:rsid w:val="004D7F53"/>
    <w:rsid w:val="004E016F"/>
    <w:rsid w:val="004E0301"/>
    <w:rsid w:val="004E36BE"/>
    <w:rsid w:val="004E6C13"/>
    <w:rsid w:val="004F0B90"/>
    <w:rsid w:val="004F1D58"/>
    <w:rsid w:val="004F76AA"/>
    <w:rsid w:val="00500735"/>
    <w:rsid w:val="005012FB"/>
    <w:rsid w:val="00505ECE"/>
    <w:rsid w:val="00507291"/>
    <w:rsid w:val="00510543"/>
    <w:rsid w:val="00512A28"/>
    <w:rsid w:val="00515B36"/>
    <w:rsid w:val="00517992"/>
    <w:rsid w:val="005211C6"/>
    <w:rsid w:val="0053102B"/>
    <w:rsid w:val="00535B72"/>
    <w:rsid w:val="00535F11"/>
    <w:rsid w:val="00536AA9"/>
    <w:rsid w:val="00540669"/>
    <w:rsid w:val="00542991"/>
    <w:rsid w:val="00543A47"/>
    <w:rsid w:val="00544B19"/>
    <w:rsid w:val="00550583"/>
    <w:rsid w:val="00556F5A"/>
    <w:rsid w:val="00560AEA"/>
    <w:rsid w:val="00561919"/>
    <w:rsid w:val="00561A77"/>
    <w:rsid w:val="00570E94"/>
    <w:rsid w:val="005728FD"/>
    <w:rsid w:val="00576018"/>
    <w:rsid w:val="0057675B"/>
    <w:rsid w:val="00582FDA"/>
    <w:rsid w:val="00586F0D"/>
    <w:rsid w:val="0058741E"/>
    <w:rsid w:val="005879DB"/>
    <w:rsid w:val="00595D2C"/>
    <w:rsid w:val="005A6F81"/>
    <w:rsid w:val="005B32C7"/>
    <w:rsid w:val="005C3841"/>
    <w:rsid w:val="005C6D8F"/>
    <w:rsid w:val="005C7711"/>
    <w:rsid w:val="005C7FC7"/>
    <w:rsid w:val="005D52EE"/>
    <w:rsid w:val="005D5A83"/>
    <w:rsid w:val="005E014C"/>
    <w:rsid w:val="005E0155"/>
    <w:rsid w:val="005E28D1"/>
    <w:rsid w:val="005E595F"/>
    <w:rsid w:val="005E6BF6"/>
    <w:rsid w:val="005F1016"/>
    <w:rsid w:val="005F187A"/>
    <w:rsid w:val="005F1A50"/>
    <w:rsid w:val="005F2462"/>
    <w:rsid w:val="005F2929"/>
    <w:rsid w:val="005F73B7"/>
    <w:rsid w:val="005F7C6D"/>
    <w:rsid w:val="005F7E3B"/>
    <w:rsid w:val="00600CCD"/>
    <w:rsid w:val="0060539E"/>
    <w:rsid w:val="00610B76"/>
    <w:rsid w:val="00610C23"/>
    <w:rsid w:val="00612CB5"/>
    <w:rsid w:val="00612FB7"/>
    <w:rsid w:val="0061682E"/>
    <w:rsid w:val="00622249"/>
    <w:rsid w:val="006224FC"/>
    <w:rsid w:val="0062376D"/>
    <w:rsid w:val="00627930"/>
    <w:rsid w:val="00630EA0"/>
    <w:rsid w:val="006407A7"/>
    <w:rsid w:val="00641237"/>
    <w:rsid w:val="00641CDB"/>
    <w:rsid w:val="00642F21"/>
    <w:rsid w:val="0064391F"/>
    <w:rsid w:val="00644323"/>
    <w:rsid w:val="00650444"/>
    <w:rsid w:val="006506B3"/>
    <w:rsid w:val="006548BC"/>
    <w:rsid w:val="00656195"/>
    <w:rsid w:val="00660753"/>
    <w:rsid w:val="00660ADF"/>
    <w:rsid w:val="00661CDB"/>
    <w:rsid w:val="00662E13"/>
    <w:rsid w:val="00663563"/>
    <w:rsid w:val="00665BEE"/>
    <w:rsid w:val="006674AA"/>
    <w:rsid w:val="00667E1B"/>
    <w:rsid w:val="00667FCC"/>
    <w:rsid w:val="006709FD"/>
    <w:rsid w:val="00670CE2"/>
    <w:rsid w:val="006835E3"/>
    <w:rsid w:val="0068666D"/>
    <w:rsid w:val="00687A45"/>
    <w:rsid w:val="0069060B"/>
    <w:rsid w:val="00691F91"/>
    <w:rsid w:val="00693195"/>
    <w:rsid w:val="00694645"/>
    <w:rsid w:val="006973A3"/>
    <w:rsid w:val="006A0679"/>
    <w:rsid w:val="006A4803"/>
    <w:rsid w:val="006A5B47"/>
    <w:rsid w:val="006A5D78"/>
    <w:rsid w:val="006A67FF"/>
    <w:rsid w:val="006A7110"/>
    <w:rsid w:val="006A7ABB"/>
    <w:rsid w:val="006B2BFC"/>
    <w:rsid w:val="006B2E88"/>
    <w:rsid w:val="006B44A8"/>
    <w:rsid w:val="006B5189"/>
    <w:rsid w:val="006C10B2"/>
    <w:rsid w:val="006C3467"/>
    <w:rsid w:val="006C3FF3"/>
    <w:rsid w:val="006C6354"/>
    <w:rsid w:val="006D4FF1"/>
    <w:rsid w:val="006D63E1"/>
    <w:rsid w:val="006D6BF1"/>
    <w:rsid w:val="006E3280"/>
    <w:rsid w:val="006E5EFC"/>
    <w:rsid w:val="006F0933"/>
    <w:rsid w:val="006F11B3"/>
    <w:rsid w:val="006F1FA2"/>
    <w:rsid w:val="006F45F1"/>
    <w:rsid w:val="006F7FD0"/>
    <w:rsid w:val="00703724"/>
    <w:rsid w:val="00710C99"/>
    <w:rsid w:val="007129C3"/>
    <w:rsid w:val="00712AFD"/>
    <w:rsid w:val="00714B53"/>
    <w:rsid w:val="00722F49"/>
    <w:rsid w:val="00733A7D"/>
    <w:rsid w:val="0073741C"/>
    <w:rsid w:val="00741108"/>
    <w:rsid w:val="007411E7"/>
    <w:rsid w:val="007430CD"/>
    <w:rsid w:val="00747649"/>
    <w:rsid w:val="00750521"/>
    <w:rsid w:val="00750E20"/>
    <w:rsid w:val="0075146A"/>
    <w:rsid w:val="00752620"/>
    <w:rsid w:val="00752D27"/>
    <w:rsid w:val="007545E4"/>
    <w:rsid w:val="007569B3"/>
    <w:rsid w:val="007579FE"/>
    <w:rsid w:val="00764AB2"/>
    <w:rsid w:val="00767F5C"/>
    <w:rsid w:val="007701C4"/>
    <w:rsid w:val="00775A98"/>
    <w:rsid w:val="00777B52"/>
    <w:rsid w:val="00781808"/>
    <w:rsid w:val="00782D80"/>
    <w:rsid w:val="0078320D"/>
    <w:rsid w:val="00787E72"/>
    <w:rsid w:val="007907EA"/>
    <w:rsid w:val="0079428F"/>
    <w:rsid w:val="007949DA"/>
    <w:rsid w:val="007B345D"/>
    <w:rsid w:val="007B37BF"/>
    <w:rsid w:val="007B3DD7"/>
    <w:rsid w:val="007B4B7B"/>
    <w:rsid w:val="007B4E26"/>
    <w:rsid w:val="007C08C9"/>
    <w:rsid w:val="007C0A03"/>
    <w:rsid w:val="007C10C5"/>
    <w:rsid w:val="007C1F2B"/>
    <w:rsid w:val="007C5DA3"/>
    <w:rsid w:val="007D0983"/>
    <w:rsid w:val="007D0C9C"/>
    <w:rsid w:val="007D1050"/>
    <w:rsid w:val="007D14AA"/>
    <w:rsid w:val="007D220C"/>
    <w:rsid w:val="007D2A51"/>
    <w:rsid w:val="007D401D"/>
    <w:rsid w:val="007D633A"/>
    <w:rsid w:val="007E2942"/>
    <w:rsid w:val="007E7789"/>
    <w:rsid w:val="007F0215"/>
    <w:rsid w:val="007F0AEF"/>
    <w:rsid w:val="007F28A4"/>
    <w:rsid w:val="007F534F"/>
    <w:rsid w:val="00800506"/>
    <w:rsid w:val="00801DCC"/>
    <w:rsid w:val="00803F19"/>
    <w:rsid w:val="00806D53"/>
    <w:rsid w:val="00810528"/>
    <w:rsid w:val="008108E9"/>
    <w:rsid w:val="00815734"/>
    <w:rsid w:val="008167D2"/>
    <w:rsid w:val="00816926"/>
    <w:rsid w:val="008177D2"/>
    <w:rsid w:val="00820659"/>
    <w:rsid w:val="00820883"/>
    <w:rsid w:val="00824718"/>
    <w:rsid w:val="00827AAB"/>
    <w:rsid w:val="00841ACA"/>
    <w:rsid w:val="00847E71"/>
    <w:rsid w:val="00851576"/>
    <w:rsid w:val="008539E2"/>
    <w:rsid w:val="00856147"/>
    <w:rsid w:val="0086076D"/>
    <w:rsid w:val="00861CEB"/>
    <w:rsid w:val="00872530"/>
    <w:rsid w:val="00874973"/>
    <w:rsid w:val="00876100"/>
    <w:rsid w:val="0088165F"/>
    <w:rsid w:val="00884865"/>
    <w:rsid w:val="008900F8"/>
    <w:rsid w:val="0089257C"/>
    <w:rsid w:val="008A0C66"/>
    <w:rsid w:val="008B24AA"/>
    <w:rsid w:val="008B316C"/>
    <w:rsid w:val="008B4DA2"/>
    <w:rsid w:val="008B4E8E"/>
    <w:rsid w:val="008B57E9"/>
    <w:rsid w:val="008C2AF3"/>
    <w:rsid w:val="008C700B"/>
    <w:rsid w:val="008D0240"/>
    <w:rsid w:val="008D1CAE"/>
    <w:rsid w:val="008D3CFE"/>
    <w:rsid w:val="008D49C5"/>
    <w:rsid w:val="008E2495"/>
    <w:rsid w:val="008E3455"/>
    <w:rsid w:val="008E52DF"/>
    <w:rsid w:val="008F0837"/>
    <w:rsid w:val="008F2938"/>
    <w:rsid w:val="00902D6C"/>
    <w:rsid w:val="009037E9"/>
    <w:rsid w:val="009057FC"/>
    <w:rsid w:val="00913DCC"/>
    <w:rsid w:val="00920DE0"/>
    <w:rsid w:val="00927430"/>
    <w:rsid w:val="00934D5B"/>
    <w:rsid w:val="009360FA"/>
    <w:rsid w:val="009456E7"/>
    <w:rsid w:val="00947EFE"/>
    <w:rsid w:val="00960574"/>
    <w:rsid w:val="0096294C"/>
    <w:rsid w:val="00971477"/>
    <w:rsid w:val="009714D4"/>
    <w:rsid w:val="009753E3"/>
    <w:rsid w:val="0097790C"/>
    <w:rsid w:val="00977F36"/>
    <w:rsid w:val="00984BF0"/>
    <w:rsid w:val="00987986"/>
    <w:rsid w:val="00990C70"/>
    <w:rsid w:val="00990CD1"/>
    <w:rsid w:val="009927BC"/>
    <w:rsid w:val="009953D9"/>
    <w:rsid w:val="00996F3C"/>
    <w:rsid w:val="009A0BB1"/>
    <w:rsid w:val="009A101C"/>
    <w:rsid w:val="009A2240"/>
    <w:rsid w:val="009A2D11"/>
    <w:rsid w:val="009A3667"/>
    <w:rsid w:val="009A6A03"/>
    <w:rsid w:val="009A754E"/>
    <w:rsid w:val="009B1781"/>
    <w:rsid w:val="009B2040"/>
    <w:rsid w:val="009B275D"/>
    <w:rsid w:val="009B54EF"/>
    <w:rsid w:val="009C08EB"/>
    <w:rsid w:val="009C0BD7"/>
    <w:rsid w:val="009C2B9A"/>
    <w:rsid w:val="009D0583"/>
    <w:rsid w:val="009D144C"/>
    <w:rsid w:val="009D439D"/>
    <w:rsid w:val="009E0474"/>
    <w:rsid w:val="009E2C82"/>
    <w:rsid w:val="009E53E9"/>
    <w:rsid w:val="009E638D"/>
    <w:rsid w:val="009E6C90"/>
    <w:rsid w:val="009F0AAE"/>
    <w:rsid w:val="00A12E02"/>
    <w:rsid w:val="00A14396"/>
    <w:rsid w:val="00A155F8"/>
    <w:rsid w:val="00A17C62"/>
    <w:rsid w:val="00A2080D"/>
    <w:rsid w:val="00A20865"/>
    <w:rsid w:val="00A27912"/>
    <w:rsid w:val="00A32514"/>
    <w:rsid w:val="00A37875"/>
    <w:rsid w:val="00A40B8D"/>
    <w:rsid w:val="00A43229"/>
    <w:rsid w:val="00A44D37"/>
    <w:rsid w:val="00A457C1"/>
    <w:rsid w:val="00A47770"/>
    <w:rsid w:val="00A53298"/>
    <w:rsid w:val="00A53BB4"/>
    <w:rsid w:val="00A5538E"/>
    <w:rsid w:val="00A5664D"/>
    <w:rsid w:val="00A61116"/>
    <w:rsid w:val="00A61CFE"/>
    <w:rsid w:val="00A74C1A"/>
    <w:rsid w:val="00A81AA8"/>
    <w:rsid w:val="00A81C47"/>
    <w:rsid w:val="00A81D66"/>
    <w:rsid w:val="00A823D1"/>
    <w:rsid w:val="00A832CD"/>
    <w:rsid w:val="00A84F54"/>
    <w:rsid w:val="00A87386"/>
    <w:rsid w:val="00A90BFF"/>
    <w:rsid w:val="00A940F5"/>
    <w:rsid w:val="00A9456A"/>
    <w:rsid w:val="00A97E20"/>
    <w:rsid w:val="00AA0153"/>
    <w:rsid w:val="00AA765F"/>
    <w:rsid w:val="00AB2951"/>
    <w:rsid w:val="00AB3F3D"/>
    <w:rsid w:val="00AB41EF"/>
    <w:rsid w:val="00AB4795"/>
    <w:rsid w:val="00AB6AD5"/>
    <w:rsid w:val="00AC0029"/>
    <w:rsid w:val="00AC0463"/>
    <w:rsid w:val="00AC04B6"/>
    <w:rsid w:val="00AC579C"/>
    <w:rsid w:val="00AC665C"/>
    <w:rsid w:val="00AC7404"/>
    <w:rsid w:val="00AD3A6C"/>
    <w:rsid w:val="00AD575C"/>
    <w:rsid w:val="00AD5D6C"/>
    <w:rsid w:val="00AE04AD"/>
    <w:rsid w:val="00AE258F"/>
    <w:rsid w:val="00AE3BC1"/>
    <w:rsid w:val="00AE434B"/>
    <w:rsid w:val="00AE4DE8"/>
    <w:rsid w:val="00AE724B"/>
    <w:rsid w:val="00AF0349"/>
    <w:rsid w:val="00AF07C4"/>
    <w:rsid w:val="00AF197A"/>
    <w:rsid w:val="00B05C08"/>
    <w:rsid w:val="00B1136D"/>
    <w:rsid w:val="00B167BE"/>
    <w:rsid w:val="00B22CDB"/>
    <w:rsid w:val="00B27D97"/>
    <w:rsid w:val="00B31B67"/>
    <w:rsid w:val="00B35112"/>
    <w:rsid w:val="00B46AAA"/>
    <w:rsid w:val="00B47AC1"/>
    <w:rsid w:val="00B54345"/>
    <w:rsid w:val="00B5745D"/>
    <w:rsid w:val="00B6203B"/>
    <w:rsid w:val="00B6228F"/>
    <w:rsid w:val="00B63A2B"/>
    <w:rsid w:val="00B66BC8"/>
    <w:rsid w:val="00B67C7F"/>
    <w:rsid w:val="00B732CC"/>
    <w:rsid w:val="00B8536B"/>
    <w:rsid w:val="00B86335"/>
    <w:rsid w:val="00B90C59"/>
    <w:rsid w:val="00B9113F"/>
    <w:rsid w:val="00B921AC"/>
    <w:rsid w:val="00B92504"/>
    <w:rsid w:val="00B92C47"/>
    <w:rsid w:val="00B952EA"/>
    <w:rsid w:val="00B96480"/>
    <w:rsid w:val="00B96623"/>
    <w:rsid w:val="00BA3D18"/>
    <w:rsid w:val="00BA4D21"/>
    <w:rsid w:val="00BB0E4A"/>
    <w:rsid w:val="00BB328F"/>
    <w:rsid w:val="00BB6A65"/>
    <w:rsid w:val="00BB7367"/>
    <w:rsid w:val="00BC0CC2"/>
    <w:rsid w:val="00BC5485"/>
    <w:rsid w:val="00BC6878"/>
    <w:rsid w:val="00BD06E5"/>
    <w:rsid w:val="00BD1327"/>
    <w:rsid w:val="00BD5981"/>
    <w:rsid w:val="00BD5F08"/>
    <w:rsid w:val="00BE09E0"/>
    <w:rsid w:val="00BE26A8"/>
    <w:rsid w:val="00BE62CB"/>
    <w:rsid w:val="00BE6E4B"/>
    <w:rsid w:val="00BF158A"/>
    <w:rsid w:val="00C0195E"/>
    <w:rsid w:val="00C03663"/>
    <w:rsid w:val="00C06EAA"/>
    <w:rsid w:val="00C12E88"/>
    <w:rsid w:val="00C17A56"/>
    <w:rsid w:val="00C20702"/>
    <w:rsid w:val="00C24C82"/>
    <w:rsid w:val="00C306C5"/>
    <w:rsid w:val="00C32D21"/>
    <w:rsid w:val="00C36B07"/>
    <w:rsid w:val="00C5094B"/>
    <w:rsid w:val="00C529E0"/>
    <w:rsid w:val="00C60E52"/>
    <w:rsid w:val="00C627EA"/>
    <w:rsid w:val="00C72507"/>
    <w:rsid w:val="00C7362F"/>
    <w:rsid w:val="00C73840"/>
    <w:rsid w:val="00C73D61"/>
    <w:rsid w:val="00C75CA1"/>
    <w:rsid w:val="00C77D4D"/>
    <w:rsid w:val="00C82A14"/>
    <w:rsid w:val="00C84FF4"/>
    <w:rsid w:val="00C866DD"/>
    <w:rsid w:val="00C909FA"/>
    <w:rsid w:val="00C962B8"/>
    <w:rsid w:val="00CA6AC7"/>
    <w:rsid w:val="00CB0E6A"/>
    <w:rsid w:val="00CB27E8"/>
    <w:rsid w:val="00CB5DA6"/>
    <w:rsid w:val="00CC443F"/>
    <w:rsid w:val="00CC4CB2"/>
    <w:rsid w:val="00CD6644"/>
    <w:rsid w:val="00CE0BB5"/>
    <w:rsid w:val="00CE1C6D"/>
    <w:rsid w:val="00CE3A48"/>
    <w:rsid w:val="00CE3D64"/>
    <w:rsid w:val="00CE5664"/>
    <w:rsid w:val="00CE75E9"/>
    <w:rsid w:val="00CF57F6"/>
    <w:rsid w:val="00D03C58"/>
    <w:rsid w:val="00D11C9F"/>
    <w:rsid w:val="00D127F7"/>
    <w:rsid w:val="00D14517"/>
    <w:rsid w:val="00D15448"/>
    <w:rsid w:val="00D205C1"/>
    <w:rsid w:val="00D20EAC"/>
    <w:rsid w:val="00D22188"/>
    <w:rsid w:val="00D256CF"/>
    <w:rsid w:val="00D257A6"/>
    <w:rsid w:val="00D25C9D"/>
    <w:rsid w:val="00D26AA6"/>
    <w:rsid w:val="00D31D32"/>
    <w:rsid w:val="00D34B6F"/>
    <w:rsid w:val="00D35D80"/>
    <w:rsid w:val="00D45092"/>
    <w:rsid w:val="00D51304"/>
    <w:rsid w:val="00D5313F"/>
    <w:rsid w:val="00D60441"/>
    <w:rsid w:val="00D63632"/>
    <w:rsid w:val="00D6479D"/>
    <w:rsid w:val="00D66DF9"/>
    <w:rsid w:val="00D670D5"/>
    <w:rsid w:val="00D7125E"/>
    <w:rsid w:val="00D7354E"/>
    <w:rsid w:val="00D74EEE"/>
    <w:rsid w:val="00D7625D"/>
    <w:rsid w:val="00D8289F"/>
    <w:rsid w:val="00D900D3"/>
    <w:rsid w:val="00D90D3A"/>
    <w:rsid w:val="00D97268"/>
    <w:rsid w:val="00DB023D"/>
    <w:rsid w:val="00DB196A"/>
    <w:rsid w:val="00DB6AE7"/>
    <w:rsid w:val="00DC33C2"/>
    <w:rsid w:val="00DC4202"/>
    <w:rsid w:val="00DC5B08"/>
    <w:rsid w:val="00DC5FAF"/>
    <w:rsid w:val="00DD0957"/>
    <w:rsid w:val="00DD2402"/>
    <w:rsid w:val="00DD4B4E"/>
    <w:rsid w:val="00DD5EBF"/>
    <w:rsid w:val="00DE2129"/>
    <w:rsid w:val="00DE4C06"/>
    <w:rsid w:val="00DE5658"/>
    <w:rsid w:val="00DE56C8"/>
    <w:rsid w:val="00DF0643"/>
    <w:rsid w:val="00DF1893"/>
    <w:rsid w:val="00DF34C2"/>
    <w:rsid w:val="00DF583D"/>
    <w:rsid w:val="00DF5AC6"/>
    <w:rsid w:val="00DF60C4"/>
    <w:rsid w:val="00DF73B2"/>
    <w:rsid w:val="00E0141E"/>
    <w:rsid w:val="00E01466"/>
    <w:rsid w:val="00E06DC1"/>
    <w:rsid w:val="00E1632E"/>
    <w:rsid w:val="00E16439"/>
    <w:rsid w:val="00E1701B"/>
    <w:rsid w:val="00E25AC4"/>
    <w:rsid w:val="00E25C18"/>
    <w:rsid w:val="00E26D77"/>
    <w:rsid w:val="00E302E5"/>
    <w:rsid w:val="00E34D2A"/>
    <w:rsid w:val="00E35F54"/>
    <w:rsid w:val="00E402DF"/>
    <w:rsid w:val="00E40853"/>
    <w:rsid w:val="00E40D16"/>
    <w:rsid w:val="00E43EC0"/>
    <w:rsid w:val="00E45BDE"/>
    <w:rsid w:val="00E56794"/>
    <w:rsid w:val="00E603A1"/>
    <w:rsid w:val="00E60596"/>
    <w:rsid w:val="00E61D3F"/>
    <w:rsid w:val="00E64149"/>
    <w:rsid w:val="00E6468E"/>
    <w:rsid w:val="00E66419"/>
    <w:rsid w:val="00E76CBF"/>
    <w:rsid w:val="00E864F8"/>
    <w:rsid w:val="00E86B0D"/>
    <w:rsid w:val="00E87ADC"/>
    <w:rsid w:val="00E904BF"/>
    <w:rsid w:val="00E92E4D"/>
    <w:rsid w:val="00EA1391"/>
    <w:rsid w:val="00EB512F"/>
    <w:rsid w:val="00EB5D05"/>
    <w:rsid w:val="00ED02C8"/>
    <w:rsid w:val="00ED2209"/>
    <w:rsid w:val="00EE590B"/>
    <w:rsid w:val="00EE59E3"/>
    <w:rsid w:val="00EE6603"/>
    <w:rsid w:val="00EE6A7D"/>
    <w:rsid w:val="00EE7969"/>
    <w:rsid w:val="00EF0394"/>
    <w:rsid w:val="00EF3E28"/>
    <w:rsid w:val="00EF742F"/>
    <w:rsid w:val="00F01570"/>
    <w:rsid w:val="00F031A4"/>
    <w:rsid w:val="00F04301"/>
    <w:rsid w:val="00F15809"/>
    <w:rsid w:val="00F1603D"/>
    <w:rsid w:val="00F17E55"/>
    <w:rsid w:val="00F208CA"/>
    <w:rsid w:val="00F22C20"/>
    <w:rsid w:val="00F25A7A"/>
    <w:rsid w:val="00F25C07"/>
    <w:rsid w:val="00F263E1"/>
    <w:rsid w:val="00F32BB6"/>
    <w:rsid w:val="00F33788"/>
    <w:rsid w:val="00F43AF6"/>
    <w:rsid w:val="00F51B18"/>
    <w:rsid w:val="00F53B5D"/>
    <w:rsid w:val="00F62D38"/>
    <w:rsid w:val="00F62D67"/>
    <w:rsid w:val="00F65C21"/>
    <w:rsid w:val="00F670D8"/>
    <w:rsid w:val="00F674ED"/>
    <w:rsid w:val="00F735F1"/>
    <w:rsid w:val="00F73D4C"/>
    <w:rsid w:val="00F80880"/>
    <w:rsid w:val="00F8165E"/>
    <w:rsid w:val="00F93043"/>
    <w:rsid w:val="00F94D33"/>
    <w:rsid w:val="00F966A3"/>
    <w:rsid w:val="00F96887"/>
    <w:rsid w:val="00F96BF8"/>
    <w:rsid w:val="00FA0E41"/>
    <w:rsid w:val="00FA36F6"/>
    <w:rsid w:val="00FA7440"/>
    <w:rsid w:val="00FB0AB9"/>
    <w:rsid w:val="00FB287D"/>
    <w:rsid w:val="00FB3674"/>
    <w:rsid w:val="00FB4266"/>
    <w:rsid w:val="00FC7676"/>
    <w:rsid w:val="00FD078F"/>
    <w:rsid w:val="00FD2639"/>
    <w:rsid w:val="00FE2AD0"/>
    <w:rsid w:val="00FE5BB6"/>
    <w:rsid w:val="00FE6D5D"/>
    <w:rsid w:val="00FF1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50AC06-C886-4790-940E-DBF32FA5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A77"/>
    <w:rPr>
      <w:sz w:val="24"/>
      <w:szCs w:val="24"/>
      <w:lang w:eastAsia="en-US"/>
    </w:rPr>
  </w:style>
  <w:style w:type="paragraph" w:styleId="Heading1">
    <w:name w:val="heading 1"/>
    <w:basedOn w:val="Normal"/>
    <w:next w:val="Normal"/>
    <w:qFormat/>
    <w:rsid w:val="00561A77"/>
    <w:pPr>
      <w:keepNext/>
      <w:jc w:val="center"/>
      <w:outlineLvl w:val="0"/>
    </w:pPr>
    <w:rPr>
      <w:rFonts w:ascii="Arial" w:hAnsi="Arial" w:cs="Arial"/>
      <w:b/>
      <w:bCs/>
      <w:u w:val="single"/>
    </w:rPr>
  </w:style>
  <w:style w:type="paragraph" w:styleId="Heading2">
    <w:name w:val="heading 2"/>
    <w:basedOn w:val="Normal"/>
    <w:next w:val="Normal"/>
    <w:qFormat/>
    <w:rsid w:val="00561A77"/>
    <w:pPr>
      <w:keepNext/>
      <w:ind w:firstLine="720"/>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1A77"/>
    <w:rPr>
      <w:rFonts w:ascii="Arial" w:hAnsi="Arial" w:cs="Arial"/>
      <w:b/>
      <w:bCs/>
      <w:i/>
      <w:iCs/>
    </w:rPr>
  </w:style>
  <w:style w:type="table" w:styleId="TableGrid">
    <w:name w:val="Table Grid"/>
    <w:basedOn w:val="TableNormal"/>
    <w:rsid w:val="00641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5664D"/>
    <w:pPr>
      <w:tabs>
        <w:tab w:val="center" w:pos="4320"/>
        <w:tab w:val="right" w:pos="8640"/>
      </w:tabs>
    </w:pPr>
  </w:style>
  <w:style w:type="character" w:styleId="PageNumber">
    <w:name w:val="page number"/>
    <w:basedOn w:val="DefaultParagraphFont"/>
    <w:rsid w:val="00A5664D"/>
  </w:style>
  <w:style w:type="paragraph" w:styleId="BalloonText">
    <w:name w:val="Balloon Text"/>
    <w:basedOn w:val="Normal"/>
    <w:semiHidden/>
    <w:rsid w:val="00B96623"/>
    <w:rPr>
      <w:rFonts w:ascii="Tahoma" w:hAnsi="Tahoma" w:cs="Tahoma"/>
      <w:sz w:val="16"/>
      <w:szCs w:val="16"/>
    </w:rPr>
  </w:style>
  <w:style w:type="paragraph" w:styleId="ListParagraph">
    <w:name w:val="List Paragraph"/>
    <w:basedOn w:val="Normal"/>
    <w:uiPriority w:val="34"/>
    <w:qFormat/>
    <w:rsid w:val="00CE75E9"/>
    <w:pPr>
      <w:ind w:left="720"/>
    </w:pPr>
  </w:style>
  <w:style w:type="character" w:styleId="CommentReference">
    <w:name w:val="annotation reference"/>
    <w:basedOn w:val="DefaultParagraphFont"/>
    <w:rsid w:val="007B3DD7"/>
    <w:rPr>
      <w:sz w:val="16"/>
      <w:szCs w:val="16"/>
    </w:rPr>
  </w:style>
  <w:style w:type="paragraph" w:styleId="CommentText">
    <w:name w:val="annotation text"/>
    <w:basedOn w:val="Normal"/>
    <w:link w:val="CommentTextChar"/>
    <w:rsid w:val="007B3DD7"/>
    <w:rPr>
      <w:sz w:val="20"/>
      <w:szCs w:val="20"/>
    </w:rPr>
  </w:style>
  <w:style w:type="character" w:customStyle="1" w:styleId="CommentTextChar">
    <w:name w:val="Comment Text Char"/>
    <w:basedOn w:val="DefaultParagraphFont"/>
    <w:link w:val="CommentText"/>
    <w:rsid w:val="007B3DD7"/>
    <w:rPr>
      <w:lang w:eastAsia="en-US"/>
    </w:rPr>
  </w:style>
  <w:style w:type="paragraph" w:styleId="CommentSubject">
    <w:name w:val="annotation subject"/>
    <w:basedOn w:val="CommentText"/>
    <w:next w:val="CommentText"/>
    <w:link w:val="CommentSubjectChar"/>
    <w:rsid w:val="007B3DD7"/>
    <w:rPr>
      <w:b/>
      <w:bCs/>
    </w:rPr>
  </w:style>
  <w:style w:type="character" w:customStyle="1" w:styleId="CommentSubjectChar">
    <w:name w:val="Comment Subject Char"/>
    <w:basedOn w:val="CommentTextChar"/>
    <w:link w:val="CommentSubject"/>
    <w:rsid w:val="007B3DD7"/>
    <w:rPr>
      <w:b/>
      <w:bCs/>
      <w:lang w:eastAsia="en-US"/>
    </w:rPr>
  </w:style>
  <w:style w:type="paragraph" w:styleId="Header">
    <w:name w:val="header"/>
    <w:basedOn w:val="Normal"/>
    <w:link w:val="HeaderChar"/>
    <w:uiPriority w:val="99"/>
    <w:rsid w:val="005F187A"/>
    <w:pPr>
      <w:tabs>
        <w:tab w:val="center" w:pos="4513"/>
        <w:tab w:val="right" w:pos="9026"/>
      </w:tabs>
    </w:pPr>
  </w:style>
  <w:style w:type="character" w:customStyle="1" w:styleId="HeaderChar">
    <w:name w:val="Header Char"/>
    <w:basedOn w:val="DefaultParagraphFont"/>
    <w:link w:val="Header"/>
    <w:uiPriority w:val="99"/>
    <w:rsid w:val="005F187A"/>
    <w:rPr>
      <w:sz w:val="24"/>
      <w:szCs w:val="24"/>
      <w:lang w:eastAsia="en-US"/>
    </w:rPr>
  </w:style>
  <w:style w:type="character" w:customStyle="1" w:styleId="FooterChar">
    <w:name w:val="Footer Char"/>
    <w:basedOn w:val="DefaultParagraphFont"/>
    <w:link w:val="Footer"/>
    <w:uiPriority w:val="99"/>
    <w:rsid w:val="005F187A"/>
    <w:rPr>
      <w:sz w:val="24"/>
      <w:szCs w:val="24"/>
      <w:lang w:eastAsia="en-US"/>
    </w:rPr>
  </w:style>
  <w:style w:type="character" w:styleId="Hyperlink">
    <w:name w:val="Hyperlink"/>
    <w:basedOn w:val="DefaultParagraphFont"/>
    <w:uiPriority w:val="99"/>
    <w:semiHidden/>
    <w:unhideWhenUsed/>
    <w:rsid w:val="00B90C59"/>
    <w:rPr>
      <w:color w:val="0000FF" w:themeColor="hyperlink"/>
      <w:u w:val="single"/>
    </w:rPr>
  </w:style>
  <w:style w:type="paragraph" w:styleId="NormalWeb">
    <w:name w:val="Normal (Web)"/>
    <w:basedOn w:val="Normal"/>
    <w:uiPriority w:val="99"/>
    <w:semiHidden/>
    <w:unhideWhenUsed/>
    <w:rsid w:val="007579F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774">
      <w:bodyDiv w:val="1"/>
      <w:marLeft w:val="0"/>
      <w:marRight w:val="0"/>
      <w:marTop w:val="0"/>
      <w:marBottom w:val="0"/>
      <w:divBdr>
        <w:top w:val="none" w:sz="0" w:space="0" w:color="auto"/>
        <w:left w:val="none" w:sz="0" w:space="0" w:color="auto"/>
        <w:bottom w:val="none" w:sz="0" w:space="0" w:color="auto"/>
        <w:right w:val="none" w:sz="0" w:space="0" w:color="auto"/>
      </w:divBdr>
    </w:div>
    <w:div w:id="36470430">
      <w:bodyDiv w:val="1"/>
      <w:marLeft w:val="0"/>
      <w:marRight w:val="0"/>
      <w:marTop w:val="0"/>
      <w:marBottom w:val="0"/>
      <w:divBdr>
        <w:top w:val="none" w:sz="0" w:space="0" w:color="auto"/>
        <w:left w:val="none" w:sz="0" w:space="0" w:color="auto"/>
        <w:bottom w:val="none" w:sz="0" w:space="0" w:color="auto"/>
        <w:right w:val="none" w:sz="0" w:space="0" w:color="auto"/>
      </w:divBdr>
    </w:div>
    <w:div w:id="76750818">
      <w:bodyDiv w:val="1"/>
      <w:marLeft w:val="0"/>
      <w:marRight w:val="0"/>
      <w:marTop w:val="0"/>
      <w:marBottom w:val="0"/>
      <w:divBdr>
        <w:top w:val="none" w:sz="0" w:space="0" w:color="auto"/>
        <w:left w:val="none" w:sz="0" w:space="0" w:color="auto"/>
        <w:bottom w:val="none" w:sz="0" w:space="0" w:color="auto"/>
        <w:right w:val="none" w:sz="0" w:space="0" w:color="auto"/>
      </w:divBdr>
    </w:div>
    <w:div w:id="103235128">
      <w:bodyDiv w:val="1"/>
      <w:marLeft w:val="0"/>
      <w:marRight w:val="0"/>
      <w:marTop w:val="0"/>
      <w:marBottom w:val="0"/>
      <w:divBdr>
        <w:top w:val="none" w:sz="0" w:space="0" w:color="auto"/>
        <w:left w:val="none" w:sz="0" w:space="0" w:color="auto"/>
        <w:bottom w:val="none" w:sz="0" w:space="0" w:color="auto"/>
        <w:right w:val="none" w:sz="0" w:space="0" w:color="auto"/>
      </w:divBdr>
    </w:div>
    <w:div w:id="196545426">
      <w:bodyDiv w:val="1"/>
      <w:marLeft w:val="0"/>
      <w:marRight w:val="0"/>
      <w:marTop w:val="0"/>
      <w:marBottom w:val="0"/>
      <w:divBdr>
        <w:top w:val="none" w:sz="0" w:space="0" w:color="auto"/>
        <w:left w:val="none" w:sz="0" w:space="0" w:color="auto"/>
        <w:bottom w:val="none" w:sz="0" w:space="0" w:color="auto"/>
        <w:right w:val="none" w:sz="0" w:space="0" w:color="auto"/>
      </w:divBdr>
    </w:div>
    <w:div w:id="229733724">
      <w:bodyDiv w:val="1"/>
      <w:marLeft w:val="0"/>
      <w:marRight w:val="0"/>
      <w:marTop w:val="0"/>
      <w:marBottom w:val="0"/>
      <w:divBdr>
        <w:top w:val="none" w:sz="0" w:space="0" w:color="auto"/>
        <w:left w:val="none" w:sz="0" w:space="0" w:color="auto"/>
        <w:bottom w:val="none" w:sz="0" w:space="0" w:color="auto"/>
        <w:right w:val="none" w:sz="0" w:space="0" w:color="auto"/>
      </w:divBdr>
    </w:div>
    <w:div w:id="237329336">
      <w:bodyDiv w:val="1"/>
      <w:marLeft w:val="0"/>
      <w:marRight w:val="0"/>
      <w:marTop w:val="0"/>
      <w:marBottom w:val="0"/>
      <w:divBdr>
        <w:top w:val="none" w:sz="0" w:space="0" w:color="auto"/>
        <w:left w:val="none" w:sz="0" w:space="0" w:color="auto"/>
        <w:bottom w:val="none" w:sz="0" w:space="0" w:color="auto"/>
        <w:right w:val="none" w:sz="0" w:space="0" w:color="auto"/>
      </w:divBdr>
    </w:div>
    <w:div w:id="251354251">
      <w:bodyDiv w:val="1"/>
      <w:marLeft w:val="0"/>
      <w:marRight w:val="0"/>
      <w:marTop w:val="0"/>
      <w:marBottom w:val="0"/>
      <w:divBdr>
        <w:top w:val="none" w:sz="0" w:space="0" w:color="auto"/>
        <w:left w:val="none" w:sz="0" w:space="0" w:color="auto"/>
        <w:bottom w:val="none" w:sz="0" w:space="0" w:color="auto"/>
        <w:right w:val="none" w:sz="0" w:space="0" w:color="auto"/>
      </w:divBdr>
    </w:div>
    <w:div w:id="269313702">
      <w:bodyDiv w:val="1"/>
      <w:marLeft w:val="0"/>
      <w:marRight w:val="0"/>
      <w:marTop w:val="0"/>
      <w:marBottom w:val="0"/>
      <w:divBdr>
        <w:top w:val="none" w:sz="0" w:space="0" w:color="auto"/>
        <w:left w:val="none" w:sz="0" w:space="0" w:color="auto"/>
        <w:bottom w:val="none" w:sz="0" w:space="0" w:color="auto"/>
        <w:right w:val="none" w:sz="0" w:space="0" w:color="auto"/>
      </w:divBdr>
    </w:div>
    <w:div w:id="459497484">
      <w:bodyDiv w:val="1"/>
      <w:marLeft w:val="0"/>
      <w:marRight w:val="0"/>
      <w:marTop w:val="0"/>
      <w:marBottom w:val="0"/>
      <w:divBdr>
        <w:top w:val="none" w:sz="0" w:space="0" w:color="auto"/>
        <w:left w:val="none" w:sz="0" w:space="0" w:color="auto"/>
        <w:bottom w:val="none" w:sz="0" w:space="0" w:color="auto"/>
        <w:right w:val="none" w:sz="0" w:space="0" w:color="auto"/>
      </w:divBdr>
    </w:div>
    <w:div w:id="474834963">
      <w:bodyDiv w:val="1"/>
      <w:marLeft w:val="0"/>
      <w:marRight w:val="0"/>
      <w:marTop w:val="0"/>
      <w:marBottom w:val="0"/>
      <w:divBdr>
        <w:top w:val="none" w:sz="0" w:space="0" w:color="auto"/>
        <w:left w:val="none" w:sz="0" w:space="0" w:color="auto"/>
        <w:bottom w:val="none" w:sz="0" w:space="0" w:color="auto"/>
        <w:right w:val="none" w:sz="0" w:space="0" w:color="auto"/>
      </w:divBdr>
    </w:div>
    <w:div w:id="482353868">
      <w:bodyDiv w:val="1"/>
      <w:marLeft w:val="0"/>
      <w:marRight w:val="0"/>
      <w:marTop w:val="0"/>
      <w:marBottom w:val="0"/>
      <w:divBdr>
        <w:top w:val="none" w:sz="0" w:space="0" w:color="auto"/>
        <w:left w:val="none" w:sz="0" w:space="0" w:color="auto"/>
        <w:bottom w:val="none" w:sz="0" w:space="0" w:color="auto"/>
        <w:right w:val="none" w:sz="0" w:space="0" w:color="auto"/>
      </w:divBdr>
    </w:div>
    <w:div w:id="515316091">
      <w:bodyDiv w:val="1"/>
      <w:marLeft w:val="0"/>
      <w:marRight w:val="0"/>
      <w:marTop w:val="0"/>
      <w:marBottom w:val="0"/>
      <w:divBdr>
        <w:top w:val="none" w:sz="0" w:space="0" w:color="auto"/>
        <w:left w:val="none" w:sz="0" w:space="0" w:color="auto"/>
        <w:bottom w:val="none" w:sz="0" w:space="0" w:color="auto"/>
        <w:right w:val="none" w:sz="0" w:space="0" w:color="auto"/>
      </w:divBdr>
    </w:div>
    <w:div w:id="580875798">
      <w:bodyDiv w:val="1"/>
      <w:marLeft w:val="0"/>
      <w:marRight w:val="0"/>
      <w:marTop w:val="0"/>
      <w:marBottom w:val="0"/>
      <w:divBdr>
        <w:top w:val="none" w:sz="0" w:space="0" w:color="auto"/>
        <w:left w:val="none" w:sz="0" w:space="0" w:color="auto"/>
        <w:bottom w:val="none" w:sz="0" w:space="0" w:color="auto"/>
        <w:right w:val="none" w:sz="0" w:space="0" w:color="auto"/>
      </w:divBdr>
    </w:div>
    <w:div w:id="585387935">
      <w:bodyDiv w:val="1"/>
      <w:marLeft w:val="0"/>
      <w:marRight w:val="0"/>
      <w:marTop w:val="0"/>
      <w:marBottom w:val="0"/>
      <w:divBdr>
        <w:top w:val="none" w:sz="0" w:space="0" w:color="auto"/>
        <w:left w:val="none" w:sz="0" w:space="0" w:color="auto"/>
        <w:bottom w:val="none" w:sz="0" w:space="0" w:color="auto"/>
        <w:right w:val="none" w:sz="0" w:space="0" w:color="auto"/>
      </w:divBdr>
    </w:div>
    <w:div w:id="698357394">
      <w:bodyDiv w:val="1"/>
      <w:marLeft w:val="0"/>
      <w:marRight w:val="0"/>
      <w:marTop w:val="0"/>
      <w:marBottom w:val="0"/>
      <w:divBdr>
        <w:top w:val="none" w:sz="0" w:space="0" w:color="auto"/>
        <w:left w:val="none" w:sz="0" w:space="0" w:color="auto"/>
        <w:bottom w:val="none" w:sz="0" w:space="0" w:color="auto"/>
        <w:right w:val="none" w:sz="0" w:space="0" w:color="auto"/>
      </w:divBdr>
    </w:div>
    <w:div w:id="713698345">
      <w:bodyDiv w:val="1"/>
      <w:marLeft w:val="0"/>
      <w:marRight w:val="0"/>
      <w:marTop w:val="0"/>
      <w:marBottom w:val="0"/>
      <w:divBdr>
        <w:top w:val="none" w:sz="0" w:space="0" w:color="auto"/>
        <w:left w:val="none" w:sz="0" w:space="0" w:color="auto"/>
        <w:bottom w:val="none" w:sz="0" w:space="0" w:color="auto"/>
        <w:right w:val="none" w:sz="0" w:space="0" w:color="auto"/>
      </w:divBdr>
    </w:div>
    <w:div w:id="779759463">
      <w:bodyDiv w:val="1"/>
      <w:marLeft w:val="0"/>
      <w:marRight w:val="0"/>
      <w:marTop w:val="0"/>
      <w:marBottom w:val="0"/>
      <w:divBdr>
        <w:top w:val="none" w:sz="0" w:space="0" w:color="auto"/>
        <w:left w:val="none" w:sz="0" w:space="0" w:color="auto"/>
        <w:bottom w:val="none" w:sz="0" w:space="0" w:color="auto"/>
        <w:right w:val="none" w:sz="0" w:space="0" w:color="auto"/>
      </w:divBdr>
    </w:div>
    <w:div w:id="842160026">
      <w:bodyDiv w:val="1"/>
      <w:marLeft w:val="0"/>
      <w:marRight w:val="0"/>
      <w:marTop w:val="0"/>
      <w:marBottom w:val="0"/>
      <w:divBdr>
        <w:top w:val="none" w:sz="0" w:space="0" w:color="auto"/>
        <w:left w:val="none" w:sz="0" w:space="0" w:color="auto"/>
        <w:bottom w:val="none" w:sz="0" w:space="0" w:color="auto"/>
        <w:right w:val="none" w:sz="0" w:space="0" w:color="auto"/>
      </w:divBdr>
    </w:div>
    <w:div w:id="944458279">
      <w:bodyDiv w:val="1"/>
      <w:marLeft w:val="0"/>
      <w:marRight w:val="0"/>
      <w:marTop w:val="0"/>
      <w:marBottom w:val="0"/>
      <w:divBdr>
        <w:top w:val="none" w:sz="0" w:space="0" w:color="auto"/>
        <w:left w:val="none" w:sz="0" w:space="0" w:color="auto"/>
        <w:bottom w:val="none" w:sz="0" w:space="0" w:color="auto"/>
        <w:right w:val="none" w:sz="0" w:space="0" w:color="auto"/>
      </w:divBdr>
    </w:div>
    <w:div w:id="1013535562">
      <w:bodyDiv w:val="1"/>
      <w:marLeft w:val="0"/>
      <w:marRight w:val="0"/>
      <w:marTop w:val="0"/>
      <w:marBottom w:val="0"/>
      <w:divBdr>
        <w:top w:val="none" w:sz="0" w:space="0" w:color="auto"/>
        <w:left w:val="none" w:sz="0" w:space="0" w:color="auto"/>
        <w:bottom w:val="none" w:sz="0" w:space="0" w:color="auto"/>
        <w:right w:val="none" w:sz="0" w:space="0" w:color="auto"/>
      </w:divBdr>
    </w:div>
    <w:div w:id="1141849993">
      <w:bodyDiv w:val="1"/>
      <w:marLeft w:val="0"/>
      <w:marRight w:val="0"/>
      <w:marTop w:val="0"/>
      <w:marBottom w:val="0"/>
      <w:divBdr>
        <w:top w:val="none" w:sz="0" w:space="0" w:color="auto"/>
        <w:left w:val="none" w:sz="0" w:space="0" w:color="auto"/>
        <w:bottom w:val="none" w:sz="0" w:space="0" w:color="auto"/>
        <w:right w:val="none" w:sz="0" w:space="0" w:color="auto"/>
      </w:divBdr>
    </w:div>
    <w:div w:id="1171330618">
      <w:bodyDiv w:val="1"/>
      <w:marLeft w:val="0"/>
      <w:marRight w:val="0"/>
      <w:marTop w:val="0"/>
      <w:marBottom w:val="0"/>
      <w:divBdr>
        <w:top w:val="none" w:sz="0" w:space="0" w:color="auto"/>
        <w:left w:val="none" w:sz="0" w:space="0" w:color="auto"/>
        <w:bottom w:val="none" w:sz="0" w:space="0" w:color="auto"/>
        <w:right w:val="none" w:sz="0" w:space="0" w:color="auto"/>
      </w:divBdr>
    </w:div>
    <w:div w:id="1179155508">
      <w:bodyDiv w:val="1"/>
      <w:marLeft w:val="0"/>
      <w:marRight w:val="0"/>
      <w:marTop w:val="0"/>
      <w:marBottom w:val="0"/>
      <w:divBdr>
        <w:top w:val="none" w:sz="0" w:space="0" w:color="auto"/>
        <w:left w:val="none" w:sz="0" w:space="0" w:color="auto"/>
        <w:bottom w:val="none" w:sz="0" w:space="0" w:color="auto"/>
        <w:right w:val="none" w:sz="0" w:space="0" w:color="auto"/>
      </w:divBdr>
    </w:div>
    <w:div w:id="1304584895">
      <w:bodyDiv w:val="1"/>
      <w:marLeft w:val="0"/>
      <w:marRight w:val="0"/>
      <w:marTop w:val="0"/>
      <w:marBottom w:val="0"/>
      <w:divBdr>
        <w:top w:val="none" w:sz="0" w:space="0" w:color="auto"/>
        <w:left w:val="none" w:sz="0" w:space="0" w:color="auto"/>
        <w:bottom w:val="none" w:sz="0" w:space="0" w:color="auto"/>
        <w:right w:val="none" w:sz="0" w:space="0" w:color="auto"/>
      </w:divBdr>
    </w:div>
    <w:div w:id="1381050175">
      <w:bodyDiv w:val="1"/>
      <w:marLeft w:val="0"/>
      <w:marRight w:val="0"/>
      <w:marTop w:val="0"/>
      <w:marBottom w:val="0"/>
      <w:divBdr>
        <w:top w:val="none" w:sz="0" w:space="0" w:color="auto"/>
        <w:left w:val="none" w:sz="0" w:space="0" w:color="auto"/>
        <w:bottom w:val="none" w:sz="0" w:space="0" w:color="auto"/>
        <w:right w:val="none" w:sz="0" w:space="0" w:color="auto"/>
      </w:divBdr>
      <w:divsChild>
        <w:div w:id="95561206">
          <w:marLeft w:val="0"/>
          <w:marRight w:val="0"/>
          <w:marTop w:val="0"/>
          <w:marBottom w:val="0"/>
          <w:divBdr>
            <w:top w:val="none" w:sz="0" w:space="0" w:color="auto"/>
            <w:left w:val="none" w:sz="0" w:space="0" w:color="auto"/>
            <w:bottom w:val="none" w:sz="0" w:space="0" w:color="auto"/>
            <w:right w:val="none" w:sz="0" w:space="0" w:color="auto"/>
          </w:divBdr>
          <w:divsChild>
            <w:div w:id="97526877">
              <w:marLeft w:val="0"/>
              <w:marRight w:val="0"/>
              <w:marTop w:val="0"/>
              <w:marBottom w:val="0"/>
              <w:divBdr>
                <w:top w:val="none" w:sz="0" w:space="0" w:color="auto"/>
                <w:left w:val="none" w:sz="0" w:space="0" w:color="auto"/>
                <w:bottom w:val="none" w:sz="0" w:space="0" w:color="auto"/>
                <w:right w:val="none" w:sz="0" w:space="0" w:color="auto"/>
              </w:divBdr>
              <w:divsChild>
                <w:div w:id="1272739792">
                  <w:marLeft w:val="0"/>
                  <w:marRight w:val="0"/>
                  <w:marTop w:val="0"/>
                  <w:marBottom w:val="0"/>
                  <w:divBdr>
                    <w:top w:val="none" w:sz="0" w:space="0" w:color="auto"/>
                    <w:left w:val="none" w:sz="0" w:space="0" w:color="auto"/>
                    <w:bottom w:val="none" w:sz="0" w:space="0" w:color="auto"/>
                    <w:right w:val="none" w:sz="0" w:space="0" w:color="auto"/>
                  </w:divBdr>
                  <w:divsChild>
                    <w:div w:id="330064181">
                      <w:marLeft w:val="0"/>
                      <w:marRight w:val="0"/>
                      <w:marTop w:val="0"/>
                      <w:marBottom w:val="0"/>
                      <w:divBdr>
                        <w:top w:val="none" w:sz="0" w:space="0" w:color="auto"/>
                        <w:left w:val="none" w:sz="0" w:space="0" w:color="auto"/>
                        <w:bottom w:val="none" w:sz="0" w:space="0" w:color="auto"/>
                        <w:right w:val="none" w:sz="0" w:space="0" w:color="auto"/>
                      </w:divBdr>
                      <w:divsChild>
                        <w:div w:id="1686128198">
                          <w:marLeft w:val="0"/>
                          <w:marRight w:val="0"/>
                          <w:marTop w:val="0"/>
                          <w:marBottom w:val="0"/>
                          <w:divBdr>
                            <w:top w:val="none" w:sz="0" w:space="0" w:color="auto"/>
                            <w:left w:val="none" w:sz="0" w:space="0" w:color="auto"/>
                            <w:bottom w:val="none" w:sz="0" w:space="0" w:color="auto"/>
                            <w:right w:val="none" w:sz="0" w:space="0" w:color="auto"/>
                          </w:divBdr>
                          <w:divsChild>
                            <w:div w:id="20082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066980">
      <w:bodyDiv w:val="1"/>
      <w:marLeft w:val="0"/>
      <w:marRight w:val="0"/>
      <w:marTop w:val="0"/>
      <w:marBottom w:val="0"/>
      <w:divBdr>
        <w:top w:val="none" w:sz="0" w:space="0" w:color="auto"/>
        <w:left w:val="none" w:sz="0" w:space="0" w:color="auto"/>
        <w:bottom w:val="none" w:sz="0" w:space="0" w:color="auto"/>
        <w:right w:val="none" w:sz="0" w:space="0" w:color="auto"/>
      </w:divBdr>
    </w:div>
    <w:div w:id="1530752291">
      <w:bodyDiv w:val="1"/>
      <w:marLeft w:val="0"/>
      <w:marRight w:val="0"/>
      <w:marTop w:val="0"/>
      <w:marBottom w:val="0"/>
      <w:divBdr>
        <w:top w:val="none" w:sz="0" w:space="0" w:color="auto"/>
        <w:left w:val="none" w:sz="0" w:space="0" w:color="auto"/>
        <w:bottom w:val="none" w:sz="0" w:space="0" w:color="auto"/>
        <w:right w:val="none" w:sz="0" w:space="0" w:color="auto"/>
      </w:divBdr>
    </w:div>
    <w:div w:id="1546912996">
      <w:bodyDiv w:val="1"/>
      <w:marLeft w:val="0"/>
      <w:marRight w:val="0"/>
      <w:marTop w:val="0"/>
      <w:marBottom w:val="0"/>
      <w:divBdr>
        <w:top w:val="none" w:sz="0" w:space="0" w:color="auto"/>
        <w:left w:val="none" w:sz="0" w:space="0" w:color="auto"/>
        <w:bottom w:val="none" w:sz="0" w:space="0" w:color="auto"/>
        <w:right w:val="none" w:sz="0" w:space="0" w:color="auto"/>
      </w:divBdr>
    </w:div>
    <w:div w:id="1665740127">
      <w:bodyDiv w:val="1"/>
      <w:marLeft w:val="0"/>
      <w:marRight w:val="0"/>
      <w:marTop w:val="0"/>
      <w:marBottom w:val="0"/>
      <w:divBdr>
        <w:top w:val="none" w:sz="0" w:space="0" w:color="auto"/>
        <w:left w:val="none" w:sz="0" w:space="0" w:color="auto"/>
        <w:bottom w:val="none" w:sz="0" w:space="0" w:color="auto"/>
        <w:right w:val="none" w:sz="0" w:space="0" w:color="auto"/>
      </w:divBdr>
    </w:div>
    <w:div w:id="1717508124">
      <w:bodyDiv w:val="1"/>
      <w:marLeft w:val="0"/>
      <w:marRight w:val="0"/>
      <w:marTop w:val="0"/>
      <w:marBottom w:val="0"/>
      <w:divBdr>
        <w:top w:val="none" w:sz="0" w:space="0" w:color="auto"/>
        <w:left w:val="none" w:sz="0" w:space="0" w:color="auto"/>
        <w:bottom w:val="none" w:sz="0" w:space="0" w:color="auto"/>
        <w:right w:val="none" w:sz="0" w:space="0" w:color="auto"/>
      </w:divBdr>
    </w:div>
    <w:div w:id="1761833818">
      <w:bodyDiv w:val="1"/>
      <w:marLeft w:val="0"/>
      <w:marRight w:val="0"/>
      <w:marTop w:val="0"/>
      <w:marBottom w:val="0"/>
      <w:divBdr>
        <w:top w:val="none" w:sz="0" w:space="0" w:color="auto"/>
        <w:left w:val="none" w:sz="0" w:space="0" w:color="auto"/>
        <w:bottom w:val="none" w:sz="0" w:space="0" w:color="auto"/>
        <w:right w:val="none" w:sz="0" w:space="0" w:color="auto"/>
      </w:divBdr>
    </w:div>
    <w:div w:id="1765805557">
      <w:bodyDiv w:val="1"/>
      <w:marLeft w:val="0"/>
      <w:marRight w:val="0"/>
      <w:marTop w:val="0"/>
      <w:marBottom w:val="0"/>
      <w:divBdr>
        <w:top w:val="none" w:sz="0" w:space="0" w:color="auto"/>
        <w:left w:val="none" w:sz="0" w:space="0" w:color="auto"/>
        <w:bottom w:val="none" w:sz="0" w:space="0" w:color="auto"/>
        <w:right w:val="none" w:sz="0" w:space="0" w:color="auto"/>
      </w:divBdr>
    </w:div>
    <w:div w:id="1797796117">
      <w:bodyDiv w:val="1"/>
      <w:marLeft w:val="0"/>
      <w:marRight w:val="0"/>
      <w:marTop w:val="0"/>
      <w:marBottom w:val="0"/>
      <w:divBdr>
        <w:top w:val="none" w:sz="0" w:space="0" w:color="auto"/>
        <w:left w:val="none" w:sz="0" w:space="0" w:color="auto"/>
        <w:bottom w:val="none" w:sz="0" w:space="0" w:color="auto"/>
        <w:right w:val="none" w:sz="0" w:space="0" w:color="auto"/>
      </w:divBdr>
    </w:div>
    <w:div w:id="1901943191">
      <w:bodyDiv w:val="1"/>
      <w:marLeft w:val="0"/>
      <w:marRight w:val="0"/>
      <w:marTop w:val="0"/>
      <w:marBottom w:val="0"/>
      <w:divBdr>
        <w:top w:val="none" w:sz="0" w:space="0" w:color="auto"/>
        <w:left w:val="none" w:sz="0" w:space="0" w:color="auto"/>
        <w:bottom w:val="none" w:sz="0" w:space="0" w:color="auto"/>
        <w:right w:val="none" w:sz="0" w:space="0" w:color="auto"/>
      </w:divBdr>
    </w:div>
    <w:div w:id="1998070767">
      <w:bodyDiv w:val="1"/>
      <w:marLeft w:val="0"/>
      <w:marRight w:val="0"/>
      <w:marTop w:val="0"/>
      <w:marBottom w:val="0"/>
      <w:divBdr>
        <w:top w:val="none" w:sz="0" w:space="0" w:color="auto"/>
        <w:left w:val="none" w:sz="0" w:space="0" w:color="auto"/>
        <w:bottom w:val="none" w:sz="0" w:space="0" w:color="auto"/>
        <w:right w:val="none" w:sz="0" w:space="0" w:color="auto"/>
      </w:divBdr>
    </w:div>
    <w:div w:id="2008627214">
      <w:bodyDiv w:val="1"/>
      <w:marLeft w:val="0"/>
      <w:marRight w:val="0"/>
      <w:marTop w:val="0"/>
      <w:marBottom w:val="0"/>
      <w:divBdr>
        <w:top w:val="none" w:sz="0" w:space="0" w:color="auto"/>
        <w:left w:val="none" w:sz="0" w:space="0" w:color="auto"/>
        <w:bottom w:val="none" w:sz="0" w:space="0" w:color="auto"/>
        <w:right w:val="none" w:sz="0" w:space="0" w:color="auto"/>
      </w:divBdr>
    </w:div>
    <w:div w:id="2035305884">
      <w:bodyDiv w:val="1"/>
      <w:marLeft w:val="0"/>
      <w:marRight w:val="0"/>
      <w:marTop w:val="0"/>
      <w:marBottom w:val="0"/>
      <w:divBdr>
        <w:top w:val="none" w:sz="0" w:space="0" w:color="auto"/>
        <w:left w:val="none" w:sz="0" w:space="0" w:color="auto"/>
        <w:bottom w:val="none" w:sz="0" w:space="0" w:color="auto"/>
        <w:right w:val="none" w:sz="0" w:space="0" w:color="auto"/>
      </w:divBdr>
    </w:div>
    <w:div w:id="2057314136">
      <w:bodyDiv w:val="1"/>
      <w:marLeft w:val="0"/>
      <w:marRight w:val="0"/>
      <w:marTop w:val="0"/>
      <w:marBottom w:val="0"/>
      <w:divBdr>
        <w:top w:val="none" w:sz="0" w:space="0" w:color="auto"/>
        <w:left w:val="none" w:sz="0" w:space="0" w:color="auto"/>
        <w:bottom w:val="none" w:sz="0" w:space="0" w:color="auto"/>
        <w:right w:val="none" w:sz="0" w:space="0" w:color="auto"/>
      </w:divBdr>
    </w:div>
    <w:div w:id="2061897680">
      <w:bodyDiv w:val="1"/>
      <w:marLeft w:val="0"/>
      <w:marRight w:val="0"/>
      <w:marTop w:val="0"/>
      <w:marBottom w:val="0"/>
      <w:divBdr>
        <w:top w:val="none" w:sz="0" w:space="0" w:color="auto"/>
        <w:left w:val="none" w:sz="0" w:space="0" w:color="auto"/>
        <w:bottom w:val="none" w:sz="0" w:space="0" w:color="auto"/>
        <w:right w:val="none" w:sz="0" w:space="0" w:color="auto"/>
      </w:divBdr>
    </w:div>
    <w:div w:id="2086759695">
      <w:bodyDiv w:val="1"/>
      <w:marLeft w:val="0"/>
      <w:marRight w:val="0"/>
      <w:marTop w:val="0"/>
      <w:marBottom w:val="0"/>
      <w:divBdr>
        <w:top w:val="none" w:sz="0" w:space="0" w:color="auto"/>
        <w:left w:val="none" w:sz="0" w:space="0" w:color="auto"/>
        <w:bottom w:val="none" w:sz="0" w:space="0" w:color="auto"/>
        <w:right w:val="none" w:sz="0" w:space="0" w:color="auto"/>
      </w:divBdr>
    </w:div>
    <w:div w:id="2097942127">
      <w:bodyDiv w:val="1"/>
      <w:marLeft w:val="0"/>
      <w:marRight w:val="0"/>
      <w:marTop w:val="0"/>
      <w:marBottom w:val="0"/>
      <w:divBdr>
        <w:top w:val="none" w:sz="0" w:space="0" w:color="auto"/>
        <w:left w:val="none" w:sz="0" w:space="0" w:color="auto"/>
        <w:bottom w:val="none" w:sz="0" w:space="0" w:color="auto"/>
        <w:right w:val="none" w:sz="0" w:space="0" w:color="auto"/>
      </w:divBdr>
    </w:div>
    <w:div w:id="2128043546">
      <w:bodyDiv w:val="1"/>
      <w:marLeft w:val="0"/>
      <w:marRight w:val="0"/>
      <w:marTop w:val="0"/>
      <w:marBottom w:val="0"/>
      <w:divBdr>
        <w:top w:val="none" w:sz="0" w:space="0" w:color="auto"/>
        <w:left w:val="none" w:sz="0" w:space="0" w:color="auto"/>
        <w:bottom w:val="none" w:sz="0" w:space="0" w:color="auto"/>
        <w:right w:val="none" w:sz="0" w:space="0" w:color="auto"/>
      </w:divBdr>
    </w:div>
    <w:div w:id="213374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20/83/contents/m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69008-D93B-48D1-B643-9D0AA6B2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Report to Hartlepool Schools Forum 28th February 2007</vt:lpstr>
    </vt:vector>
  </TitlesOfParts>
  <Company>Hartlepool BC</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Hartlepool Schools Forum 28th February 2007</dc:title>
  <dc:creator>ECRSAV</dc:creator>
  <cp:lastModifiedBy>Jo Stubbs</cp:lastModifiedBy>
  <cp:revision>12</cp:revision>
  <cp:lastPrinted>2018-05-02T17:36:00Z</cp:lastPrinted>
  <dcterms:created xsi:type="dcterms:W3CDTF">2019-04-30T14:15:00Z</dcterms:created>
  <dcterms:modified xsi:type="dcterms:W3CDTF">2020-07-07T08:49:00Z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1722555263</vt:i4>
  </property>
  <property fmtid="{D5CDD505-2E9C-101B-9397-08002B2CF9AE}" pid="3" name="_NewReviewCycle">
    <vt:lpwstr/>
  </property>
  <property fmtid="{D5CDD505-2E9C-101B-9397-08002B2CF9AE}" pid="4" name="_EmailSubject">
    <vt:lpwstr>Schools Forum</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7" name="_PreviousAdHocReviewCycleID">
    <vt:i4>-1061012860</vt:i4>
  </property>
</Properties>
</file>