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AC" w:rsidRPr="00127C03" w:rsidRDefault="00B921AC" w:rsidP="00B9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27C03">
        <w:rPr>
          <w:rFonts w:ascii="Arial" w:hAnsi="Arial" w:cs="Arial"/>
          <w:b/>
          <w:bCs/>
        </w:rPr>
        <w:t>Report to Hartlepool Schools’ Forum</w:t>
      </w:r>
      <w:r w:rsidR="005879DB" w:rsidRPr="00127C03">
        <w:rPr>
          <w:rFonts w:ascii="Arial" w:hAnsi="Arial" w:cs="Arial"/>
          <w:b/>
          <w:bCs/>
        </w:rPr>
        <w:t xml:space="preserve"> </w:t>
      </w:r>
      <w:r w:rsidR="00E53796">
        <w:rPr>
          <w:rFonts w:ascii="Arial" w:hAnsi="Arial" w:cs="Arial"/>
          <w:b/>
          <w:bCs/>
        </w:rPr>
        <w:t>14</w:t>
      </w:r>
      <w:r w:rsidR="00DE5658">
        <w:rPr>
          <w:rFonts w:ascii="Arial" w:hAnsi="Arial" w:cs="Arial"/>
          <w:b/>
          <w:bCs/>
          <w:vertAlign w:val="superscript"/>
        </w:rPr>
        <w:t xml:space="preserve"> </w:t>
      </w:r>
      <w:r w:rsidR="00E53796">
        <w:rPr>
          <w:rFonts w:ascii="Arial" w:hAnsi="Arial" w:cs="Arial"/>
          <w:b/>
          <w:bCs/>
        </w:rPr>
        <w:t>Jul</w:t>
      </w:r>
      <w:r w:rsidR="007B345D">
        <w:rPr>
          <w:rFonts w:ascii="Arial" w:hAnsi="Arial" w:cs="Arial"/>
          <w:b/>
          <w:bCs/>
        </w:rPr>
        <w:t>y</w:t>
      </w:r>
      <w:r w:rsidR="00E53796">
        <w:rPr>
          <w:rFonts w:ascii="Arial" w:hAnsi="Arial" w:cs="Arial"/>
          <w:b/>
          <w:bCs/>
        </w:rPr>
        <w:t xml:space="preserve"> 2020</w:t>
      </w:r>
    </w:p>
    <w:p w:rsidR="00B921AC" w:rsidRPr="00127C03" w:rsidRDefault="00B921AC" w:rsidP="00B9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27C03">
        <w:rPr>
          <w:rFonts w:ascii="Arial" w:hAnsi="Arial" w:cs="Arial"/>
          <w:b/>
          <w:bCs/>
        </w:rPr>
        <w:t xml:space="preserve">From </w:t>
      </w:r>
      <w:r w:rsidR="00E53796">
        <w:rPr>
          <w:rFonts w:ascii="Arial" w:hAnsi="Arial" w:cs="Arial"/>
          <w:b/>
          <w:bCs/>
        </w:rPr>
        <w:t>Amanda Whitehead</w:t>
      </w:r>
      <w:r w:rsidR="00380BB4">
        <w:rPr>
          <w:rFonts w:ascii="Arial" w:hAnsi="Arial" w:cs="Arial"/>
          <w:b/>
          <w:bCs/>
        </w:rPr>
        <w:t xml:space="preserve"> </w:t>
      </w:r>
      <w:r w:rsidR="001D775A">
        <w:rPr>
          <w:rFonts w:ascii="Arial" w:hAnsi="Arial" w:cs="Arial"/>
          <w:b/>
          <w:bCs/>
        </w:rPr>
        <w:t>(</w:t>
      </w:r>
      <w:r w:rsidR="00E53796">
        <w:rPr>
          <w:rFonts w:ascii="Arial" w:hAnsi="Arial" w:cs="Arial"/>
          <w:b/>
          <w:bCs/>
        </w:rPr>
        <w:t xml:space="preserve">Assistant </w:t>
      </w:r>
      <w:r w:rsidR="001D775A">
        <w:rPr>
          <w:rFonts w:ascii="Arial" w:hAnsi="Arial" w:cs="Arial"/>
          <w:b/>
          <w:bCs/>
        </w:rPr>
        <w:t>Director</w:t>
      </w:r>
      <w:r w:rsidR="00E53796">
        <w:rPr>
          <w:rFonts w:ascii="Arial" w:hAnsi="Arial" w:cs="Arial"/>
          <w:b/>
          <w:bCs/>
        </w:rPr>
        <w:t xml:space="preserve"> - Education</w:t>
      </w:r>
      <w:r w:rsidR="008B24AA" w:rsidRPr="00127C03">
        <w:rPr>
          <w:rFonts w:ascii="Arial" w:hAnsi="Arial" w:cs="Arial"/>
          <w:b/>
          <w:bCs/>
        </w:rPr>
        <w:t>)</w:t>
      </w:r>
    </w:p>
    <w:p w:rsidR="0079428F" w:rsidRPr="00127C03" w:rsidRDefault="0079428F">
      <w:pPr>
        <w:rPr>
          <w:rFonts w:ascii="Arial" w:hAnsi="Arial" w:cs="Arial"/>
          <w:b/>
          <w:bCs/>
        </w:rPr>
      </w:pPr>
    </w:p>
    <w:p w:rsidR="0079428F" w:rsidRPr="00127C03" w:rsidRDefault="0079428F" w:rsidP="0079428F">
      <w:pPr>
        <w:pStyle w:val="Heading1"/>
      </w:pPr>
      <w:r w:rsidRPr="00127C03">
        <w:t>Agenda Item</w:t>
      </w:r>
      <w:r w:rsidR="0086076D" w:rsidRPr="00127C03">
        <w:t xml:space="preserve"> </w:t>
      </w:r>
      <w:r w:rsidR="00426081">
        <w:t>9</w:t>
      </w:r>
      <w:bookmarkStart w:id="0" w:name="_GoBack"/>
      <w:bookmarkEnd w:id="0"/>
      <w:r w:rsidR="002B3E18" w:rsidRPr="00127C03">
        <w:t xml:space="preserve"> </w:t>
      </w:r>
      <w:r w:rsidR="007B345D">
        <w:t>–</w:t>
      </w:r>
      <w:r w:rsidRPr="00127C03">
        <w:t xml:space="preserve"> </w:t>
      </w:r>
      <w:r w:rsidR="007B345D">
        <w:t>Dedicated Schools Grant</w:t>
      </w:r>
      <w:r w:rsidR="005F187A">
        <w:t xml:space="preserve"> &amp; De-d</w:t>
      </w:r>
      <w:r w:rsidR="00CC4CB2">
        <w:t>elegated Budgets</w:t>
      </w:r>
      <w:r w:rsidR="005F187A">
        <w:t xml:space="preserve"> Update</w:t>
      </w:r>
    </w:p>
    <w:p w:rsidR="0079428F" w:rsidRDefault="0079428F" w:rsidP="0079428F">
      <w:pPr>
        <w:rPr>
          <w:rFonts w:ascii="Arial" w:hAnsi="Arial" w:cs="Arial"/>
        </w:rPr>
      </w:pPr>
    </w:p>
    <w:p w:rsidR="005F187A" w:rsidRPr="00127C03" w:rsidRDefault="005F187A" w:rsidP="0079428F">
      <w:pPr>
        <w:rPr>
          <w:rFonts w:ascii="Arial" w:hAnsi="Arial" w:cs="Arial"/>
        </w:rPr>
      </w:pPr>
    </w:p>
    <w:p w:rsidR="0079428F" w:rsidRPr="00127C03" w:rsidRDefault="0079428F" w:rsidP="004D7F53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127C03">
        <w:rPr>
          <w:rFonts w:ascii="Arial" w:hAnsi="Arial" w:cs="Arial"/>
          <w:b/>
          <w:u w:val="single"/>
        </w:rPr>
        <w:t>Introduction</w:t>
      </w:r>
    </w:p>
    <w:p w:rsidR="007B345D" w:rsidRDefault="007B345D" w:rsidP="007B345D">
      <w:pPr>
        <w:rPr>
          <w:rFonts w:ascii="Arial" w:hAnsi="Arial" w:cs="Arial"/>
        </w:rPr>
      </w:pPr>
    </w:p>
    <w:p w:rsidR="007B345D" w:rsidRDefault="007B345D" w:rsidP="007B345D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 w:rsidRPr="007B345D">
        <w:rPr>
          <w:rFonts w:ascii="Arial" w:hAnsi="Arial" w:cs="Arial"/>
          <w:bCs/>
        </w:rPr>
        <w:t>The purpose</w:t>
      </w:r>
      <w:r w:rsidR="005F73B7">
        <w:rPr>
          <w:rFonts w:ascii="Arial" w:hAnsi="Arial" w:cs="Arial"/>
          <w:bCs/>
        </w:rPr>
        <w:t xml:space="preserve"> of the report is to update </w:t>
      </w:r>
      <w:r w:rsidRPr="007B345D">
        <w:rPr>
          <w:rFonts w:ascii="Arial" w:hAnsi="Arial" w:cs="Arial"/>
          <w:bCs/>
        </w:rPr>
        <w:t>Schools</w:t>
      </w:r>
      <w:r w:rsidR="005F73B7">
        <w:rPr>
          <w:rFonts w:ascii="Arial" w:hAnsi="Arial" w:cs="Arial"/>
          <w:bCs/>
        </w:rPr>
        <w:t>’</w:t>
      </w:r>
      <w:r w:rsidRPr="007B345D">
        <w:rPr>
          <w:rFonts w:ascii="Arial" w:hAnsi="Arial" w:cs="Arial"/>
          <w:bCs/>
        </w:rPr>
        <w:t xml:space="preserve"> Forum on </w:t>
      </w:r>
      <w:r w:rsidR="005E0155">
        <w:rPr>
          <w:rFonts w:ascii="Arial" w:hAnsi="Arial" w:cs="Arial"/>
          <w:bCs/>
        </w:rPr>
        <w:t xml:space="preserve">the outturn </w:t>
      </w:r>
      <w:r w:rsidR="00DE5658">
        <w:rPr>
          <w:rFonts w:ascii="Arial" w:hAnsi="Arial" w:cs="Arial"/>
          <w:bCs/>
        </w:rPr>
        <w:t xml:space="preserve">position for </w:t>
      </w:r>
      <w:r w:rsidR="005E0155">
        <w:rPr>
          <w:rFonts w:ascii="Arial" w:hAnsi="Arial" w:cs="Arial"/>
          <w:bCs/>
        </w:rPr>
        <w:t>t</w:t>
      </w:r>
      <w:r w:rsidR="008C700B">
        <w:rPr>
          <w:rFonts w:ascii="Arial" w:hAnsi="Arial" w:cs="Arial"/>
          <w:bCs/>
        </w:rPr>
        <w:t>h</w:t>
      </w:r>
      <w:r w:rsidR="005E0155">
        <w:rPr>
          <w:rFonts w:ascii="Arial" w:hAnsi="Arial" w:cs="Arial"/>
          <w:bCs/>
        </w:rPr>
        <w:t>e</w:t>
      </w:r>
      <w:r w:rsidR="008C700B">
        <w:rPr>
          <w:rFonts w:ascii="Arial" w:hAnsi="Arial" w:cs="Arial"/>
          <w:bCs/>
        </w:rPr>
        <w:t xml:space="preserve"> </w:t>
      </w:r>
      <w:r w:rsidRPr="007B345D">
        <w:rPr>
          <w:rFonts w:ascii="Arial" w:hAnsi="Arial" w:cs="Arial"/>
          <w:bCs/>
        </w:rPr>
        <w:t xml:space="preserve">Dedicated Schools Grant </w:t>
      </w:r>
      <w:r w:rsidR="008C700B">
        <w:rPr>
          <w:rFonts w:ascii="Arial" w:hAnsi="Arial" w:cs="Arial"/>
          <w:bCs/>
        </w:rPr>
        <w:t xml:space="preserve">(DSG) </w:t>
      </w:r>
      <w:r w:rsidR="001D775A">
        <w:rPr>
          <w:rFonts w:ascii="Arial" w:hAnsi="Arial" w:cs="Arial"/>
          <w:bCs/>
        </w:rPr>
        <w:t>and d</w:t>
      </w:r>
      <w:r w:rsidR="00B46AAA">
        <w:rPr>
          <w:rFonts w:ascii="Arial" w:hAnsi="Arial" w:cs="Arial"/>
          <w:bCs/>
        </w:rPr>
        <w:t xml:space="preserve">e-delegated budgets </w:t>
      </w:r>
      <w:r w:rsidRPr="007B345D">
        <w:rPr>
          <w:rFonts w:ascii="Arial" w:hAnsi="Arial" w:cs="Arial"/>
          <w:bCs/>
        </w:rPr>
        <w:t>for the financial year 201</w:t>
      </w:r>
      <w:r w:rsidR="00E53796">
        <w:rPr>
          <w:rFonts w:ascii="Arial" w:hAnsi="Arial" w:cs="Arial"/>
          <w:bCs/>
        </w:rPr>
        <w:t>9/20</w:t>
      </w:r>
      <w:r w:rsidRPr="007B345D">
        <w:rPr>
          <w:rFonts w:ascii="Arial" w:hAnsi="Arial" w:cs="Arial"/>
          <w:bCs/>
        </w:rPr>
        <w:t xml:space="preserve">.  </w:t>
      </w:r>
    </w:p>
    <w:p w:rsidR="008C700B" w:rsidRDefault="008C700B" w:rsidP="008C700B">
      <w:pPr>
        <w:pStyle w:val="ListParagraph"/>
        <w:rPr>
          <w:rFonts w:ascii="Arial" w:hAnsi="Arial" w:cs="Arial"/>
          <w:bCs/>
        </w:rPr>
      </w:pPr>
    </w:p>
    <w:p w:rsidR="005F187A" w:rsidRDefault="005F187A" w:rsidP="008C700B">
      <w:pPr>
        <w:pStyle w:val="ListParagraph"/>
        <w:rPr>
          <w:rFonts w:ascii="Arial" w:hAnsi="Arial" w:cs="Arial"/>
          <w:bCs/>
        </w:rPr>
      </w:pPr>
    </w:p>
    <w:p w:rsidR="008C700B" w:rsidRPr="00E86B0D" w:rsidRDefault="008C700B" w:rsidP="008C700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E86B0D">
        <w:rPr>
          <w:rFonts w:ascii="Arial" w:hAnsi="Arial" w:cs="Arial"/>
          <w:b/>
          <w:bCs/>
          <w:u w:val="single"/>
        </w:rPr>
        <w:t>Background</w:t>
      </w:r>
    </w:p>
    <w:p w:rsidR="008C700B" w:rsidRDefault="008C700B" w:rsidP="008C700B">
      <w:pPr>
        <w:pStyle w:val="ListParagraph"/>
        <w:rPr>
          <w:rFonts w:ascii="Arial" w:hAnsi="Arial" w:cs="Arial"/>
          <w:bCs/>
        </w:rPr>
      </w:pPr>
    </w:p>
    <w:p w:rsidR="00147F92" w:rsidRDefault="00147F92" w:rsidP="00147F92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Education </w:t>
      </w:r>
      <w:r w:rsidR="005F73B7">
        <w:rPr>
          <w:rFonts w:ascii="Arial" w:hAnsi="Arial" w:cs="Arial"/>
        </w:rPr>
        <w:t xml:space="preserve">and Skills </w:t>
      </w:r>
      <w:r>
        <w:rPr>
          <w:rFonts w:ascii="Arial" w:hAnsi="Arial" w:cs="Arial"/>
        </w:rPr>
        <w:t>Funding Agency</w:t>
      </w:r>
      <w:r w:rsidR="001D775A">
        <w:rPr>
          <w:rFonts w:ascii="Arial" w:hAnsi="Arial" w:cs="Arial"/>
        </w:rPr>
        <w:t xml:space="preserve"> (E</w:t>
      </w:r>
      <w:r w:rsidR="005F73B7">
        <w:rPr>
          <w:rFonts w:ascii="Arial" w:hAnsi="Arial" w:cs="Arial"/>
        </w:rPr>
        <w:t>S</w:t>
      </w:r>
      <w:r w:rsidR="001D775A">
        <w:rPr>
          <w:rFonts w:ascii="Arial" w:hAnsi="Arial" w:cs="Arial"/>
        </w:rPr>
        <w:t>FA)</w:t>
      </w:r>
      <w:r>
        <w:rPr>
          <w:rFonts w:ascii="Arial" w:hAnsi="Arial" w:cs="Arial"/>
        </w:rPr>
        <w:t xml:space="preserve"> ‘Schools Reve</w:t>
      </w:r>
      <w:r w:rsidR="001D775A">
        <w:rPr>
          <w:rFonts w:ascii="Arial" w:hAnsi="Arial" w:cs="Arial"/>
        </w:rPr>
        <w:t>nue Funding 201</w:t>
      </w:r>
      <w:r w:rsidR="00E53796">
        <w:rPr>
          <w:rFonts w:ascii="Arial" w:hAnsi="Arial" w:cs="Arial"/>
        </w:rPr>
        <w:t>9/20</w:t>
      </w:r>
      <w:r w:rsidR="001D775A">
        <w:rPr>
          <w:rFonts w:ascii="Arial" w:hAnsi="Arial" w:cs="Arial"/>
        </w:rPr>
        <w:t xml:space="preserve"> Guide’, the local authority is </w:t>
      </w:r>
      <w:r>
        <w:rPr>
          <w:rFonts w:ascii="Arial" w:hAnsi="Arial" w:cs="Arial"/>
        </w:rPr>
        <w:t xml:space="preserve">required to outline the Dedicated Schools Grant financial outturn </w:t>
      </w:r>
      <w:r w:rsidRPr="00127C03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the end of the financial year.</w:t>
      </w:r>
    </w:p>
    <w:p w:rsidR="00147F92" w:rsidRDefault="00147F92" w:rsidP="001D775A">
      <w:pPr>
        <w:rPr>
          <w:rFonts w:ascii="Arial" w:hAnsi="Arial" w:cs="Arial"/>
        </w:rPr>
      </w:pPr>
    </w:p>
    <w:p w:rsidR="00DF5AC6" w:rsidRPr="00B46AAA" w:rsidRDefault="00147F92" w:rsidP="00DF5AC6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B46AAA">
        <w:rPr>
          <w:rFonts w:ascii="Arial" w:hAnsi="Arial" w:cs="Arial"/>
        </w:rPr>
        <w:t xml:space="preserve">Local authorities are </w:t>
      </w:r>
      <w:r w:rsidR="00DE5658">
        <w:rPr>
          <w:rFonts w:ascii="Arial" w:hAnsi="Arial" w:cs="Arial"/>
        </w:rPr>
        <w:t>also</w:t>
      </w:r>
      <w:r w:rsidR="00CD6644" w:rsidRPr="00B46AAA">
        <w:rPr>
          <w:rFonts w:ascii="Arial" w:hAnsi="Arial" w:cs="Arial"/>
        </w:rPr>
        <w:t xml:space="preserve"> </w:t>
      </w:r>
      <w:r w:rsidRPr="00B46AAA">
        <w:rPr>
          <w:rFonts w:ascii="Arial" w:hAnsi="Arial" w:cs="Arial"/>
        </w:rPr>
        <w:t>required to report any unspent de-delegated funding remaining at the year end and obtain the consent of the Schools</w:t>
      </w:r>
      <w:r w:rsidR="005F73B7">
        <w:rPr>
          <w:rFonts w:ascii="Arial" w:hAnsi="Arial" w:cs="Arial"/>
        </w:rPr>
        <w:t>’</w:t>
      </w:r>
      <w:r w:rsidRPr="00B46AAA">
        <w:rPr>
          <w:rFonts w:ascii="Arial" w:hAnsi="Arial" w:cs="Arial"/>
        </w:rPr>
        <w:t xml:space="preserve"> Forum to fund any overspend from the schools budget.</w:t>
      </w:r>
      <w:r w:rsidR="00B46AAA">
        <w:rPr>
          <w:rFonts w:ascii="Arial" w:hAnsi="Arial" w:cs="Arial"/>
        </w:rPr>
        <w:t xml:space="preserve"> </w:t>
      </w:r>
      <w:r w:rsidR="001D775A">
        <w:rPr>
          <w:rFonts w:ascii="Arial" w:hAnsi="Arial" w:cs="Arial"/>
        </w:rPr>
        <w:t xml:space="preserve"> </w:t>
      </w:r>
      <w:r w:rsidRPr="00B46AAA">
        <w:rPr>
          <w:rFonts w:ascii="Arial" w:hAnsi="Arial" w:cs="Arial"/>
        </w:rPr>
        <w:t xml:space="preserve">Funding may be carried forward to the following funding period and can be used specifically for de-delegated services if the </w:t>
      </w:r>
      <w:r w:rsidR="001D775A">
        <w:rPr>
          <w:rFonts w:ascii="Arial" w:hAnsi="Arial" w:cs="Arial"/>
        </w:rPr>
        <w:t xml:space="preserve">local </w:t>
      </w:r>
      <w:r w:rsidRPr="00B46AAA">
        <w:rPr>
          <w:rFonts w:ascii="Arial" w:hAnsi="Arial" w:cs="Arial"/>
        </w:rPr>
        <w:t>authority wishes.</w:t>
      </w:r>
    </w:p>
    <w:p w:rsidR="009F0AAE" w:rsidRDefault="009F0AAE" w:rsidP="00DF5AC6">
      <w:pPr>
        <w:rPr>
          <w:rFonts w:ascii="Arial" w:hAnsi="Arial" w:cs="Arial"/>
          <w:color w:val="000000" w:themeColor="text1"/>
        </w:rPr>
      </w:pPr>
    </w:p>
    <w:p w:rsidR="005F187A" w:rsidRPr="00127C03" w:rsidRDefault="005F187A" w:rsidP="00DF5AC6">
      <w:pPr>
        <w:rPr>
          <w:rFonts w:ascii="Arial" w:hAnsi="Arial" w:cs="Arial"/>
          <w:color w:val="000000" w:themeColor="text1"/>
        </w:rPr>
      </w:pPr>
    </w:p>
    <w:p w:rsidR="009F0AAE" w:rsidRDefault="009F0AAE" w:rsidP="009F0AAE">
      <w:pPr>
        <w:rPr>
          <w:rFonts w:ascii="Arial" w:hAnsi="Arial" w:cs="Arial"/>
          <w:b/>
          <w:bCs/>
          <w:u w:val="single"/>
        </w:rPr>
      </w:pPr>
      <w:r w:rsidRPr="009F0AAE"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ab/>
      </w:r>
      <w:r w:rsidR="005F2462" w:rsidRPr="005F2462">
        <w:rPr>
          <w:rFonts w:ascii="Arial" w:hAnsi="Arial" w:cs="Arial"/>
          <w:b/>
          <w:color w:val="000000" w:themeColor="text1"/>
          <w:u w:val="single"/>
        </w:rPr>
        <w:t xml:space="preserve">DSG </w:t>
      </w:r>
      <w:r w:rsidRPr="005F2462">
        <w:rPr>
          <w:rFonts w:ascii="Arial" w:hAnsi="Arial" w:cs="Arial"/>
          <w:b/>
          <w:bCs/>
          <w:u w:val="single"/>
        </w:rPr>
        <w:t>Financial</w:t>
      </w:r>
      <w:r w:rsidRPr="00EA1391">
        <w:rPr>
          <w:rFonts w:ascii="Arial" w:hAnsi="Arial" w:cs="Arial"/>
          <w:b/>
          <w:bCs/>
          <w:u w:val="single"/>
        </w:rPr>
        <w:t xml:space="preserve"> </w:t>
      </w:r>
      <w:r w:rsidR="005F73B7">
        <w:rPr>
          <w:rFonts w:ascii="Arial" w:hAnsi="Arial" w:cs="Arial"/>
          <w:b/>
          <w:bCs/>
          <w:u w:val="single"/>
        </w:rPr>
        <w:t>Position</w:t>
      </w:r>
      <w:r w:rsidR="005F2462">
        <w:rPr>
          <w:rFonts w:ascii="Arial" w:hAnsi="Arial" w:cs="Arial"/>
          <w:b/>
          <w:bCs/>
          <w:u w:val="single"/>
        </w:rPr>
        <w:t xml:space="preserve"> for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1391">
        <w:rPr>
          <w:rFonts w:ascii="Arial" w:hAnsi="Arial" w:cs="Arial"/>
          <w:b/>
          <w:bCs/>
          <w:u w:val="single"/>
        </w:rPr>
        <w:t>201</w:t>
      </w:r>
      <w:r w:rsidR="00E53796">
        <w:rPr>
          <w:rFonts w:ascii="Arial" w:hAnsi="Arial" w:cs="Arial"/>
          <w:b/>
          <w:bCs/>
          <w:u w:val="single"/>
        </w:rPr>
        <w:t>9/20</w:t>
      </w:r>
    </w:p>
    <w:p w:rsidR="00EA1391" w:rsidRPr="00EA1391" w:rsidRDefault="00EA1391" w:rsidP="00EA1391">
      <w:pPr>
        <w:ind w:left="720"/>
        <w:rPr>
          <w:rFonts w:ascii="Arial" w:hAnsi="Arial" w:cs="Arial"/>
          <w:b/>
          <w:bCs/>
          <w:u w:val="single"/>
        </w:rPr>
      </w:pPr>
    </w:p>
    <w:p w:rsidR="007B345D" w:rsidRPr="009F0AAE" w:rsidRDefault="009F0AAE" w:rsidP="009F0AAE">
      <w:pPr>
        <w:rPr>
          <w:rFonts w:ascii="Arial" w:hAnsi="Arial" w:cs="Arial"/>
        </w:rPr>
      </w:pPr>
      <w:r w:rsidRPr="009F0AAE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9F0AAE">
        <w:rPr>
          <w:rFonts w:ascii="Arial" w:hAnsi="Arial" w:cs="Arial"/>
        </w:rPr>
        <w:tab/>
      </w:r>
      <w:r w:rsidR="007B345D" w:rsidRPr="009F0AAE">
        <w:rPr>
          <w:rFonts w:ascii="Arial" w:hAnsi="Arial" w:cs="Arial"/>
        </w:rPr>
        <w:t xml:space="preserve">The table below </w:t>
      </w:r>
      <w:r w:rsidR="001D775A">
        <w:rPr>
          <w:rFonts w:ascii="Arial" w:hAnsi="Arial" w:cs="Arial"/>
        </w:rPr>
        <w:t>summarises</w:t>
      </w:r>
      <w:r w:rsidR="007B345D" w:rsidRPr="009F0AAE">
        <w:rPr>
          <w:rFonts w:ascii="Arial" w:hAnsi="Arial" w:cs="Arial"/>
        </w:rPr>
        <w:t xml:space="preserve"> the </w:t>
      </w:r>
      <w:r w:rsidR="009D144C" w:rsidRPr="009F0AAE">
        <w:rPr>
          <w:rFonts w:ascii="Arial" w:hAnsi="Arial" w:cs="Arial"/>
        </w:rPr>
        <w:t xml:space="preserve">DSG </w:t>
      </w:r>
      <w:r w:rsidR="007B345D" w:rsidRPr="009F0AAE">
        <w:rPr>
          <w:rFonts w:ascii="Arial" w:hAnsi="Arial" w:cs="Arial"/>
        </w:rPr>
        <w:t xml:space="preserve">actual </w:t>
      </w:r>
      <w:r w:rsidR="008C700B" w:rsidRPr="009F0AAE">
        <w:rPr>
          <w:rFonts w:ascii="Arial" w:hAnsi="Arial" w:cs="Arial"/>
        </w:rPr>
        <w:t>spend against budget.</w:t>
      </w:r>
    </w:p>
    <w:p w:rsidR="001E5326" w:rsidRDefault="001E5326" w:rsidP="001E5326">
      <w:pPr>
        <w:pStyle w:val="ListParagraph"/>
        <w:rPr>
          <w:rFonts w:ascii="Arial" w:hAnsi="Arial" w:cs="Arial"/>
        </w:rPr>
      </w:pPr>
    </w:p>
    <w:tbl>
      <w:tblPr>
        <w:tblW w:w="8443" w:type="dxa"/>
        <w:tblInd w:w="742" w:type="dxa"/>
        <w:tblLook w:val="04A0" w:firstRow="1" w:lastRow="0" w:firstColumn="1" w:lastColumn="0" w:noHBand="0" w:noVBand="1"/>
      </w:tblPr>
      <w:tblGrid>
        <w:gridCol w:w="3782"/>
        <w:gridCol w:w="1694"/>
        <w:gridCol w:w="1350"/>
        <w:gridCol w:w="1617"/>
      </w:tblGrid>
      <w:tr w:rsidR="00C820BA" w:rsidTr="00F3588B">
        <w:trPr>
          <w:trHeight w:val="1597"/>
        </w:trPr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DSG Block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2019/20 Revised </w:t>
            </w:r>
          </w:p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Budget</w:t>
            </w:r>
          </w:p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£</w:t>
            </w:r>
          </w:p>
          <w:p w:rsidR="00C820BA" w:rsidRDefault="00C820BA" w:rsidP="00D62B4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2019/20</w:t>
            </w:r>
          </w:p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Actual</w:t>
            </w:r>
          </w:p>
          <w:p w:rsidR="00C820BA" w:rsidRDefault="00C820B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:rsidR="00C820BA" w:rsidRDefault="00C820BA" w:rsidP="00053C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£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2019/20</w:t>
            </w:r>
          </w:p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Variance over/(under)</w:t>
            </w:r>
          </w:p>
          <w:p w:rsidR="00C820BA" w:rsidRDefault="00C820B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£</w:t>
            </w:r>
          </w:p>
          <w:p w:rsidR="00C820BA" w:rsidRDefault="00C820BA" w:rsidP="00F3588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186C" w:rsidTr="00C820BA">
        <w:trPr>
          <w:trHeight w:val="317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Years Block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6,165,127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6,195,286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30,159</w:t>
            </w:r>
          </w:p>
        </w:tc>
      </w:tr>
      <w:tr w:rsidR="0031186C" w:rsidTr="00C820BA">
        <w:trPr>
          <w:trHeight w:val="317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 Needs Block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9,744,893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10,265,683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520,790</w:t>
            </w:r>
          </w:p>
        </w:tc>
      </w:tr>
      <w:tr w:rsidR="0031186C" w:rsidTr="00C820BA">
        <w:trPr>
          <w:trHeight w:val="317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 Block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539,615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(11,398)</w:t>
            </w:r>
          </w:p>
        </w:tc>
      </w:tr>
      <w:tr w:rsidR="0031186C" w:rsidTr="00C820BA">
        <w:trPr>
          <w:trHeight w:val="785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Schools Block (after Academy recoupment)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31,199,091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31,199,091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1186C" w:rsidTr="00C820BA">
        <w:trPr>
          <w:trHeight w:val="317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Growth Funding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156,915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(53,544)</w:t>
            </w:r>
          </w:p>
        </w:tc>
      </w:tr>
      <w:tr w:rsidR="0031186C" w:rsidTr="00C820BA">
        <w:trPr>
          <w:trHeight w:val="317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1186C" w:rsidRDefault="0031186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DSG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47,817,039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48,303,046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1186C" w:rsidRDefault="0031186C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486,007</w:t>
            </w:r>
          </w:p>
        </w:tc>
      </w:tr>
    </w:tbl>
    <w:p w:rsidR="0031186C" w:rsidRPr="00127C03" w:rsidRDefault="0031186C" w:rsidP="001E5326">
      <w:pPr>
        <w:pStyle w:val="ListParagraph"/>
        <w:rPr>
          <w:rFonts w:ascii="Arial" w:hAnsi="Arial" w:cs="Arial"/>
        </w:rPr>
      </w:pPr>
    </w:p>
    <w:p w:rsidR="00644323" w:rsidRPr="00127C03" w:rsidRDefault="00644323" w:rsidP="006A5B47">
      <w:pPr>
        <w:ind w:left="720"/>
        <w:rPr>
          <w:rFonts w:ascii="Arial" w:hAnsi="Arial" w:cs="Arial"/>
          <w:bCs/>
        </w:rPr>
      </w:pPr>
    </w:p>
    <w:p w:rsidR="007B4E26" w:rsidRPr="000255F6" w:rsidRDefault="007B4E26" w:rsidP="001E5326">
      <w:pPr>
        <w:rPr>
          <w:rFonts w:ascii="Arial" w:hAnsi="Arial" w:cs="Arial"/>
          <w:bCs/>
          <w:vanish/>
        </w:rPr>
      </w:pPr>
    </w:p>
    <w:p w:rsidR="00072AD6" w:rsidRDefault="00576018" w:rsidP="008C700B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="001E5326" w:rsidRPr="000255F6">
        <w:rPr>
          <w:rFonts w:ascii="Arial" w:hAnsi="Arial" w:cs="Arial"/>
        </w:rPr>
        <w:t>.</w:t>
      </w:r>
      <w:r w:rsidR="005A6F81">
        <w:rPr>
          <w:rFonts w:ascii="Arial" w:hAnsi="Arial" w:cs="Arial"/>
        </w:rPr>
        <w:t>2</w:t>
      </w:r>
      <w:r w:rsidR="001E5326" w:rsidRPr="000255F6">
        <w:rPr>
          <w:rFonts w:ascii="Arial" w:hAnsi="Arial" w:cs="Arial"/>
        </w:rPr>
        <w:tab/>
      </w:r>
      <w:r w:rsidR="00072AD6" w:rsidRPr="00311DDB">
        <w:rPr>
          <w:rFonts w:ascii="Arial" w:hAnsi="Arial" w:cs="Arial"/>
          <w:u w:val="single"/>
        </w:rPr>
        <w:t>Early Years Block</w:t>
      </w:r>
    </w:p>
    <w:p w:rsidR="001C713B" w:rsidRDefault="001C713B" w:rsidP="008C700B">
      <w:pPr>
        <w:ind w:left="720" w:hanging="720"/>
        <w:rPr>
          <w:rFonts w:ascii="Arial" w:hAnsi="Arial" w:cs="Arial"/>
          <w:u w:val="single"/>
        </w:rPr>
      </w:pPr>
    </w:p>
    <w:p w:rsidR="005F73B7" w:rsidRDefault="005F73B7" w:rsidP="005F73B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Early Years Block shows an </w:t>
      </w:r>
      <w:r w:rsidR="00EA2644">
        <w:rPr>
          <w:rFonts w:ascii="Arial" w:hAnsi="Arial" w:cs="Arial"/>
        </w:rPr>
        <w:t>over</w:t>
      </w:r>
      <w:r>
        <w:rPr>
          <w:rFonts w:ascii="Arial" w:hAnsi="Arial" w:cs="Arial"/>
        </w:rPr>
        <w:t>spend of £0.</w:t>
      </w:r>
      <w:r w:rsidR="00B167BE">
        <w:rPr>
          <w:rFonts w:ascii="Arial" w:hAnsi="Arial" w:cs="Arial"/>
        </w:rPr>
        <w:t>0</w:t>
      </w:r>
      <w:r w:rsidR="00EA2644">
        <w:rPr>
          <w:rFonts w:ascii="Arial" w:hAnsi="Arial" w:cs="Arial"/>
        </w:rPr>
        <w:t>30</w:t>
      </w:r>
      <w:r>
        <w:rPr>
          <w:rFonts w:ascii="Arial" w:hAnsi="Arial" w:cs="Arial"/>
        </w:rPr>
        <w:t>m.  This i</w:t>
      </w:r>
      <w:r w:rsidR="000658FF">
        <w:rPr>
          <w:rFonts w:ascii="Arial" w:hAnsi="Arial" w:cs="Arial"/>
        </w:rPr>
        <w:t>s owing to an underspend of £0.098</w:t>
      </w:r>
      <w:r>
        <w:rPr>
          <w:rFonts w:ascii="Arial" w:hAnsi="Arial" w:cs="Arial"/>
        </w:rPr>
        <w:t xml:space="preserve">m in </w:t>
      </w:r>
      <w:r w:rsidR="00B167BE">
        <w:rPr>
          <w:rFonts w:ascii="Arial" w:hAnsi="Arial" w:cs="Arial"/>
        </w:rPr>
        <w:t xml:space="preserve">relation to 3 and 4 </w:t>
      </w:r>
      <w:r>
        <w:rPr>
          <w:rFonts w:ascii="Arial" w:hAnsi="Arial" w:cs="Arial"/>
        </w:rPr>
        <w:t>year-</w:t>
      </w:r>
      <w:r w:rsidR="00B167BE">
        <w:rPr>
          <w:rFonts w:ascii="Arial" w:hAnsi="Arial" w:cs="Arial"/>
        </w:rPr>
        <w:t xml:space="preserve">old funding </w:t>
      </w:r>
      <w:r>
        <w:rPr>
          <w:rFonts w:ascii="Arial" w:hAnsi="Arial" w:cs="Arial"/>
        </w:rPr>
        <w:t xml:space="preserve">and </w:t>
      </w:r>
      <w:r w:rsidR="00B167B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£0.0</w:t>
      </w:r>
      <w:r w:rsidR="000658FF">
        <w:rPr>
          <w:rFonts w:ascii="Arial" w:hAnsi="Arial" w:cs="Arial"/>
        </w:rPr>
        <w:t>22</w:t>
      </w:r>
      <w:r>
        <w:rPr>
          <w:rFonts w:ascii="Arial" w:hAnsi="Arial" w:cs="Arial"/>
        </w:rPr>
        <w:t>m underspend on Disabled Access Funding.</w:t>
      </w:r>
      <w:r w:rsidR="00B167BE">
        <w:rPr>
          <w:rFonts w:ascii="Arial" w:hAnsi="Arial" w:cs="Arial"/>
        </w:rPr>
        <w:t xml:space="preserve"> However, these underspends are offset by a £0.1</w:t>
      </w:r>
      <w:r w:rsidR="000658FF">
        <w:rPr>
          <w:rFonts w:ascii="Arial" w:hAnsi="Arial" w:cs="Arial"/>
        </w:rPr>
        <w:t>5</w:t>
      </w:r>
      <w:r w:rsidR="00EA2644">
        <w:rPr>
          <w:rFonts w:ascii="Arial" w:hAnsi="Arial" w:cs="Arial"/>
        </w:rPr>
        <w:t>0</w:t>
      </w:r>
      <w:r w:rsidR="00B167BE">
        <w:rPr>
          <w:rFonts w:ascii="Arial" w:hAnsi="Arial" w:cs="Arial"/>
        </w:rPr>
        <w:t>m ov</w:t>
      </w:r>
      <w:r w:rsidR="00496199">
        <w:rPr>
          <w:rFonts w:ascii="Arial" w:hAnsi="Arial" w:cs="Arial"/>
        </w:rPr>
        <w:t>erspend against 2</w:t>
      </w:r>
      <w:r w:rsidR="00BA2F39">
        <w:rPr>
          <w:rFonts w:ascii="Arial" w:hAnsi="Arial" w:cs="Arial"/>
        </w:rPr>
        <w:t xml:space="preserve"> </w:t>
      </w:r>
      <w:r w:rsidR="00496199">
        <w:rPr>
          <w:rFonts w:ascii="Arial" w:hAnsi="Arial" w:cs="Arial"/>
        </w:rPr>
        <w:t>year</w:t>
      </w:r>
      <w:r w:rsidR="00BA2F39">
        <w:rPr>
          <w:rFonts w:ascii="Arial" w:hAnsi="Arial" w:cs="Arial"/>
        </w:rPr>
        <w:t>-</w:t>
      </w:r>
      <w:r w:rsidR="00496199">
        <w:rPr>
          <w:rFonts w:ascii="Arial" w:hAnsi="Arial" w:cs="Arial"/>
        </w:rPr>
        <w:t>old funding.</w:t>
      </w:r>
    </w:p>
    <w:p w:rsidR="00B167BE" w:rsidRDefault="00B167BE" w:rsidP="005F73B7">
      <w:pPr>
        <w:ind w:left="720" w:hanging="720"/>
        <w:rPr>
          <w:rFonts w:ascii="Arial" w:hAnsi="Arial" w:cs="Arial"/>
        </w:rPr>
      </w:pPr>
    </w:p>
    <w:p w:rsidR="00B167BE" w:rsidRDefault="00B167BE" w:rsidP="005F73B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0658FF" w:rsidRPr="000658FF">
        <w:rPr>
          <w:rFonts w:ascii="Arial" w:hAnsi="Arial" w:cs="Arial"/>
        </w:rPr>
        <w:t xml:space="preserve">There </w:t>
      </w:r>
      <w:r w:rsidR="000658FF">
        <w:rPr>
          <w:rFonts w:ascii="Arial" w:hAnsi="Arial" w:cs="Arial"/>
        </w:rPr>
        <w:t>is</w:t>
      </w:r>
      <w:r w:rsidR="000658FF" w:rsidRPr="000658FF">
        <w:rPr>
          <w:rFonts w:ascii="Arial" w:hAnsi="Arial" w:cs="Arial"/>
        </w:rPr>
        <w:t xml:space="preserve"> a historic funding shortfall against 2 year-old early years spending.  A</w:t>
      </w:r>
      <w:r w:rsidR="00C820BA">
        <w:rPr>
          <w:rFonts w:ascii="Arial" w:hAnsi="Arial" w:cs="Arial"/>
        </w:rPr>
        <w:t xml:space="preserve"> Task and</w:t>
      </w:r>
      <w:r w:rsidR="000658FF">
        <w:rPr>
          <w:rFonts w:ascii="Arial" w:hAnsi="Arial" w:cs="Arial"/>
        </w:rPr>
        <w:t xml:space="preserve"> </w:t>
      </w:r>
      <w:r w:rsidR="00F4696D">
        <w:rPr>
          <w:rFonts w:ascii="Arial" w:hAnsi="Arial" w:cs="Arial"/>
        </w:rPr>
        <w:t>Finish G</w:t>
      </w:r>
      <w:r w:rsidR="000658FF">
        <w:rPr>
          <w:rFonts w:ascii="Arial" w:hAnsi="Arial" w:cs="Arial"/>
        </w:rPr>
        <w:t xml:space="preserve">roup was </w:t>
      </w:r>
      <w:r w:rsidR="00F4696D">
        <w:rPr>
          <w:rFonts w:ascii="Arial" w:hAnsi="Arial" w:cs="Arial"/>
        </w:rPr>
        <w:t>established</w:t>
      </w:r>
      <w:r w:rsidR="000658FF">
        <w:rPr>
          <w:rFonts w:ascii="Arial" w:hAnsi="Arial" w:cs="Arial"/>
        </w:rPr>
        <w:t xml:space="preserve"> in order to a</w:t>
      </w:r>
      <w:r w:rsidR="000658FF" w:rsidRPr="000658FF">
        <w:rPr>
          <w:rFonts w:ascii="Arial" w:hAnsi="Arial" w:cs="Arial"/>
        </w:rPr>
        <w:t>nalys</w:t>
      </w:r>
      <w:r w:rsidR="000658FF">
        <w:rPr>
          <w:rFonts w:ascii="Arial" w:hAnsi="Arial" w:cs="Arial"/>
        </w:rPr>
        <w:t>e</w:t>
      </w:r>
      <w:r w:rsidR="000658FF" w:rsidRPr="000658FF">
        <w:rPr>
          <w:rFonts w:ascii="Arial" w:hAnsi="Arial" w:cs="Arial"/>
        </w:rPr>
        <w:t xml:space="preserve"> and review two year old </w:t>
      </w:r>
      <w:r w:rsidR="00F4696D">
        <w:rPr>
          <w:rFonts w:ascii="Arial" w:hAnsi="Arial" w:cs="Arial"/>
        </w:rPr>
        <w:t>provision</w:t>
      </w:r>
      <w:r w:rsidR="000658FF" w:rsidRPr="000658FF">
        <w:rPr>
          <w:rFonts w:ascii="Arial" w:hAnsi="Arial" w:cs="Arial"/>
        </w:rPr>
        <w:t>. However, owing to COVID</w:t>
      </w:r>
      <w:r w:rsidR="00F4696D">
        <w:rPr>
          <w:rFonts w:ascii="Arial" w:hAnsi="Arial" w:cs="Arial"/>
        </w:rPr>
        <w:t>-</w:t>
      </w:r>
      <w:r w:rsidR="000658FF" w:rsidRPr="000658FF">
        <w:rPr>
          <w:rFonts w:ascii="Arial" w:hAnsi="Arial" w:cs="Arial"/>
        </w:rPr>
        <w:t xml:space="preserve">19, </w:t>
      </w:r>
      <w:r w:rsidR="00F4696D">
        <w:rPr>
          <w:rFonts w:ascii="Arial" w:hAnsi="Arial" w:cs="Arial"/>
        </w:rPr>
        <w:t xml:space="preserve">planned consultations </w:t>
      </w:r>
      <w:r w:rsidR="000658FF" w:rsidRPr="000658FF">
        <w:rPr>
          <w:rFonts w:ascii="Arial" w:hAnsi="Arial" w:cs="Arial"/>
        </w:rPr>
        <w:t xml:space="preserve">have </w:t>
      </w:r>
      <w:r w:rsidR="00F4696D">
        <w:rPr>
          <w:rFonts w:ascii="Arial" w:hAnsi="Arial" w:cs="Arial"/>
        </w:rPr>
        <w:t xml:space="preserve">been delayed.  Further reports will be presented to future Schools’ Forums. </w:t>
      </w:r>
      <w:r w:rsidR="000658FF">
        <w:rPr>
          <w:rFonts w:ascii="Arial" w:hAnsi="Arial" w:cs="Arial"/>
        </w:rPr>
        <w:t xml:space="preserve"> </w:t>
      </w:r>
    </w:p>
    <w:p w:rsidR="00072AD6" w:rsidRDefault="00072AD6" w:rsidP="008C700B">
      <w:pPr>
        <w:ind w:left="720" w:hanging="720"/>
        <w:rPr>
          <w:rFonts w:ascii="Arial" w:hAnsi="Arial" w:cs="Arial"/>
        </w:rPr>
      </w:pPr>
    </w:p>
    <w:p w:rsidR="005F73B7" w:rsidRPr="001C713B" w:rsidRDefault="007129C3" w:rsidP="005F73B7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3.4</w:t>
      </w:r>
      <w:r w:rsidR="00072AD6">
        <w:rPr>
          <w:rFonts w:ascii="Arial" w:hAnsi="Arial" w:cs="Arial"/>
        </w:rPr>
        <w:tab/>
      </w:r>
      <w:r w:rsidR="005F73B7" w:rsidRPr="001C713B">
        <w:rPr>
          <w:rFonts w:ascii="Arial" w:hAnsi="Arial" w:cs="Arial"/>
          <w:u w:val="single"/>
        </w:rPr>
        <w:t>H</w:t>
      </w:r>
      <w:r w:rsidR="00072AD6" w:rsidRPr="001C713B">
        <w:rPr>
          <w:rFonts w:ascii="Arial" w:hAnsi="Arial" w:cs="Arial"/>
          <w:u w:val="single"/>
        </w:rPr>
        <w:t>igh Needs Block</w:t>
      </w:r>
    </w:p>
    <w:p w:rsidR="001C713B" w:rsidRDefault="001C713B" w:rsidP="005F73B7">
      <w:pPr>
        <w:ind w:left="720" w:hanging="720"/>
        <w:rPr>
          <w:rFonts w:ascii="Arial" w:hAnsi="Arial" w:cs="Arial"/>
          <w:u w:val="single"/>
        </w:rPr>
      </w:pPr>
    </w:p>
    <w:p w:rsidR="00F8165E" w:rsidRPr="005F73B7" w:rsidRDefault="008C700B" w:rsidP="005F73B7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</w:t>
      </w:r>
      <w:r w:rsidR="005A6F81">
        <w:rPr>
          <w:rFonts w:ascii="Arial" w:hAnsi="Arial" w:cs="Arial"/>
        </w:rPr>
        <w:t xml:space="preserve">High </w:t>
      </w:r>
      <w:r w:rsidR="005A6F81" w:rsidRPr="00F8165E">
        <w:rPr>
          <w:rFonts w:ascii="Arial" w:hAnsi="Arial" w:cs="Arial"/>
        </w:rPr>
        <w:t xml:space="preserve">Needs </w:t>
      </w:r>
      <w:r w:rsidR="001D775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lock </w:t>
      </w:r>
      <w:r w:rsidR="005A6F81" w:rsidRPr="00F8165E">
        <w:rPr>
          <w:rFonts w:ascii="Arial" w:hAnsi="Arial" w:cs="Arial"/>
        </w:rPr>
        <w:t xml:space="preserve">shows </w:t>
      </w:r>
      <w:r>
        <w:rPr>
          <w:rFonts w:ascii="Arial" w:hAnsi="Arial" w:cs="Arial"/>
        </w:rPr>
        <w:t xml:space="preserve">a </w:t>
      </w:r>
      <w:r w:rsidR="005A6F81" w:rsidRPr="00F8165E">
        <w:rPr>
          <w:rFonts w:ascii="Arial" w:hAnsi="Arial" w:cs="Arial"/>
        </w:rPr>
        <w:t>£0.</w:t>
      </w:r>
      <w:r w:rsidR="00237077">
        <w:rPr>
          <w:rFonts w:ascii="Arial" w:hAnsi="Arial" w:cs="Arial"/>
        </w:rPr>
        <w:t>5</w:t>
      </w:r>
      <w:r w:rsidR="00F4696D">
        <w:rPr>
          <w:rFonts w:ascii="Arial" w:hAnsi="Arial" w:cs="Arial"/>
        </w:rPr>
        <w:t>21</w:t>
      </w:r>
      <w:r w:rsidR="00B167BE">
        <w:rPr>
          <w:rFonts w:ascii="Arial" w:hAnsi="Arial" w:cs="Arial"/>
        </w:rPr>
        <w:t xml:space="preserve">m </w:t>
      </w:r>
      <w:r w:rsidR="00237077">
        <w:rPr>
          <w:rFonts w:ascii="Arial" w:hAnsi="Arial" w:cs="Arial"/>
        </w:rPr>
        <w:t>over</w:t>
      </w:r>
      <w:r w:rsidR="005A6F81" w:rsidRPr="00F8165E">
        <w:rPr>
          <w:rFonts w:ascii="Arial" w:hAnsi="Arial" w:cs="Arial"/>
        </w:rPr>
        <w:t>spen</w:t>
      </w:r>
      <w:r>
        <w:rPr>
          <w:rFonts w:ascii="Arial" w:hAnsi="Arial" w:cs="Arial"/>
        </w:rPr>
        <w:t>d.</w:t>
      </w:r>
      <w:r w:rsidR="005A6F81" w:rsidRPr="00F8165E">
        <w:rPr>
          <w:rFonts w:ascii="Arial" w:hAnsi="Arial" w:cs="Arial"/>
        </w:rPr>
        <w:t xml:space="preserve"> </w:t>
      </w:r>
      <w:r w:rsidR="001D775A">
        <w:rPr>
          <w:rFonts w:ascii="Arial" w:hAnsi="Arial" w:cs="Arial"/>
        </w:rPr>
        <w:t xml:space="preserve"> </w:t>
      </w:r>
      <w:r w:rsidR="00B167BE">
        <w:rPr>
          <w:rFonts w:ascii="Arial" w:hAnsi="Arial" w:cs="Arial"/>
        </w:rPr>
        <w:t xml:space="preserve">A separate report </w:t>
      </w:r>
      <w:r w:rsidR="00C820BA">
        <w:rPr>
          <w:rFonts w:ascii="Arial" w:hAnsi="Arial" w:cs="Arial"/>
        </w:rPr>
        <w:t>on this a</w:t>
      </w:r>
      <w:r w:rsidR="00E04B09">
        <w:rPr>
          <w:rFonts w:ascii="Arial" w:hAnsi="Arial" w:cs="Arial"/>
        </w:rPr>
        <w:t xml:space="preserve">genda </w:t>
      </w:r>
      <w:r w:rsidR="007129C3">
        <w:rPr>
          <w:rFonts w:ascii="Arial" w:hAnsi="Arial" w:cs="Arial"/>
        </w:rPr>
        <w:t xml:space="preserve">provides </w:t>
      </w:r>
      <w:r w:rsidR="00F84F49">
        <w:rPr>
          <w:rFonts w:ascii="Arial" w:hAnsi="Arial" w:cs="Arial"/>
        </w:rPr>
        <w:t xml:space="preserve">a </w:t>
      </w:r>
      <w:r w:rsidR="00B167BE">
        <w:rPr>
          <w:rFonts w:ascii="Arial" w:hAnsi="Arial" w:cs="Arial"/>
        </w:rPr>
        <w:t>detailed analysis of the final outturn position.</w:t>
      </w:r>
    </w:p>
    <w:p w:rsidR="00F8165E" w:rsidRPr="00F8165E" w:rsidRDefault="00F8165E" w:rsidP="00F8165E">
      <w:pPr>
        <w:ind w:left="720" w:hanging="720"/>
        <w:rPr>
          <w:rFonts w:ascii="Arial" w:hAnsi="Arial" w:cs="Arial"/>
        </w:rPr>
      </w:pPr>
    </w:p>
    <w:p w:rsidR="00072AD6" w:rsidRDefault="00072AD6" w:rsidP="00072AD6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3.</w:t>
      </w:r>
      <w:r w:rsidR="007129C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B316C" w:rsidRPr="008B316C">
        <w:rPr>
          <w:rFonts w:ascii="Arial" w:hAnsi="Arial" w:cs="Arial"/>
          <w:u w:val="single"/>
        </w:rPr>
        <w:t>Central School Services Block</w:t>
      </w:r>
    </w:p>
    <w:p w:rsidR="001C713B" w:rsidRDefault="001C713B" w:rsidP="00072AD6">
      <w:pPr>
        <w:ind w:left="720" w:hanging="720"/>
        <w:rPr>
          <w:rFonts w:ascii="Arial" w:hAnsi="Arial" w:cs="Arial"/>
        </w:rPr>
      </w:pPr>
    </w:p>
    <w:p w:rsidR="005C1BBE" w:rsidRDefault="003A39EF" w:rsidP="00072A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There is an </w:t>
      </w:r>
      <w:r w:rsidR="00F84F49">
        <w:rPr>
          <w:rFonts w:ascii="Arial" w:hAnsi="Arial" w:cs="Arial"/>
        </w:rPr>
        <w:t xml:space="preserve">overall </w:t>
      </w:r>
      <w:r w:rsidR="005C1BBE">
        <w:rPr>
          <w:rFonts w:ascii="Arial" w:hAnsi="Arial" w:cs="Arial"/>
        </w:rPr>
        <w:t>underspend</w:t>
      </w:r>
      <w:r w:rsidR="00F84F49">
        <w:rPr>
          <w:rFonts w:ascii="Arial" w:hAnsi="Arial" w:cs="Arial"/>
        </w:rPr>
        <w:t xml:space="preserve"> of £0.0</w:t>
      </w:r>
      <w:r w:rsidR="00F4696D">
        <w:rPr>
          <w:rFonts w:ascii="Arial" w:hAnsi="Arial" w:cs="Arial"/>
        </w:rPr>
        <w:t>1</w:t>
      </w:r>
      <w:r w:rsidR="008063CC">
        <w:rPr>
          <w:rFonts w:ascii="Arial" w:hAnsi="Arial" w:cs="Arial"/>
        </w:rPr>
        <w:t>1</w:t>
      </w:r>
      <w:r w:rsidR="00F84F49">
        <w:rPr>
          <w:rFonts w:ascii="Arial" w:hAnsi="Arial" w:cs="Arial"/>
        </w:rPr>
        <w:t xml:space="preserve">m </w:t>
      </w:r>
      <w:r w:rsidR="008B316C">
        <w:rPr>
          <w:rFonts w:ascii="Arial" w:hAnsi="Arial" w:cs="Arial"/>
        </w:rPr>
        <w:t xml:space="preserve">against the block. </w:t>
      </w:r>
      <w:r w:rsidR="00F84F49">
        <w:rPr>
          <w:rFonts w:ascii="Arial" w:hAnsi="Arial" w:cs="Arial"/>
        </w:rPr>
        <w:t>This relates</w:t>
      </w:r>
      <w:r>
        <w:rPr>
          <w:rFonts w:ascii="Arial" w:hAnsi="Arial" w:cs="Arial"/>
        </w:rPr>
        <w:t xml:space="preserve"> to </w:t>
      </w:r>
      <w:r w:rsidR="005C1BBE">
        <w:rPr>
          <w:rFonts w:ascii="Arial" w:hAnsi="Arial" w:cs="Arial"/>
        </w:rPr>
        <w:t>an underspend on the Admissions Team of</w:t>
      </w:r>
      <w:r w:rsidR="003C7EAA">
        <w:rPr>
          <w:rFonts w:ascii="Arial" w:hAnsi="Arial" w:cs="Arial"/>
        </w:rPr>
        <w:t xml:space="preserve"> £0.022m, an</w:t>
      </w:r>
      <w:r w:rsidR="005C1BBE">
        <w:rPr>
          <w:rFonts w:ascii="Arial" w:hAnsi="Arial" w:cs="Arial"/>
        </w:rPr>
        <w:t xml:space="preserve"> overspend from </w:t>
      </w:r>
      <w:r>
        <w:rPr>
          <w:rFonts w:ascii="Arial" w:hAnsi="Arial" w:cs="Arial"/>
        </w:rPr>
        <w:t>the</w:t>
      </w:r>
      <w:r w:rsidR="008B316C">
        <w:rPr>
          <w:rFonts w:ascii="Arial" w:hAnsi="Arial" w:cs="Arial"/>
        </w:rPr>
        <w:t xml:space="preserve"> continuing financial pressure of £0.0</w:t>
      </w:r>
      <w:r w:rsidR="00F84F49">
        <w:rPr>
          <w:rFonts w:ascii="Arial" w:hAnsi="Arial" w:cs="Arial"/>
        </w:rPr>
        <w:t>0</w:t>
      </w:r>
      <w:r w:rsidR="008063CC">
        <w:rPr>
          <w:rFonts w:ascii="Arial" w:hAnsi="Arial" w:cs="Arial"/>
        </w:rPr>
        <w:t>8</w:t>
      </w:r>
      <w:r w:rsidR="00F84F49">
        <w:rPr>
          <w:rFonts w:ascii="Arial" w:hAnsi="Arial" w:cs="Arial"/>
        </w:rPr>
        <w:t>m</w:t>
      </w:r>
      <w:r w:rsidR="008B316C">
        <w:rPr>
          <w:rFonts w:ascii="Arial" w:hAnsi="Arial" w:cs="Arial"/>
        </w:rPr>
        <w:t xml:space="preserve"> relating to the pension costs for historic redundancies at Brierton school</w:t>
      </w:r>
      <w:r w:rsidR="00F84F49">
        <w:rPr>
          <w:rFonts w:ascii="Arial" w:hAnsi="Arial" w:cs="Arial"/>
        </w:rPr>
        <w:t xml:space="preserve"> and an </w:t>
      </w:r>
      <w:r w:rsidR="005C1BBE">
        <w:rPr>
          <w:rFonts w:ascii="Arial" w:hAnsi="Arial" w:cs="Arial"/>
        </w:rPr>
        <w:t>over</w:t>
      </w:r>
      <w:r w:rsidR="00F84F49">
        <w:rPr>
          <w:rFonts w:ascii="Arial" w:hAnsi="Arial" w:cs="Arial"/>
        </w:rPr>
        <w:t>spend of £0.0</w:t>
      </w:r>
      <w:r w:rsidR="005C1BBE">
        <w:rPr>
          <w:rFonts w:ascii="Arial" w:hAnsi="Arial" w:cs="Arial"/>
        </w:rPr>
        <w:t>0</w:t>
      </w:r>
      <w:r w:rsidR="008063CC">
        <w:rPr>
          <w:rFonts w:ascii="Arial" w:hAnsi="Arial" w:cs="Arial"/>
        </w:rPr>
        <w:t>3</w:t>
      </w:r>
      <w:r w:rsidR="00F84F49">
        <w:rPr>
          <w:rFonts w:ascii="Arial" w:hAnsi="Arial" w:cs="Arial"/>
        </w:rPr>
        <w:t xml:space="preserve">m against </w:t>
      </w:r>
      <w:r w:rsidR="005C1BBE">
        <w:rPr>
          <w:rFonts w:ascii="Arial" w:hAnsi="Arial" w:cs="Arial"/>
        </w:rPr>
        <w:t>Copyright Licences</w:t>
      </w:r>
      <w:r w:rsidR="00F84F49">
        <w:rPr>
          <w:rFonts w:ascii="Arial" w:hAnsi="Arial" w:cs="Arial"/>
        </w:rPr>
        <w:t xml:space="preserve">. </w:t>
      </w:r>
    </w:p>
    <w:p w:rsidR="005C1BBE" w:rsidRDefault="005C1BBE" w:rsidP="00072AD6">
      <w:pPr>
        <w:ind w:left="720" w:hanging="720"/>
        <w:rPr>
          <w:rFonts w:ascii="Arial" w:hAnsi="Arial" w:cs="Arial"/>
        </w:rPr>
      </w:pPr>
    </w:p>
    <w:p w:rsidR="008B316C" w:rsidRDefault="00F84F49" w:rsidP="00072A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3.6</w:t>
      </w:r>
      <w:r>
        <w:rPr>
          <w:rFonts w:ascii="Arial" w:hAnsi="Arial" w:cs="Arial"/>
        </w:rPr>
        <w:tab/>
      </w:r>
      <w:r w:rsidR="008B316C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pension</w:t>
      </w:r>
      <w:r w:rsidR="008B316C">
        <w:rPr>
          <w:rFonts w:ascii="Arial" w:hAnsi="Arial" w:cs="Arial"/>
        </w:rPr>
        <w:t xml:space="preserve"> issu</w:t>
      </w:r>
      <w:r w:rsidR="005C1BBE">
        <w:rPr>
          <w:rFonts w:ascii="Arial" w:hAnsi="Arial" w:cs="Arial"/>
        </w:rPr>
        <w:t>e has been raised with ESFA</w:t>
      </w:r>
      <w:r w:rsidR="0031186C">
        <w:rPr>
          <w:rFonts w:ascii="Arial" w:hAnsi="Arial" w:cs="Arial"/>
        </w:rPr>
        <w:t xml:space="preserve"> who have confirmed that there is no additional funding available </w:t>
      </w:r>
      <w:r w:rsidR="007129C3">
        <w:rPr>
          <w:rFonts w:ascii="Arial" w:hAnsi="Arial" w:cs="Arial"/>
        </w:rPr>
        <w:t xml:space="preserve">to cover the </w:t>
      </w:r>
      <w:r w:rsidR="0031186C">
        <w:rPr>
          <w:rFonts w:ascii="Arial" w:hAnsi="Arial" w:cs="Arial"/>
        </w:rPr>
        <w:t xml:space="preserve">historic </w:t>
      </w:r>
      <w:r w:rsidR="007129C3">
        <w:rPr>
          <w:rFonts w:ascii="Arial" w:hAnsi="Arial" w:cs="Arial"/>
        </w:rPr>
        <w:t>shortfall.</w:t>
      </w:r>
      <w:r w:rsidR="005C1BBE">
        <w:rPr>
          <w:rFonts w:ascii="Arial" w:hAnsi="Arial" w:cs="Arial"/>
        </w:rPr>
        <w:t xml:space="preserve"> </w:t>
      </w:r>
    </w:p>
    <w:p w:rsidR="003C7EAA" w:rsidRDefault="003C7EAA" w:rsidP="00072AD6">
      <w:pPr>
        <w:ind w:left="720" w:hanging="720"/>
        <w:rPr>
          <w:rFonts w:ascii="Arial" w:hAnsi="Arial" w:cs="Arial"/>
        </w:rPr>
      </w:pPr>
    </w:p>
    <w:p w:rsidR="003C7EAA" w:rsidRDefault="0031186C" w:rsidP="00072A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3.7</w:t>
      </w:r>
      <w:r>
        <w:rPr>
          <w:rFonts w:ascii="Arial" w:hAnsi="Arial" w:cs="Arial"/>
        </w:rPr>
        <w:tab/>
      </w:r>
      <w:r w:rsidR="001C713B">
        <w:rPr>
          <w:rFonts w:ascii="Arial" w:hAnsi="Arial" w:cs="Arial"/>
        </w:rPr>
        <w:t xml:space="preserve">Space to Learn </w:t>
      </w:r>
      <w:r>
        <w:rPr>
          <w:rFonts w:ascii="Arial" w:hAnsi="Arial" w:cs="Arial"/>
        </w:rPr>
        <w:t xml:space="preserve">was transferred </w:t>
      </w:r>
      <w:r w:rsidR="001C713B">
        <w:rPr>
          <w:rFonts w:ascii="Arial" w:hAnsi="Arial" w:cs="Arial"/>
        </w:rPr>
        <w:t xml:space="preserve">to the Diocese during 2019/20. The reserve of £0.022m was utilised to fund </w:t>
      </w:r>
      <w:r w:rsidR="008063CC">
        <w:rPr>
          <w:rFonts w:ascii="Arial" w:hAnsi="Arial" w:cs="Arial"/>
        </w:rPr>
        <w:t>final closure costs.</w:t>
      </w:r>
    </w:p>
    <w:p w:rsidR="007129C3" w:rsidRDefault="007129C3" w:rsidP="00072AD6">
      <w:pPr>
        <w:ind w:left="720" w:hanging="720"/>
        <w:rPr>
          <w:rFonts w:ascii="Arial" w:hAnsi="Arial" w:cs="Arial"/>
        </w:rPr>
      </w:pPr>
    </w:p>
    <w:p w:rsidR="00072AD6" w:rsidRDefault="007129C3" w:rsidP="001E5326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3.</w:t>
      </w:r>
      <w:r w:rsidR="0031186C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31186C" w:rsidRPr="0031186C">
        <w:rPr>
          <w:rFonts w:ascii="Arial" w:hAnsi="Arial" w:cs="Arial"/>
          <w:u w:val="single"/>
        </w:rPr>
        <w:t>Growth Fund</w:t>
      </w:r>
    </w:p>
    <w:p w:rsidR="001C713B" w:rsidRPr="00072AD6" w:rsidRDefault="001C713B" w:rsidP="001E5326">
      <w:pPr>
        <w:ind w:left="720" w:hanging="720"/>
        <w:rPr>
          <w:rFonts w:ascii="Arial" w:hAnsi="Arial" w:cs="Arial"/>
          <w:u w:val="single"/>
        </w:rPr>
      </w:pPr>
    </w:p>
    <w:p w:rsidR="007129C3" w:rsidRDefault="0031186C" w:rsidP="0031186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Growth Fund underspen</w:t>
      </w:r>
      <w:r w:rsidR="0046606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by £0.05</w:t>
      </w:r>
      <w:r w:rsidR="0046606B">
        <w:rPr>
          <w:rFonts w:ascii="Arial" w:hAnsi="Arial" w:cs="Arial"/>
        </w:rPr>
        <w:t>4</w:t>
      </w:r>
      <w:r>
        <w:rPr>
          <w:rFonts w:ascii="Arial" w:hAnsi="Arial" w:cs="Arial"/>
        </w:rPr>
        <w:t>m. This money will be utilise</w:t>
      </w:r>
      <w:r w:rsidR="00C820B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2020/21.</w:t>
      </w:r>
      <w:r w:rsidR="0038726F">
        <w:rPr>
          <w:rFonts w:ascii="Arial" w:hAnsi="Arial" w:cs="Arial"/>
        </w:rPr>
        <w:t xml:space="preserve"> </w:t>
      </w:r>
    </w:p>
    <w:p w:rsidR="009F0AAE" w:rsidRDefault="009F0AAE" w:rsidP="001E5326">
      <w:pPr>
        <w:ind w:left="720" w:hanging="720"/>
        <w:rPr>
          <w:rFonts w:ascii="Arial" w:hAnsi="Arial" w:cs="Arial"/>
        </w:rPr>
      </w:pPr>
    </w:p>
    <w:p w:rsidR="001D775A" w:rsidRDefault="001D775A" w:rsidP="001E5326">
      <w:pPr>
        <w:ind w:left="720" w:hanging="720"/>
        <w:rPr>
          <w:rFonts w:ascii="Arial" w:hAnsi="Arial" w:cs="Arial"/>
        </w:rPr>
      </w:pPr>
    </w:p>
    <w:p w:rsidR="00B6203B" w:rsidRPr="009F0AAE" w:rsidRDefault="007D401D" w:rsidP="009F0A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9F0AAE" w:rsidRPr="009F0AAE">
        <w:rPr>
          <w:rFonts w:ascii="Arial" w:hAnsi="Arial" w:cs="Arial"/>
          <w:b/>
        </w:rPr>
        <w:t>4</w:t>
      </w:r>
      <w:r w:rsidR="009F0AAE">
        <w:rPr>
          <w:rFonts w:ascii="Arial" w:hAnsi="Arial" w:cs="Arial"/>
        </w:rPr>
        <w:tab/>
      </w:r>
      <w:r w:rsidR="00E603A1" w:rsidRPr="009F0AAE">
        <w:rPr>
          <w:rFonts w:ascii="Arial" w:hAnsi="Arial" w:cs="Arial"/>
          <w:b/>
          <w:u w:val="single"/>
        </w:rPr>
        <w:t>De-delegated Services</w:t>
      </w:r>
    </w:p>
    <w:p w:rsidR="00DB023D" w:rsidRDefault="00DB023D" w:rsidP="00DB023D">
      <w:pPr>
        <w:rPr>
          <w:rFonts w:ascii="Arial" w:hAnsi="Arial" w:cs="Arial"/>
          <w:b/>
        </w:rPr>
      </w:pPr>
    </w:p>
    <w:p w:rsidR="00A47770" w:rsidRPr="009F0AAE" w:rsidRDefault="009F0AAE" w:rsidP="009F0AA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32696D" w:rsidRPr="009F0AAE">
        <w:rPr>
          <w:rFonts w:ascii="Arial" w:hAnsi="Arial" w:cs="Arial"/>
        </w:rPr>
        <w:t xml:space="preserve">De-delegated services </w:t>
      </w:r>
      <w:r w:rsidR="00155095" w:rsidRPr="009F0AAE">
        <w:rPr>
          <w:rFonts w:ascii="Arial" w:hAnsi="Arial" w:cs="Arial"/>
        </w:rPr>
        <w:t xml:space="preserve">shows </w:t>
      </w:r>
      <w:r w:rsidR="006A0679" w:rsidRPr="009F0AAE">
        <w:rPr>
          <w:rFonts w:ascii="Arial" w:hAnsi="Arial" w:cs="Arial"/>
        </w:rPr>
        <w:t>a</w:t>
      </w:r>
      <w:r w:rsidR="006A0679">
        <w:rPr>
          <w:rFonts w:ascii="Arial" w:hAnsi="Arial" w:cs="Arial"/>
        </w:rPr>
        <w:t xml:space="preserve"> net underspend of £0.0</w:t>
      </w:r>
      <w:r w:rsidR="00B60BEC">
        <w:rPr>
          <w:rFonts w:ascii="Arial" w:hAnsi="Arial" w:cs="Arial"/>
        </w:rPr>
        <w:t>19</w:t>
      </w:r>
      <w:r w:rsidR="006A0679">
        <w:rPr>
          <w:rFonts w:ascii="Arial" w:hAnsi="Arial" w:cs="Arial"/>
        </w:rPr>
        <w:t>m</w:t>
      </w:r>
      <w:r w:rsidR="00A47770" w:rsidRPr="009F0AAE">
        <w:rPr>
          <w:rFonts w:ascii="Arial" w:hAnsi="Arial" w:cs="Arial"/>
        </w:rPr>
        <w:t xml:space="preserve">.  This </w:t>
      </w:r>
      <w:r w:rsidR="005F2462">
        <w:rPr>
          <w:rFonts w:ascii="Arial" w:hAnsi="Arial" w:cs="Arial"/>
        </w:rPr>
        <w:t>relates</w:t>
      </w:r>
      <w:r w:rsidR="00A47770" w:rsidRPr="009F0AAE">
        <w:rPr>
          <w:rFonts w:ascii="Arial" w:hAnsi="Arial" w:cs="Arial"/>
        </w:rPr>
        <w:t xml:space="preserve"> </w:t>
      </w:r>
      <w:r w:rsidR="005F2462">
        <w:rPr>
          <w:rFonts w:ascii="Arial" w:hAnsi="Arial" w:cs="Arial"/>
        </w:rPr>
        <w:t>primarily</w:t>
      </w:r>
      <w:r w:rsidR="00A47770" w:rsidRPr="009F0AAE">
        <w:rPr>
          <w:rFonts w:ascii="Arial" w:hAnsi="Arial" w:cs="Arial"/>
        </w:rPr>
        <w:t xml:space="preserve"> to </w:t>
      </w:r>
      <w:r w:rsidR="000F0141" w:rsidRPr="009F0AAE">
        <w:rPr>
          <w:rFonts w:ascii="Arial" w:hAnsi="Arial" w:cs="Arial"/>
        </w:rPr>
        <w:t xml:space="preserve">a </w:t>
      </w:r>
      <w:r w:rsidR="00A47770" w:rsidRPr="009F0AAE">
        <w:rPr>
          <w:rFonts w:ascii="Arial" w:hAnsi="Arial" w:cs="Arial"/>
        </w:rPr>
        <w:t>£0.0</w:t>
      </w:r>
      <w:r w:rsidR="00640CC9">
        <w:rPr>
          <w:rFonts w:ascii="Arial" w:hAnsi="Arial" w:cs="Arial"/>
        </w:rPr>
        <w:t>1</w:t>
      </w:r>
      <w:r w:rsidR="00B60BEC">
        <w:rPr>
          <w:rFonts w:ascii="Arial" w:hAnsi="Arial" w:cs="Arial"/>
        </w:rPr>
        <w:t>4</w:t>
      </w:r>
      <w:r w:rsidR="00A47770" w:rsidRPr="009F0AAE">
        <w:rPr>
          <w:rFonts w:ascii="Arial" w:hAnsi="Arial" w:cs="Arial"/>
        </w:rPr>
        <w:t>m</w:t>
      </w:r>
      <w:r w:rsidR="000F0141" w:rsidRPr="009F0AAE">
        <w:rPr>
          <w:rFonts w:ascii="Arial" w:hAnsi="Arial" w:cs="Arial"/>
        </w:rPr>
        <w:t xml:space="preserve"> underspend</w:t>
      </w:r>
      <w:r w:rsidR="00A47770" w:rsidRPr="009F0AAE">
        <w:rPr>
          <w:rFonts w:ascii="Arial" w:hAnsi="Arial" w:cs="Arial"/>
        </w:rPr>
        <w:t xml:space="preserve"> against Union Rep</w:t>
      </w:r>
      <w:r w:rsidR="005F2462">
        <w:rPr>
          <w:rFonts w:ascii="Arial" w:hAnsi="Arial" w:cs="Arial"/>
        </w:rPr>
        <w:t>resentative</w:t>
      </w:r>
      <w:r w:rsidR="00A47770" w:rsidRPr="009F0AAE">
        <w:rPr>
          <w:rFonts w:ascii="Arial" w:hAnsi="Arial" w:cs="Arial"/>
        </w:rPr>
        <w:t>s</w:t>
      </w:r>
      <w:r w:rsidR="00D205C1" w:rsidRPr="009F0AAE">
        <w:rPr>
          <w:rFonts w:ascii="Arial" w:hAnsi="Arial" w:cs="Arial"/>
        </w:rPr>
        <w:t xml:space="preserve"> </w:t>
      </w:r>
      <w:r w:rsidR="00072AD6">
        <w:rPr>
          <w:rFonts w:ascii="Arial" w:hAnsi="Arial" w:cs="Arial"/>
        </w:rPr>
        <w:t xml:space="preserve">as </w:t>
      </w:r>
      <w:r w:rsidR="007D220C">
        <w:rPr>
          <w:rFonts w:ascii="Arial" w:hAnsi="Arial" w:cs="Arial"/>
        </w:rPr>
        <w:t xml:space="preserve">there has been no funded </w:t>
      </w:r>
      <w:r w:rsidR="00B60BEC">
        <w:rPr>
          <w:rFonts w:ascii="Arial" w:hAnsi="Arial" w:cs="Arial"/>
        </w:rPr>
        <w:t xml:space="preserve">teacher staff </w:t>
      </w:r>
      <w:r w:rsidR="007D220C">
        <w:rPr>
          <w:rFonts w:ascii="Arial" w:hAnsi="Arial" w:cs="Arial"/>
        </w:rPr>
        <w:t>trade union activity in 201</w:t>
      </w:r>
      <w:r w:rsidR="00640CC9">
        <w:rPr>
          <w:rFonts w:ascii="Arial" w:hAnsi="Arial" w:cs="Arial"/>
        </w:rPr>
        <w:t>9/20</w:t>
      </w:r>
      <w:r w:rsidR="007D220C">
        <w:rPr>
          <w:rFonts w:ascii="Arial" w:hAnsi="Arial" w:cs="Arial"/>
        </w:rPr>
        <w:t>.</w:t>
      </w:r>
      <w:r w:rsidR="000F0141" w:rsidRPr="009F0AAE">
        <w:rPr>
          <w:rFonts w:ascii="Arial" w:hAnsi="Arial" w:cs="Arial"/>
        </w:rPr>
        <w:t xml:space="preserve">     </w:t>
      </w:r>
    </w:p>
    <w:p w:rsidR="000F0141" w:rsidRPr="000F0141" w:rsidRDefault="000F0141" w:rsidP="000F0141">
      <w:pPr>
        <w:pStyle w:val="ListParagraph"/>
        <w:rPr>
          <w:rFonts w:ascii="Arial" w:hAnsi="Arial" w:cs="Arial"/>
        </w:rPr>
      </w:pPr>
    </w:p>
    <w:p w:rsidR="00DE5658" w:rsidRDefault="009F0AAE" w:rsidP="009F0AA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7D220C">
        <w:rPr>
          <w:rFonts w:ascii="Arial" w:hAnsi="Arial" w:cs="Arial"/>
        </w:rPr>
        <w:t xml:space="preserve">In addition, </w:t>
      </w:r>
      <w:r w:rsidR="00640CC9">
        <w:rPr>
          <w:rFonts w:ascii="Arial" w:hAnsi="Arial" w:cs="Arial"/>
        </w:rPr>
        <w:t>the</w:t>
      </w:r>
      <w:r w:rsidR="0038726F">
        <w:rPr>
          <w:rFonts w:ascii="Arial" w:hAnsi="Arial" w:cs="Arial"/>
        </w:rPr>
        <w:t xml:space="preserve"> authority </w:t>
      </w:r>
      <w:r w:rsidR="007D220C">
        <w:rPr>
          <w:rFonts w:ascii="Arial" w:hAnsi="Arial" w:cs="Arial"/>
        </w:rPr>
        <w:t xml:space="preserve">received £0.005m </w:t>
      </w:r>
      <w:r w:rsidR="0038726F">
        <w:rPr>
          <w:rFonts w:ascii="Arial" w:hAnsi="Arial" w:cs="Arial"/>
        </w:rPr>
        <w:t>additional income from General R</w:t>
      </w:r>
      <w:r w:rsidR="007D220C">
        <w:rPr>
          <w:rFonts w:ascii="Arial" w:hAnsi="Arial" w:cs="Arial"/>
        </w:rPr>
        <w:t xml:space="preserve">ate Duties than it budgeted for.  This was owing to </w:t>
      </w:r>
      <w:r w:rsidR="00B60BEC">
        <w:rPr>
          <w:rFonts w:ascii="Arial" w:hAnsi="Arial" w:cs="Arial"/>
        </w:rPr>
        <w:t>a</w:t>
      </w:r>
      <w:r w:rsidR="007D220C">
        <w:rPr>
          <w:rFonts w:ascii="Arial" w:hAnsi="Arial" w:cs="Arial"/>
        </w:rPr>
        <w:t xml:space="preserve"> later academy conversion.</w:t>
      </w:r>
    </w:p>
    <w:p w:rsidR="007D220C" w:rsidRDefault="007D220C" w:rsidP="009F0AAE">
      <w:pPr>
        <w:ind w:left="709" w:hanging="709"/>
        <w:rPr>
          <w:rFonts w:ascii="Arial" w:hAnsi="Arial" w:cs="Arial"/>
        </w:rPr>
      </w:pPr>
    </w:p>
    <w:p w:rsidR="0022308A" w:rsidRDefault="00DE5658" w:rsidP="009F0AA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 w:rsidR="00072AD6">
        <w:rPr>
          <w:rFonts w:ascii="Arial" w:hAnsi="Arial" w:cs="Arial"/>
        </w:rPr>
        <w:tab/>
        <w:t xml:space="preserve">In accordance </w:t>
      </w:r>
      <w:r>
        <w:rPr>
          <w:rFonts w:ascii="Arial" w:hAnsi="Arial" w:cs="Arial"/>
        </w:rPr>
        <w:t>with</w:t>
      </w:r>
      <w:r w:rsidR="00072AD6">
        <w:rPr>
          <w:rFonts w:ascii="Arial" w:hAnsi="Arial" w:cs="Arial"/>
        </w:rPr>
        <w:t xml:space="preserve"> the </w:t>
      </w:r>
      <w:r w:rsidR="001D775A">
        <w:rPr>
          <w:rFonts w:ascii="Arial" w:hAnsi="Arial" w:cs="Arial"/>
        </w:rPr>
        <w:t>R</w:t>
      </w:r>
      <w:r>
        <w:rPr>
          <w:rFonts w:ascii="Arial" w:hAnsi="Arial" w:cs="Arial"/>
        </w:rPr>
        <w:t>egulations</w:t>
      </w:r>
      <w:r w:rsidR="001D775A">
        <w:rPr>
          <w:rFonts w:ascii="Arial" w:hAnsi="Arial" w:cs="Arial"/>
        </w:rPr>
        <w:t>,</w:t>
      </w:r>
      <w:r w:rsidR="00072AD6">
        <w:rPr>
          <w:rFonts w:ascii="Arial" w:hAnsi="Arial" w:cs="Arial"/>
        </w:rPr>
        <w:t xml:space="preserve"> th</w:t>
      </w:r>
      <w:r w:rsidR="005F2462">
        <w:rPr>
          <w:rFonts w:ascii="Arial" w:hAnsi="Arial" w:cs="Arial"/>
        </w:rPr>
        <w:t>e £0.0</w:t>
      </w:r>
      <w:r w:rsidR="00B60BEC">
        <w:rPr>
          <w:rFonts w:ascii="Arial" w:hAnsi="Arial" w:cs="Arial"/>
        </w:rPr>
        <w:t>19</w:t>
      </w:r>
      <w:r w:rsidR="006A0679">
        <w:rPr>
          <w:rFonts w:ascii="Arial" w:hAnsi="Arial" w:cs="Arial"/>
        </w:rPr>
        <w:t>m</w:t>
      </w:r>
      <w:r w:rsidR="00072AD6">
        <w:rPr>
          <w:rFonts w:ascii="Arial" w:hAnsi="Arial" w:cs="Arial"/>
        </w:rPr>
        <w:t xml:space="preserve"> underspend</w:t>
      </w:r>
      <w:r w:rsidR="001D775A">
        <w:rPr>
          <w:rFonts w:ascii="Arial" w:hAnsi="Arial" w:cs="Arial"/>
        </w:rPr>
        <w:t xml:space="preserve"> in de-delegated services</w:t>
      </w:r>
      <w:r w:rsidR="00072AD6">
        <w:rPr>
          <w:rFonts w:ascii="Arial" w:hAnsi="Arial" w:cs="Arial"/>
        </w:rPr>
        <w:t xml:space="preserve"> ha</w:t>
      </w:r>
      <w:r w:rsidR="005F2462">
        <w:rPr>
          <w:rFonts w:ascii="Arial" w:hAnsi="Arial" w:cs="Arial"/>
        </w:rPr>
        <w:t>s been carried forward into 20</w:t>
      </w:r>
      <w:r w:rsidR="00B60BEC">
        <w:rPr>
          <w:rFonts w:ascii="Arial" w:hAnsi="Arial" w:cs="Arial"/>
        </w:rPr>
        <w:t>20/21</w:t>
      </w:r>
      <w:r w:rsidR="00072AD6">
        <w:rPr>
          <w:rFonts w:ascii="Arial" w:hAnsi="Arial" w:cs="Arial"/>
        </w:rPr>
        <w:t>.</w:t>
      </w:r>
      <w:r w:rsidR="005F2462">
        <w:rPr>
          <w:rFonts w:ascii="Arial" w:hAnsi="Arial" w:cs="Arial"/>
        </w:rPr>
        <w:t xml:space="preserve"> </w:t>
      </w:r>
    </w:p>
    <w:p w:rsidR="0022308A" w:rsidRDefault="0022308A" w:rsidP="009F0AAE">
      <w:pPr>
        <w:ind w:left="709" w:hanging="709"/>
        <w:rPr>
          <w:rFonts w:ascii="Arial" w:hAnsi="Arial" w:cs="Arial"/>
        </w:rPr>
      </w:pPr>
    </w:p>
    <w:p w:rsidR="00072AD6" w:rsidRDefault="0022308A" w:rsidP="009F0AAE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</w:r>
      <w:r w:rsidR="005F24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cumulative </w:t>
      </w:r>
      <w:r w:rsidR="005F2462">
        <w:rPr>
          <w:rFonts w:ascii="Arial" w:hAnsi="Arial" w:cs="Arial"/>
        </w:rPr>
        <w:t xml:space="preserve">reserve balance relating to </w:t>
      </w:r>
      <w:r w:rsidR="00B60BEC">
        <w:rPr>
          <w:rFonts w:ascii="Arial" w:hAnsi="Arial" w:cs="Arial"/>
        </w:rPr>
        <w:t>Trade Union Representation</w:t>
      </w:r>
      <w:r w:rsidR="005F2462">
        <w:rPr>
          <w:rFonts w:ascii="Arial" w:hAnsi="Arial" w:cs="Arial"/>
        </w:rPr>
        <w:t xml:space="preserve"> amounts to £0.05</w:t>
      </w:r>
      <w:r w:rsidR="003C7EAA">
        <w:rPr>
          <w:rFonts w:ascii="Arial" w:hAnsi="Arial" w:cs="Arial"/>
        </w:rPr>
        <w:t>4m as at 31.03.2020.</w:t>
      </w:r>
    </w:p>
    <w:p w:rsidR="00072AD6" w:rsidRDefault="00072AD6" w:rsidP="009F0AAE">
      <w:pPr>
        <w:ind w:left="709" w:hanging="709"/>
        <w:rPr>
          <w:rFonts w:ascii="Arial" w:hAnsi="Arial" w:cs="Arial"/>
        </w:rPr>
      </w:pPr>
    </w:p>
    <w:p w:rsidR="001D775A" w:rsidRDefault="001D775A" w:rsidP="009F0AAE">
      <w:pPr>
        <w:ind w:left="709" w:hanging="709"/>
        <w:rPr>
          <w:rFonts w:ascii="Arial" w:hAnsi="Arial" w:cs="Arial"/>
        </w:rPr>
      </w:pPr>
    </w:p>
    <w:p w:rsidR="00576018" w:rsidRPr="00576018" w:rsidRDefault="00072AD6" w:rsidP="0057601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576018" w:rsidRPr="00576018">
        <w:rPr>
          <w:rFonts w:ascii="Arial" w:hAnsi="Arial" w:cs="Arial"/>
        </w:rPr>
        <w:tab/>
      </w:r>
      <w:r w:rsidR="00576018" w:rsidRPr="00576018">
        <w:rPr>
          <w:rFonts w:ascii="Arial" w:hAnsi="Arial" w:cs="Arial"/>
          <w:b/>
          <w:bCs/>
          <w:u w:val="single"/>
        </w:rPr>
        <w:t>Recommendations</w:t>
      </w:r>
    </w:p>
    <w:p w:rsidR="00576018" w:rsidRDefault="00576018" w:rsidP="00576018">
      <w:pPr>
        <w:rPr>
          <w:rFonts w:ascii="Arial" w:hAnsi="Arial" w:cs="Arial"/>
        </w:rPr>
      </w:pPr>
    </w:p>
    <w:p w:rsidR="002E6944" w:rsidRDefault="00072AD6" w:rsidP="002E694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74ED">
        <w:rPr>
          <w:rFonts w:ascii="Arial" w:hAnsi="Arial" w:cs="Arial"/>
        </w:rPr>
        <w:t>.1</w:t>
      </w:r>
      <w:r w:rsidR="00F674ED">
        <w:rPr>
          <w:rFonts w:ascii="Arial" w:hAnsi="Arial" w:cs="Arial"/>
        </w:rPr>
        <w:tab/>
      </w:r>
      <w:r w:rsidR="001D775A">
        <w:rPr>
          <w:rFonts w:ascii="Arial" w:hAnsi="Arial" w:cs="Arial"/>
        </w:rPr>
        <w:t>Forum is recommended t</w:t>
      </w:r>
      <w:r w:rsidR="00EE6A7D">
        <w:rPr>
          <w:rFonts w:ascii="Arial" w:hAnsi="Arial" w:cs="Arial"/>
        </w:rPr>
        <w:t>o note the conte</w:t>
      </w:r>
      <w:r w:rsidR="001D775A">
        <w:rPr>
          <w:rFonts w:ascii="Arial" w:hAnsi="Arial" w:cs="Arial"/>
        </w:rPr>
        <w:t>nts of this</w:t>
      </w:r>
      <w:r w:rsidR="00EE6A7D">
        <w:rPr>
          <w:rFonts w:ascii="Arial" w:hAnsi="Arial" w:cs="Arial"/>
        </w:rPr>
        <w:t xml:space="preserve"> report</w:t>
      </w:r>
      <w:r w:rsidR="00C32D21">
        <w:rPr>
          <w:rFonts w:ascii="Arial" w:hAnsi="Arial" w:cs="Arial"/>
        </w:rPr>
        <w:t>.</w:t>
      </w:r>
    </w:p>
    <w:p w:rsidR="00155095" w:rsidRDefault="00155095" w:rsidP="002E6944">
      <w:pPr>
        <w:ind w:left="567" w:hanging="567"/>
        <w:rPr>
          <w:rFonts w:ascii="Arial" w:hAnsi="Arial" w:cs="Arial"/>
        </w:rPr>
      </w:pPr>
    </w:p>
    <w:p w:rsidR="000659C3" w:rsidRPr="000659C3" w:rsidRDefault="000659C3">
      <w:pPr>
        <w:rPr>
          <w:rFonts w:ascii="Arial" w:hAnsi="Arial"/>
          <w:b/>
        </w:rPr>
      </w:pPr>
    </w:p>
    <w:sectPr w:rsidR="000659C3" w:rsidRPr="000659C3" w:rsidSect="005F187A">
      <w:headerReference w:type="default" r:id="rId8"/>
      <w:footerReference w:type="even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09" w:rsidRDefault="00E04B09">
      <w:r>
        <w:separator/>
      </w:r>
    </w:p>
  </w:endnote>
  <w:endnote w:type="continuationSeparator" w:id="0">
    <w:p w:rsidR="00E04B09" w:rsidRDefault="00E0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09" w:rsidRDefault="00A21432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4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B09" w:rsidRDefault="00E04B09" w:rsidP="00A56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09" w:rsidRDefault="00E04B09">
      <w:r>
        <w:separator/>
      </w:r>
    </w:p>
  </w:footnote>
  <w:footnote w:type="continuationSeparator" w:id="0">
    <w:p w:rsidR="00E04B09" w:rsidRDefault="00E0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09" w:rsidRDefault="00426081">
    <w:pPr>
      <w:pStyle w:val="Header"/>
      <w:jc w:val="right"/>
    </w:pPr>
    <w:sdt>
      <w:sdtPr>
        <w:id w:val="565053189"/>
        <w:docPartObj>
          <w:docPartGallery w:val="Page Numbers (Top of Page)"/>
          <w:docPartUnique/>
        </w:docPartObj>
      </w:sdtPr>
      <w:sdtEndPr/>
      <w:sdtContent>
        <w:r w:rsidR="00E04B09" w:rsidRPr="005F187A">
          <w:rPr>
            <w:rFonts w:ascii="Arial" w:hAnsi="Arial" w:cs="Arial"/>
            <w:sz w:val="16"/>
            <w:szCs w:val="16"/>
          </w:rPr>
          <w:t xml:space="preserve">Page </w: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begin"/>
        </w:r>
        <w:r w:rsidR="00E04B09" w:rsidRPr="005F187A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noProof/>
            <w:sz w:val="16"/>
            <w:szCs w:val="16"/>
          </w:rPr>
          <w:t>1</w: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end"/>
        </w:r>
        <w:r w:rsidR="00E04B09" w:rsidRPr="005F187A">
          <w:rPr>
            <w:rFonts w:ascii="Arial" w:hAnsi="Arial" w:cs="Arial"/>
            <w:sz w:val="16"/>
            <w:szCs w:val="16"/>
          </w:rPr>
          <w:t xml:space="preserve"> of </w: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begin"/>
        </w:r>
        <w:r w:rsidR="00E04B09" w:rsidRPr="005F187A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noProof/>
            <w:sz w:val="16"/>
            <w:szCs w:val="16"/>
          </w:rPr>
          <w:t>2</w:t>
        </w:r>
        <w:r w:rsidR="00A21432" w:rsidRPr="005F187A">
          <w:rPr>
            <w:rFonts w:ascii="Arial" w:hAnsi="Arial" w:cs="Arial"/>
            <w:b/>
            <w:sz w:val="16"/>
            <w:szCs w:val="16"/>
          </w:rPr>
          <w:fldChar w:fldCharType="end"/>
        </w:r>
      </w:sdtContent>
    </w:sdt>
  </w:p>
  <w:p w:rsidR="00E04B09" w:rsidRDefault="00E04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6E"/>
    <w:multiLevelType w:val="hybridMultilevel"/>
    <w:tmpl w:val="B08EDDC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22FEC"/>
    <w:multiLevelType w:val="hybridMultilevel"/>
    <w:tmpl w:val="99C0D8D6"/>
    <w:lvl w:ilvl="0" w:tplc="E4621478">
      <w:start w:val="1"/>
      <w:numFmt w:val="decimal"/>
      <w:lvlText w:val="%1."/>
      <w:lvlJc w:val="left"/>
      <w:pPr>
        <w:ind w:left="720" w:hanging="360"/>
      </w:pPr>
      <w:rPr>
        <w:color w:val="17365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E92DEA"/>
    <w:multiLevelType w:val="multilevel"/>
    <w:tmpl w:val="6C2E8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80CF9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9B4E1E"/>
    <w:multiLevelType w:val="hybridMultilevel"/>
    <w:tmpl w:val="6CBA8B7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F55"/>
    <w:multiLevelType w:val="multilevel"/>
    <w:tmpl w:val="5DE20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F75415"/>
    <w:multiLevelType w:val="hybridMultilevel"/>
    <w:tmpl w:val="C78E4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671AA6"/>
    <w:multiLevelType w:val="multilevel"/>
    <w:tmpl w:val="E5EA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6D6217"/>
    <w:multiLevelType w:val="hybridMultilevel"/>
    <w:tmpl w:val="A40AC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C35AC"/>
    <w:multiLevelType w:val="hybridMultilevel"/>
    <w:tmpl w:val="8716D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A1FF2"/>
    <w:multiLevelType w:val="multilevel"/>
    <w:tmpl w:val="938A9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5C669E"/>
    <w:multiLevelType w:val="multilevel"/>
    <w:tmpl w:val="A6A81C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0A48AB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9B2C73"/>
    <w:multiLevelType w:val="hybridMultilevel"/>
    <w:tmpl w:val="D7C2D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DD1659"/>
    <w:multiLevelType w:val="multilevel"/>
    <w:tmpl w:val="2F3A1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590572"/>
    <w:multiLevelType w:val="multilevel"/>
    <w:tmpl w:val="157ECA4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92680"/>
    <w:multiLevelType w:val="hybridMultilevel"/>
    <w:tmpl w:val="99EEBF84"/>
    <w:lvl w:ilvl="0" w:tplc="D55E0B32">
      <w:start w:val="4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D261C44"/>
    <w:multiLevelType w:val="multilevel"/>
    <w:tmpl w:val="40661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F671E1"/>
    <w:multiLevelType w:val="multilevel"/>
    <w:tmpl w:val="377C0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2534F"/>
    <w:multiLevelType w:val="hybridMultilevel"/>
    <w:tmpl w:val="103E809C"/>
    <w:lvl w:ilvl="0" w:tplc="686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737C"/>
    <w:multiLevelType w:val="hybridMultilevel"/>
    <w:tmpl w:val="C9AC7A9A"/>
    <w:lvl w:ilvl="0" w:tplc="242051D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235A3"/>
    <w:multiLevelType w:val="multilevel"/>
    <w:tmpl w:val="B9E41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20"/>
  </w:num>
  <w:num w:numId="6">
    <w:abstractNumId w:val="15"/>
  </w:num>
  <w:num w:numId="7">
    <w:abstractNumId w:val="13"/>
  </w:num>
  <w:num w:numId="8">
    <w:abstractNumId w:val="4"/>
  </w:num>
  <w:num w:numId="9">
    <w:abstractNumId w:val="12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3"/>
  </w:num>
  <w:num w:numId="17">
    <w:abstractNumId w:val="10"/>
  </w:num>
  <w:num w:numId="18">
    <w:abstractNumId w:val="17"/>
  </w:num>
  <w:num w:numId="19">
    <w:abstractNumId w:val="18"/>
  </w:num>
  <w:num w:numId="20">
    <w:abstractNumId w:val="6"/>
  </w:num>
  <w:num w:numId="21">
    <w:abstractNumId w:val="19"/>
  </w:num>
  <w:num w:numId="22">
    <w:abstractNumId w:val="5"/>
  </w:num>
  <w:num w:numId="23">
    <w:abstractNumId w:val="11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C"/>
    <w:rsid w:val="00006046"/>
    <w:rsid w:val="00010596"/>
    <w:rsid w:val="000157E6"/>
    <w:rsid w:val="00015B0D"/>
    <w:rsid w:val="00016C47"/>
    <w:rsid w:val="00017F86"/>
    <w:rsid w:val="00022435"/>
    <w:rsid w:val="00023889"/>
    <w:rsid w:val="000255F6"/>
    <w:rsid w:val="00025CAE"/>
    <w:rsid w:val="0002676C"/>
    <w:rsid w:val="0002712E"/>
    <w:rsid w:val="0002762C"/>
    <w:rsid w:val="00027E44"/>
    <w:rsid w:val="00031A2B"/>
    <w:rsid w:val="00035172"/>
    <w:rsid w:val="00036B9E"/>
    <w:rsid w:val="00042C1A"/>
    <w:rsid w:val="00044D8C"/>
    <w:rsid w:val="0004518F"/>
    <w:rsid w:val="00050DA8"/>
    <w:rsid w:val="000576D0"/>
    <w:rsid w:val="000579CD"/>
    <w:rsid w:val="00060EDC"/>
    <w:rsid w:val="00062657"/>
    <w:rsid w:val="0006510E"/>
    <w:rsid w:val="000658FF"/>
    <w:rsid w:val="000659C3"/>
    <w:rsid w:val="00072AD6"/>
    <w:rsid w:val="000730FD"/>
    <w:rsid w:val="00076A3E"/>
    <w:rsid w:val="00080701"/>
    <w:rsid w:val="00081603"/>
    <w:rsid w:val="000816AF"/>
    <w:rsid w:val="000870A3"/>
    <w:rsid w:val="000871DD"/>
    <w:rsid w:val="000A7DA7"/>
    <w:rsid w:val="000B6930"/>
    <w:rsid w:val="000B77D9"/>
    <w:rsid w:val="000C61A9"/>
    <w:rsid w:val="000C636B"/>
    <w:rsid w:val="000D01DC"/>
    <w:rsid w:val="000D1131"/>
    <w:rsid w:val="000D130D"/>
    <w:rsid w:val="000D2704"/>
    <w:rsid w:val="000D411F"/>
    <w:rsid w:val="000D524D"/>
    <w:rsid w:val="000D7BB1"/>
    <w:rsid w:val="000D7E2E"/>
    <w:rsid w:val="000E007D"/>
    <w:rsid w:val="000E18CC"/>
    <w:rsid w:val="000E1A1B"/>
    <w:rsid w:val="000E7370"/>
    <w:rsid w:val="000E73FA"/>
    <w:rsid w:val="000F0141"/>
    <w:rsid w:val="000F159C"/>
    <w:rsid w:val="000F6580"/>
    <w:rsid w:val="000F69D5"/>
    <w:rsid w:val="000F7333"/>
    <w:rsid w:val="000F75D4"/>
    <w:rsid w:val="000F7CB3"/>
    <w:rsid w:val="00106BCD"/>
    <w:rsid w:val="00107761"/>
    <w:rsid w:val="0011367C"/>
    <w:rsid w:val="0012185E"/>
    <w:rsid w:val="00122C6C"/>
    <w:rsid w:val="00127BE9"/>
    <w:rsid w:val="00127C03"/>
    <w:rsid w:val="001354B0"/>
    <w:rsid w:val="0013705D"/>
    <w:rsid w:val="00147F00"/>
    <w:rsid w:val="00147F92"/>
    <w:rsid w:val="00151D0B"/>
    <w:rsid w:val="00153604"/>
    <w:rsid w:val="00153F60"/>
    <w:rsid w:val="00155095"/>
    <w:rsid w:val="00155D0D"/>
    <w:rsid w:val="00157268"/>
    <w:rsid w:val="00157C00"/>
    <w:rsid w:val="00162062"/>
    <w:rsid w:val="00165A0D"/>
    <w:rsid w:val="00165CCE"/>
    <w:rsid w:val="001710A1"/>
    <w:rsid w:val="00171BAB"/>
    <w:rsid w:val="00172EEB"/>
    <w:rsid w:val="001747DC"/>
    <w:rsid w:val="001752DA"/>
    <w:rsid w:val="00181F27"/>
    <w:rsid w:val="00182076"/>
    <w:rsid w:val="00185126"/>
    <w:rsid w:val="00186078"/>
    <w:rsid w:val="001939EE"/>
    <w:rsid w:val="001960FF"/>
    <w:rsid w:val="001965AD"/>
    <w:rsid w:val="001A3299"/>
    <w:rsid w:val="001A465F"/>
    <w:rsid w:val="001A4F7F"/>
    <w:rsid w:val="001A644E"/>
    <w:rsid w:val="001B5346"/>
    <w:rsid w:val="001B734F"/>
    <w:rsid w:val="001B7E42"/>
    <w:rsid w:val="001C66BD"/>
    <w:rsid w:val="001C713B"/>
    <w:rsid w:val="001D3819"/>
    <w:rsid w:val="001D3C00"/>
    <w:rsid w:val="001D5B25"/>
    <w:rsid w:val="001D775A"/>
    <w:rsid w:val="001E1743"/>
    <w:rsid w:val="001E3B91"/>
    <w:rsid w:val="001E5326"/>
    <w:rsid w:val="001F0D1D"/>
    <w:rsid w:val="001F2F83"/>
    <w:rsid w:val="001F512E"/>
    <w:rsid w:val="001F7A1E"/>
    <w:rsid w:val="00207252"/>
    <w:rsid w:val="00213071"/>
    <w:rsid w:val="00215481"/>
    <w:rsid w:val="002214E2"/>
    <w:rsid w:val="0022308A"/>
    <w:rsid w:val="0023373B"/>
    <w:rsid w:val="00237077"/>
    <w:rsid w:val="00243B24"/>
    <w:rsid w:val="00247E78"/>
    <w:rsid w:val="002522AB"/>
    <w:rsid w:val="00254F9E"/>
    <w:rsid w:val="00260196"/>
    <w:rsid w:val="0026094C"/>
    <w:rsid w:val="002614ED"/>
    <w:rsid w:val="00263866"/>
    <w:rsid w:val="002650E1"/>
    <w:rsid w:val="00265CBA"/>
    <w:rsid w:val="002678E9"/>
    <w:rsid w:val="00277A16"/>
    <w:rsid w:val="002804C0"/>
    <w:rsid w:val="00282452"/>
    <w:rsid w:val="00294964"/>
    <w:rsid w:val="00294EAA"/>
    <w:rsid w:val="0029534A"/>
    <w:rsid w:val="00297FCB"/>
    <w:rsid w:val="002A160B"/>
    <w:rsid w:val="002A268C"/>
    <w:rsid w:val="002B3E18"/>
    <w:rsid w:val="002C0547"/>
    <w:rsid w:val="002C6500"/>
    <w:rsid w:val="002D591E"/>
    <w:rsid w:val="002D738C"/>
    <w:rsid w:val="002E0FB0"/>
    <w:rsid w:val="002E18F4"/>
    <w:rsid w:val="002E499B"/>
    <w:rsid w:val="002E513D"/>
    <w:rsid w:val="002E6944"/>
    <w:rsid w:val="002F79E8"/>
    <w:rsid w:val="0030307E"/>
    <w:rsid w:val="00304957"/>
    <w:rsid w:val="00306823"/>
    <w:rsid w:val="00306AE8"/>
    <w:rsid w:val="0030706A"/>
    <w:rsid w:val="0030773F"/>
    <w:rsid w:val="003102C5"/>
    <w:rsid w:val="003117E2"/>
    <w:rsid w:val="0031186C"/>
    <w:rsid w:val="00311DDB"/>
    <w:rsid w:val="00314569"/>
    <w:rsid w:val="00315834"/>
    <w:rsid w:val="00315D46"/>
    <w:rsid w:val="003208F0"/>
    <w:rsid w:val="00321E39"/>
    <w:rsid w:val="00323FB7"/>
    <w:rsid w:val="00326230"/>
    <w:rsid w:val="0032696D"/>
    <w:rsid w:val="0033382A"/>
    <w:rsid w:val="00334B3D"/>
    <w:rsid w:val="0034027A"/>
    <w:rsid w:val="00341307"/>
    <w:rsid w:val="00341D0E"/>
    <w:rsid w:val="00343746"/>
    <w:rsid w:val="00343994"/>
    <w:rsid w:val="00346155"/>
    <w:rsid w:val="00353C5A"/>
    <w:rsid w:val="00355890"/>
    <w:rsid w:val="00363164"/>
    <w:rsid w:val="00374E7E"/>
    <w:rsid w:val="003756DE"/>
    <w:rsid w:val="00375AA2"/>
    <w:rsid w:val="0037702F"/>
    <w:rsid w:val="00377069"/>
    <w:rsid w:val="00380BB4"/>
    <w:rsid w:val="00381832"/>
    <w:rsid w:val="0038276D"/>
    <w:rsid w:val="00383A39"/>
    <w:rsid w:val="00386155"/>
    <w:rsid w:val="0038726F"/>
    <w:rsid w:val="00391AE2"/>
    <w:rsid w:val="003920D3"/>
    <w:rsid w:val="0039238C"/>
    <w:rsid w:val="00394BFB"/>
    <w:rsid w:val="00396CAE"/>
    <w:rsid w:val="00397F55"/>
    <w:rsid w:val="003A39EF"/>
    <w:rsid w:val="003A516E"/>
    <w:rsid w:val="003A7955"/>
    <w:rsid w:val="003B19A7"/>
    <w:rsid w:val="003B26A4"/>
    <w:rsid w:val="003B62E8"/>
    <w:rsid w:val="003B73BB"/>
    <w:rsid w:val="003C0233"/>
    <w:rsid w:val="003C0C17"/>
    <w:rsid w:val="003C1B4E"/>
    <w:rsid w:val="003C230C"/>
    <w:rsid w:val="003C2A00"/>
    <w:rsid w:val="003C3354"/>
    <w:rsid w:val="003C3602"/>
    <w:rsid w:val="003C3A9C"/>
    <w:rsid w:val="003C4D53"/>
    <w:rsid w:val="003C7EAA"/>
    <w:rsid w:val="003D2177"/>
    <w:rsid w:val="003D24A7"/>
    <w:rsid w:val="003D3828"/>
    <w:rsid w:val="003D3ED0"/>
    <w:rsid w:val="003D461F"/>
    <w:rsid w:val="003D4799"/>
    <w:rsid w:val="003D50F9"/>
    <w:rsid w:val="003D66CD"/>
    <w:rsid w:val="003D7E0B"/>
    <w:rsid w:val="003F036D"/>
    <w:rsid w:val="003F1C2A"/>
    <w:rsid w:val="004103C4"/>
    <w:rsid w:val="00422DB6"/>
    <w:rsid w:val="00426081"/>
    <w:rsid w:val="00427695"/>
    <w:rsid w:val="00427B62"/>
    <w:rsid w:val="00433566"/>
    <w:rsid w:val="004338DD"/>
    <w:rsid w:val="00436C63"/>
    <w:rsid w:val="00436E52"/>
    <w:rsid w:val="004404C2"/>
    <w:rsid w:val="00442ED9"/>
    <w:rsid w:val="00444704"/>
    <w:rsid w:val="00457F4E"/>
    <w:rsid w:val="00460549"/>
    <w:rsid w:val="00461D2D"/>
    <w:rsid w:val="00462157"/>
    <w:rsid w:val="0046606B"/>
    <w:rsid w:val="00466EDC"/>
    <w:rsid w:val="00467CF3"/>
    <w:rsid w:val="0047341B"/>
    <w:rsid w:val="00475E64"/>
    <w:rsid w:val="00476A33"/>
    <w:rsid w:val="00480169"/>
    <w:rsid w:val="00482C42"/>
    <w:rsid w:val="004852E4"/>
    <w:rsid w:val="0048685E"/>
    <w:rsid w:val="0049005B"/>
    <w:rsid w:val="0049512B"/>
    <w:rsid w:val="004951BD"/>
    <w:rsid w:val="00496161"/>
    <w:rsid w:val="00496199"/>
    <w:rsid w:val="0049690B"/>
    <w:rsid w:val="00497C2A"/>
    <w:rsid w:val="004A4A4D"/>
    <w:rsid w:val="004A6037"/>
    <w:rsid w:val="004A6A1C"/>
    <w:rsid w:val="004B1397"/>
    <w:rsid w:val="004B4B72"/>
    <w:rsid w:val="004B6CFA"/>
    <w:rsid w:val="004C0B26"/>
    <w:rsid w:val="004C19EE"/>
    <w:rsid w:val="004D1245"/>
    <w:rsid w:val="004D1316"/>
    <w:rsid w:val="004D16F6"/>
    <w:rsid w:val="004D41B4"/>
    <w:rsid w:val="004D5FD2"/>
    <w:rsid w:val="004D7F53"/>
    <w:rsid w:val="004E016F"/>
    <w:rsid w:val="004E0301"/>
    <w:rsid w:val="004E36BE"/>
    <w:rsid w:val="004E6C13"/>
    <w:rsid w:val="004F0B90"/>
    <w:rsid w:val="004F1D58"/>
    <w:rsid w:val="004F76AA"/>
    <w:rsid w:val="00500735"/>
    <w:rsid w:val="005012FB"/>
    <w:rsid w:val="00505ECE"/>
    <w:rsid w:val="00507291"/>
    <w:rsid w:val="00510543"/>
    <w:rsid w:val="00512A28"/>
    <w:rsid w:val="00515B36"/>
    <w:rsid w:val="00517992"/>
    <w:rsid w:val="005211C6"/>
    <w:rsid w:val="0053102B"/>
    <w:rsid w:val="00535B72"/>
    <w:rsid w:val="00535F11"/>
    <w:rsid w:val="00536AA9"/>
    <w:rsid w:val="00540669"/>
    <w:rsid w:val="00542991"/>
    <w:rsid w:val="00543A47"/>
    <w:rsid w:val="00544B19"/>
    <w:rsid w:val="00550583"/>
    <w:rsid w:val="00556F5A"/>
    <w:rsid w:val="00560AEA"/>
    <w:rsid w:val="00561919"/>
    <w:rsid w:val="00561A77"/>
    <w:rsid w:val="00570E94"/>
    <w:rsid w:val="005728FD"/>
    <w:rsid w:val="00576018"/>
    <w:rsid w:val="0057675B"/>
    <w:rsid w:val="00582FDA"/>
    <w:rsid w:val="00586F0D"/>
    <w:rsid w:val="0058741E"/>
    <w:rsid w:val="005879DB"/>
    <w:rsid w:val="00595D2C"/>
    <w:rsid w:val="005A6F81"/>
    <w:rsid w:val="005C1BBE"/>
    <w:rsid w:val="005C3841"/>
    <w:rsid w:val="005C6D8F"/>
    <w:rsid w:val="005C7711"/>
    <w:rsid w:val="005C7FC7"/>
    <w:rsid w:val="005D5A83"/>
    <w:rsid w:val="005E014C"/>
    <w:rsid w:val="005E0155"/>
    <w:rsid w:val="005E28D1"/>
    <w:rsid w:val="005E595F"/>
    <w:rsid w:val="005E6BF6"/>
    <w:rsid w:val="005F1016"/>
    <w:rsid w:val="005F187A"/>
    <w:rsid w:val="005F1A50"/>
    <w:rsid w:val="005F2462"/>
    <w:rsid w:val="005F2929"/>
    <w:rsid w:val="005F73B7"/>
    <w:rsid w:val="005F7C6D"/>
    <w:rsid w:val="005F7E3B"/>
    <w:rsid w:val="0060539E"/>
    <w:rsid w:val="00610B76"/>
    <w:rsid w:val="00610C23"/>
    <w:rsid w:val="00612CB5"/>
    <w:rsid w:val="00612FB7"/>
    <w:rsid w:val="0061682E"/>
    <w:rsid w:val="00622249"/>
    <w:rsid w:val="006224FC"/>
    <w:rsid w:val="0062376D"/>
    <w:rsid w:val="00627930"/>
    <w:rsid w:val="00630EA0"/>
    <w:rsid w:val="006407A7"/>
    <w:rsid w:val="00640CC9"/>
    <w:rsid w:val="00641237"/>
    <w:rsid w:val="00641CDB"/>
    <w:rsid w:val="00642F21"/>
    <w:rsid w:val="0064391F"/>
    <w:rsid w:val="00644323"/>
    <w:rsid w:val="00650444"/>
    <w:rsid w:val="006506B3"/>
    <w:rsid w:val="006548BC"/>
    <w:rsid w:val="00656195"/>
    <w:rsid w:val="00660753"/>
    <w:rsid w:val="00660ADF"/>
    <w:rsid w:val="00661CDB"/>
    <w:rsid w:val="00662E13"/>
    <w:rsid w:val="00663563"/>
    <w:rsid w:val="00665BEE"/>
    <w:rsid w:val="006674AA"/>
    <w:rsid w:val="00667FCC"/>
    <w:rsid w:val="006709FD"/>
    <w:rsid w:val="00670CE2"/>
    <w:rsid w:val="00681F0A"/>
    <w:rsid w:val="006835E3"/>
    <w:rsid w:val="0068666D"/>
    <w:rsid w:val="00687A45"/>
    <w:rsid w:val="0069060B"/>
    <w:rsid w:val="00691F91"/>
    <w:rsid w:val="00693195"/>
    <w:rsid w:val="00694645"/>
    <w:rsid w:val="006973A3"/>
    <w:rsid w:val="006A0679"/>
    <w:rsid w:val="006A4803"/>
    <w:rsid w:val="006A5B47"/>
    <w:rsid w:val="006A67FF"/>
    <w:rsid w:val="006A7110"/>
    <w:rsid w:val="006A7ABB"/>
    <w:rsid w:val="006B2BFC"/>
    <w:rsid w:val="006B2E88"/>
    <w:rsid w:val="006B44A8"/>
    <w:rsid w:val="006B5189"/>
    <w:rsid w:val="006C10B2"/>
    <w:rsid w:val="006C3467"/>
    <w:rsid w:val="006C3FF3"/>
    <w:rsid w:val="006C6354"/>
    <w:rsid w:val="006D4FF1"/>
    <w:rsid w:val="006D63E1"/>
    <w:rsid w:val="006D6BF1"/>
    <w:rsid w:val="006E3280"/>
    <w:rsid w:val="006E5EFC"/>
    <w:rsid w:val="006F0933"/>
    <w:rsid w:val="006F11B3"/>
    <w:rsid w:val="006F1FA2"/>
    <w:rsid w:val="006F45F1"/>
    <w:rsid w:val="006F7FD0"/>
    <w:rsid w:val="00703724"/>
    <w:rsid w:val="00710C99"/>
    <w:rsid w:val="007129C3"/>
    <w:rsid w:val="00712AFD"/>
    <w:rsid w:val="00714B53"/>
    <w:rsid w:val="00722F49"/>
    <w:rsid w:val="00733A7D"/>
    <w:rsid w:val="0073741C"/>
    <w:rsid w:val="00741108"/>
    <w:rsid w:val="007411E7"/>
    <w:rsid w:val="007430CD"/>
    <w:rsid w:val="00747649"/>
    <w:rsid w:val="00750521"/>
    <w:rsid w:val="00750E20"/>
    <w:rsid w:val="0075146A"/>
    <w:rsid w:val="00752620"/>
    <w:rsid w:val="00752D27"/>
    <w:rsid w:val="007545E4"/>
    <w:rsid w:val="007569B3"/>
    <w:rsid w:val="00764AB2"/>
    <w:rsid w:val="00767F5C"/>
    <w:rsid w:val="007701C4"/>
    <w:rsid w:val="00775A98"/>
    <w:rsid w:val="00781808"/>
    <w:rsid w:val="00782D80"/>
    <w:rsid w:val="0078320D"/>
    <w:rsid w:val="00787E72"/>
    <w:rsid w:val="007907EA"/>
    <w:rsid w:val="0079428F"/>
    <w:rsid w:val="007949DA"/>
    <w:rsid w:val="007B345D"/>
    <w:rsid w:val="007B37BF"/>
    <w:rsid w:val="007B3DD7"/>
    <w:rsid w:val="007B4B7B"/>
    <w:rsid w:val="007B4E26"/>
    <w:rsid w:val="007C08C9"/>
    <w:rsid w:val="007C0A03"/>
    <w:rsid w:val="007C10C5"/>
    <w:rsid w:val="007C1F2B"/>
    <w:rsid w:val="007C5DA3"/>
    <w:rsid w:val="007D0983"/>
    <w:rsid w:val="007D0C9C"/>
    <w:rsid w:val="007D1050"/>
    <w:rsid w:val="007D14AA"/>
    <w:rsid w:val="007D220C"/>
    <w:rsid w:val="007D2A51"/>
    <w:rsid w:val="007D401D"/>
    <w:rsid w:val="007D633A"/>
    <w:rsid w:val="007E2942"/>
    <w:rsid w:val="007E7789"/>
    <w:rsid w:val="007F0215"/>
    <w:rsid w:val="007F0AEF"/>
    <w:rsid w:val="007F28A4"/>
    <w:rsid w:val="007F534F"/>
    <w:rsid w:val="00800506"/>
    <w:rsid w:val="00801DCC"/>
    <w:rsid w:val="00803F19"/>
    <w:rsid w:val="008063CC"/>
    <w:rsid w:val="00810528"/>
    <w:rsid w:val="008108E9"/>
    <w:rsid w:val="00815734"/>
    <w:rsid w:val="008167D2"/>
    <w:rsid w:val="00816926"/>
    <w:rsid w:val="008177D2"/>
    <w:rsid w:val="00820659"/>
    <w:rsid w:val="00820883"/>
    <w:rsid w:val="00824718"/>
    <w:rsid w:val="00827AAB"/>
    <w:rsid w:val="00841ACA"/>
    <w:rsid w:val="00847E71"/>
    <w:rsid w:val="00851576"/>
    <w:rsid w:val="008539E2"/>
    <w:rsid w:val="00856147"/>
    <w:rsid w:val="0086076D"/>
    <w:rsid w:val="00861CEB"/>
    <w:rsid w:val="00872530"/>
    <w:rsid w:val="00874973"/>
    <w:rsid w:val="00876100"/>
    <w:rsid w:val="0088165F"/>
    <w:rsid w:val="00884865"/>
    <w:rsid w:val="008900F8"/>
    <w:rsid w:val="0089257C"/>
    <w:rsid w:val="008B24AA"/>
    <w:rsid w:val="008B316C"/>
    <w:rsid w:val="008B4DA2"/>
    <w:rsid w:val="008B4E8E"/>
    <w:rsid w:val="008B57E9"/>
    <w:rsid w:val="008C2AF3"/>
    <w:rsid w:val="008C700B"/>
    <w:rsid w:val="008D0240"/>
    <w:rsid w:val="008D1CAE"/>
    <w:rsid w:val="008D3CFE"/>
    <w:rsid w:val="008D49C5"/>
    <w:rsid w:val="008E2495"/>
    <w:rsid w:val="008E3455"/>
    <w:rsid w:val="008E52DF"/>
    <w:rsid w:val="008F0837"/>
    <w:rsid w:val="008F2938"/>
    <w:rsid w:val="00902D6C"/>
    <w:rsid w:val="009037E9"/>
    <w:rsid w:val="009057FC"/>
    <w:rsid w:val="00913DCC"/>
    <w:rsid w:val="00920DE0"/>
    <w:rsid w:val="00927430"/>
    <w:rsid w:val="00934D5B"/>
    <w:rsid w:val="009360FA"/>
    <w:rsid w:val="009456E7"/>
    <w:rsid w:val="00947EFE"/>
    <w:rsid w:val="00960574"/>
    <w:rsid w:val="0096294C"/>
    <w:rsid w:val="00971477"/>
    <w:rsid w:val="009714D4"/>
    <w:rsid w:val="009753E3"/>
    <w:rsid w:val="0097790C"/>
    <w:rsid w:val="00977F36"/>
    <w:rsid w:val="00984BF0"/>
    <w:rsid w:val="00987986"/>
    <w:rsid w:val="00990C70"/>
    <w:rsid w:val="00990CD1"/>
    <w:rsid w:val="009927BC"/>
    <w:rsid w:val="009953D9"/>
    <w:rsid w:val="00996F3C"/>
    <w:rsid w:val="009A0BB1"/>
    <w:rsid w:val="009A101C"/>
    <w:rsid w:val="009A2240"/>
    <w:rsid w:val="009A2D11"/>
    <w:rsid w:val="009A3667"/>
    <w:rsid w:val="009A6A03"/>
    <w:rsid w:val="009A754E"/>
    <w:rsid w:val="009B1781"/>
    <w:rsid w:val="009B2040"/>
    <w:rsid w:val="009B275D"/>
    <w:rsid w:val="009B54EF"/>
    <w:rsid w:val="009C08EB"/>
    <w:rsid w:val="009C0BD7"/>
    <w:rsid w:val="009C2B9A"/>
    <w:rsid w:val="009D0583"/>
    <w:rsid w:val="009D144C"/>
    <w:rsid w:val="009D439D"/>
    <w:rsid w:val="009E0474"/>
    <w:rsid w:val="009E2C82"/>
    <w:rsid w:val="009E53E9"/>
    <w:rsid w:val="009E638D"/>
    <w:rsid w:val="009E6C90"/>
    <w:rsid w:val="009F0AAE"/>
    <w:rsid w:val="00A12E02"/>
    <w:rsid w:val="00A14396"/>
    <w:rsid w:val="00A155F8"/>
    <w:rsid w:val="00A17C62"/>
    <w:rsid w:val="00A2080D"/>
    <w:rsid w:val="00A20865"/>
    <w:rsid w:val="00A21432"/>
    <w:rsid w:val="00A27912"/>
    <w:rsid w:val="00A32514"/>
    <w:rsid w:val="00A37875"/>
    <w:rsid w:val="00A43229"/>
    <w:rsid w:val="00A44D37"/>
    <w:rsid w:val="00A47770"/>
    <w:rsid w:val="00A53298"/>
    <w:rsid w:val="00A53BB4"/>
    <w:rsid w:val="00A5538E"/>
    <w:rsid w:val="00A5664D"/>
    <w:rsid w:val="00A61116"/>
    <w:rsid w:val="00A61CFE"/>
    <w:rsid w:val="00A74C1A"/>
    <w:rsid w:val="00A81AA8"/>
    <w:rsid w:val="00A81C47"/>
    <w:rsid w:val="00A81D66"/>
    <w:rsid w:val="00A823D1"/>
    <w:rsid w:val="00A832CD"/>
    <w:rsid w:val="00A84F54"/>
    <w:rsid w:val="00A87386"/>
    <w:rsid w:val="00A90BFF"/>
    <w:rsid w:val="00A940F5"/>
    <w:rsid w:val="00A9456A"/>
    <w:rsid w:val="00A97E20"/>
    <w:rsid w:val="00AA0153"/>
    <w:rsid w:val="00AA765F"/>
    <w:rsid w:val="00AB2951"/>
    <w:rsid w:val="00AB3F3D"/>
    <w:rsid w:val="00AB41EF"/>
    <w:rsid w:val="00AB4795"/>
    <w:rsid w:val="00AB6AD5"/>
    <w:rsid w:val="00AC0029"/>
    <w:rsid w:val="00AC0463"/>
    <w:rsid w:val="00AC04B6"/>
    <w:rsid w:val="00AC579C"/>
    <w:rsid w:val="00AC665C"/>
    <w:rsid w:val="00AC7404"/>
    <w:rsid w:val="00AD3A6C"/>
    <w:rsid w:val="00AD575C"/>
    <w:rsid w:val="00AD5D6C"/>
    <w:rsid w:val="00AE04AD"/>
    <w:rsid w:val="00AE258F"/>
    <w:rsid w:val="00AE3BC1"/>
    <w:rsid w:val="00AE434B"/>
    <w:rsid w:val="00AE4DE8"/>
    <w:rsid w:val="00AE724B"/>
    <w:rsid w:val="00AF0349"/>
    <w:rsid w:val="00AF07C4"/>
    <w:rsid w:val="00AF197A"/>
    <w:rsid w:val="00AF6077"/>
    <w:rsid w:val="00B05C08"/>
    <w:rsid w:val="00B1136D"/>
    <w:rsid w:val="00B167BE"/>
    <w:rsid w:val="00B22CDB"/>
    <w:rsid w:val="00B27D97"/>
    <w:rsid w:val="00B31B67"/>
    <w:rsid w:val="00B35112"/>
    <w:rsid w:val="00B46AAA"/>
    <w:rsid w:val="00B47AC1"/>
    <w:rsid w:val="00B54345"/>
    <w:rsid w:val="00B569E0"/>
    <w:rsid w:val="00B5745D"/>
    <w:rsid w:val="00B60BEC"/>
    <w:rsid w:val="00B6203B"/>
    <w:rsid w:val="00B6228F"/>
    <w:rsid w:val="00B63A2B"/>
    <w:rsid w:val="00B66BC8"/>
    <w:rsid w:val="00B67C7F"/>
    <w:rsid w:val="00B732CC"/>
    <w:rsid w:val="00B8536B"/>
    <w:rsid w:val="00B86335"/>
    <w:rsid w:val="00B9113F"/>
    <w:rsid w:val="00B921AC"/>
    <w:rsid w:val="00B92504"/>
    <w:rsid w:val="00B92C47"/>
    <w:rsid w:val="00B952EA"/>
    <w:rsid w:val="00B96480"/>
    <w:rsid w:val="00B96623"/>
    <w:rsid w:val="00BA2F39"/>
    <w:rsid w:val="00BA3D18"/>
    <w:rsid w:val="00BA4D21"/>
    <w:rsid w:val="00BB0E4A"/>
    <w:rsid w:val="00BB328F"/>
    <w:rsid w:val="00BB6A65"/>
    <w:rsid w:val="00BB7367"/>
    <w:rsid w:val="00BC0CC2"/>
    <w:rsid w:val="00BC5485"/>
    <w:rsid w:val="00BC6878"/>
    <w:rsid w:val="00BD06E5"/>
    <w:rsid w:val="00BD1327"/>
    <w:rsid w:val="00BD5981"/>
    <w:rsid w:val="00BD5F08"/>
    <w:rsid w:val="00BE09E0"/>
    <w:rsid w:val="00BE26A8"/>
    <w:rsid w:val="00BE62CB"/>
    <w:rsid w:val="00BE6E4B"/>
    <w:rsid w:val="00BF158A"/>
    <w:rsid w:val="00C0195E"/>
    <w:rsid w:val="00C06EAA"/>
    <w:rsid w:val="00C12E88"/>
    <w:rsid w:val="00C17A56"/>
    <w:rsid w:val="00C20702"/>
    <w:rsid w:val="00C24C82"/>
    <w:rsid w:val="00C306C5"/>
    <w:rsid w:val="00C32D21"/>
    <w:rsid w:val="00C36B07"/>
    <w:rsid w:val="00C5094B"/>
    <w:rsid w:val="00C529E0"/>
    <w:rsid w:val="00C60E52"/>
    <w:rsid w:val="00C627EA"/>
    <w:rsid w:val="00C72507"/>
    <w:rsid w:val="00C7362F"/>
    <w:rsid w:val="00C73840"/>
    <w:rsid w:val="00C73D61"/>
    <w:rsid w:val="00C75CA1"/>
    <w:rsid w:val="00C77D4D"/>
    <w:rsid w:val="00C820BA"/>
    <w:rsid w:val="00C82A14"/>
    <w:rsid w:val="00C84FF4"/>
    <w:rsid w:val="00C866DD"/>
    <w:rsid w:val="00C909FA"/>
    <w:rsid w:val="00CA6AC7"/>
    <w:rsid w:val="00CB0E6A"/>
    <w:rsid w:val="00CB27E8"/>
    <w:rsid w:val="00CB5DA6"/>
    <w:rsid w:val="00CC443F"/>
    <w:rsid w:val="00CC4CB2"/>
    <w:rsid w:val="00CD6644"/>
    <w:rsid w:val="00CE0BB5"/>
    <w:rsid w:val="00CE1C6D"/>
    <w:rsid w:val="00CE3A48"/>
    <w:rsid w:val="00CE3D64"/>
    <w:rsid w:val="00CE5664"/>
    <w:rsid w:val="00CE75E9"/>
    <w:rsid w:val="00CF57F6"/>
    <w:rsid w:val="00D11C9F"/>
    <w:rsid w:val="00D127F7"/>
    <w:rsid w:val="00D14517"/>
    <w:rsid w:val="00D15448"/>
    <w:rsid w:val="00D205C1"/>
    <w:rsid w:val="00D20EAC"/>
    <w:rsid w:val="00D22188"/>
    <w:rsid w:val="00D256CF"/>
    <w:rsid w:val="00D257A6"/>
    <w:rsid w:val="00D25C9D"/>
    <w:rsid w:val="00D26AA6"/>
    <w:rsid w:val="00D31D32"/>
    <w:rsid w:val="00D34B6F"/>
    <w:rsid w:val="00D35D80"/>
    <w:rsid w:val="00D45092"/>
    <w:rsid w:val="00D51304"/>
    <w:rsid w:val="00D5313F"/>
    <w:rsid w:val="00D60441"/>
    <w:rsid w:val="00D63632"/>
    <w:rsid w:val="00D6479D"/>
    <w:rsid w:val="00D66DF9"/>
    <w:rsid w:val="00D670D5"/>
    <w:rsid w:val="00D7125E"/>
    <w:rsid w:val="00D7354E"/>
    <w:rsid w:val="00D74EEE"/>
    <w:rsid w:val="00D7625D"/>
    <w:rsid w:val="00D8289F"/>
    <w:rsid w:val="00D900D3"/>
    <w:rsid w:val="00D90D3A"/>
    <w:rsid w:val="00D97268"/>
    <w:rsid w:val="00DB023D"/>
    <w:rsid w:val="00DB196A"/>
    <w:rsid w:val="00DB6AE7"/>
    <w:rsid w:val="00DC33C2"/>
    <w:rsid w:val="00DC4202"/>
    <w:rsid w:val="00DC5B08"/>
    <w:rsid w:val="00DC5FAF"/>
    <w:rsid w:val="00DD0957"/>
    <w:rsid w:val="00DD2402"/>
    <w:rsid w:val="00DD4B4E"/>
    <w:rsid w:val="00DD5EBF"/>
    <w:rsid w:val="00DE2129"/>
    <w:rsid w:val="00DE4C06"/>
    <w:rsid w:val="00DE5658"/>
    <w:rsid w:val="00DE56C8"/>
    <w:rsid w:val="00DF0643"/>
    <w:rsid w:val="00DF1893"/>
    <w:rsid w:val="00DF34C2"/>
    <w:rsid w:val="00DF583D"/>
    <w:rsid w:val="00DF5AC6"/>
    <w:rsid w:val="00DF60C4"/>
    <w:rsid w:val="00DF73B2"/>
    <w:rsid w:val="00E0141E"/>
    <w:rsid w:val="00E01466"/>
    <w:rsid w:val="00E04B09"/>
    <w:rsid w:val="00E06DC1"/>
    <w:rsid w:val="00E1632E"/>
    <w:rsid w:val="00E16439"/>
    <w:rsid w:val="00E1701B"/>
    <w:rsid w:val="00E25AC4"/>
    <w:rsid w:val="00E25C18"/>
    <w:rsid w:val="00E26D77"/>
    <w:rsid w:val="00E302E5"/>
    <w:rsid w:val="00E34D2A"/>
    <w:rsid w:val="00E35F54"/>
    <w:rsid w:val="00E402DF"/>
    <w:rsid w:val="00E40853"/>
    <w:rsid w:val="00E40D16"/>
    <w:rsid w:val="00E43EC0"/>
    <w:rsid w:val="00E45BDE"/>
    <w:rsid w:val="00E53796"/>
    <w:rsid w:val="00E56794"/>
    <w:rsid w:val="00E603A1"/>
    <w:rsid w:val="00E60596"/>
    <w:rsid w:val="00E61D3F"/>
    <w:rsid w:val="00E64149"/>
    <w:rsid w:val="00E66419"/>
    <w:rsid w:val="00E76CBF"/>
    <w:rsid w:val="00E864F8"/>
    <w:rsid w:val="00E86B0D"/>
    <w:rsid w:val="00E87ADC"/>
    <w:rsid w:val="00E904BF"/>
    <w:rsid w:val="00E92E4D"/>
    <w:rsid w:val="00EA1391"/>
    <w:rsid w:val="00EA2644"/>
    <w:rsid w:val="00EB512F"/>
    <w:rsid w:val="00EB5D05"/>
    <w:rsid w:val="00ED02C8"/>
    <w:rsid w:val="00ED2209"/>
    <w:rsid w:val="00EE590B"/>
    <w:rsid w:val="00EE59E3"/>
    <w:rsid w:val="00EE6603"/>
    <w:rsid w:val="00EE6A7D"/>
    <w:rsid w:val="00EE7969"/>
    <w:rsid w:val="00EF0394"/>
    <w:rsid w:val="00EF3E28"/>
    <w:rsid w:val="00EF742F"/>
    <w:rsid w:val="00F01570"/>
    <w:rsid w:val="00F031A4"/>
    <w:rsid w:val="00F04301"/>
    <w:rsid w:val="00F15809"/>
    <w:rsid w:val="00F1603D"/>
    <w:rsid w:val="00F17E55"/>
    <w:rsid w:val="00F22C20"/>
    <w:rsid w:val="00F25A7A"/>
    <w:rsid w:val="00F25C07"/>
    <w:rsid w:val="00F263E1"/>
    <w:rsid w:val="00F32BB6"/>
    <w:rsid w:val="00F33788"/>
    <w:rsid w:val="00F43AF6"/>
    <w:rsid w:val="00F4696D"/>
    <w:rsid w:val="00F51B18"/>
    <w:rsid w:val="00F53B5D"/>
    <w:rsid w:val="00F62D38"/>
    <w:rsid w:val="00F62D67"/>
    <w:rsid w:val="00F65C21"/>
    <w:rsid w:val="00F670D8"/>
    <w:rsid w:val="00F674ED"/>
    <w:rsid w:val="00F735F1"/>
    <w:rsid w:val="00F73D4C"/>
    <w:rsid w:val="00F80880"/>
    <w:rsid w:val="00F8165E"/>
    <w:rsid w:val="00F84F49"/>
    <w:rsid w:val="00F93043"/>
    <w:rsid w:val="00F94D33"/>
    <w:rsid w:val="00F966A3"/>
    <w:rsid w:val="00F96887"/>
    <w:rsid w:val="00F96BF8"/>
    <w:rsid w:val="00FA0E41"/>
    <w:rsid w:val="00FA36F6"/>
    <w:rsid w:val="00FA7440"/>
    <w:rsid w:val="00FB287D"/>
    <w:rsid w:val="00FB3674"/>
    <w:rsid w:val="00FB4266"/>
    <w:rsid w:val="00FC7676"/>
    <w:rsid w:val="00FD078F"/>
    <w:rsid w:val="00FD2639"/>
    <w:rsid w:val="00FE2AD0"/>
    <w:rsid w:val="00FE5BB6"/>
    <w:rsid w:val="00FE6D5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24B8C-B3A5-44E4-8AEC-4160BF3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1A77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561A77"/>
    <w:pPr>
      <w:keepNext/>
      <w:ind w:firstLine="720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A77"/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rsid w:val="0064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6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64D"/>
  </w:style>
  <w:style w:type="paragraph" w:styleId="BalloonText">
    <w:name w:val="Balloon Text"/>
    <w:basedOn w:val="Normal"/>
    <w:semiHidden/>
    <w:rsid w:val="00B96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E9"/>
    <w:pPr>
      <w:ind w:left="720"/>
    </w:pPr>
  </w:style>
  <w:style w:type="character" w:styleId="CommentReference">
    <w:name w:val="annotation reference"/>
    <w:basedOn w:val="DefaultParagraphFont"/>
    <w:rsid w:val="007B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D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D7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5F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18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6A5A-026B-4166-82B1-9CAC41B9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 Forum 28th February 2007</vt:lpstr>
    </vt:vector>
  </TitlesOfParts>
  <Company>Hartlepool BC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 Forum 28th February 2007</dc:title>
  <dc:creator>ECRSAV</dc:creator>
  <cp:lastModifiedBy>Jo Stubbs</cp:lastModifiedBy>
  <cp:revision>5</cp:revision>
  <cp:lastPrinted>2018-05-02T17:36:00Z</cp:lastPrinted>
  <dcterms:created xsi:type="dcterms:W3CDTF">2020-07-02T18:27:00Z</dcterms:created>
  <dcterms:modified xsi:type="dcterms:W3CDTF">2020-07-07T08:51:00Z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914178136</vt:i4>
  </property>
  <property fmtid="{D5CDD505-2E9C-101B-9397-08002B2CF9AE}" pid="3" name="_NewReviewCycle">
    <vt:lpwstr/>
  </property>
  <property fmtid="{D5CDD505-2E9C-101B-9397-08002B2CF9AE}" pid="4" name="_EmailSubject">
    <vt:lpwstr>Schools Forum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946021395</vt:i4>
  </property>
</Properties>
</file>