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013AF5">
        <w:rPr>
          <w:rFonts w:ascii="Arial" w:hAnsi="Arial" w:cs="Arial"/>
          <w:b/>
          <w:bCs/>
        </w:rPr>
        <w:t>14 July 2020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013AF5">
        <w:rPr>
          <w:rFonts w:ascii="Arial" w:hAnsi="Arial" w:cs="Arial"/>
          <w:b/>
          <w:bCs/>
        </w:rPr>
        <w:t xml:space="preserve">Danielle Swainston (Assistant </w:t>
      </w:r>
      <w:r>
        <w:rPr>
          <w:rFonts w:ascii="Arial" w:hAnsi="Arial" w:cs="Arial"/>
          <w:b/>
          <w:bCs/>
        </w:rPr>
        <w:t>Director</w:t>
      </w:r>
      <w:r w:rsidR="00013AF5">
        <w:rPr>
          <w:rFonts w:ascii="Arial" w:hAnsi="Arial" w:cs="Arial"/>
          <w:b/>
          <w:bCs/>
        </w:rPr>
        <w:t xml:space="preserve"> – Joint Commissioning)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C85A39">
        <w:rPr>
          <w:rFonts w:ascii="Arial" w:hAnsi="Arial" w:cs="Arial"/>
          <w:b/>
          <w:u w:val="single"/>
        </w:rPr>
        <w:t>10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: </w:t>
      </w:r>
      <w:r w:rsidR="003871F0" w:rsidRPr="003871F0">
        <w:rPr>
          <w:rFonts w:ascii="Arial" w:hAnsi="Arial" w:cs="Arial"/>
          <w:b/>
          <w:u w:val="single"/>
        </w:rPr>
        <w:t>High</w:t>
      </w:r>
      <w:r w:rsidR="003871F0">
        <w:rPr>
          <w:rFonts w:ascii="Arial" w:hAnsi="Arial" w:cs="Arial"/>
          <w:b/>
          <w:u w:val="single"/>
        </w:rPr>
        <w:t xml:space="preserve"> </w:t>
      </w:r>
      <w:r w:rsidR="009E43D5">
        <w:rPr>
          <w:rFonts w:ascii="Arial" w:hAnsi="Arial" w:cs="Arial"/>
          <w:b/>
          <w:u w:val="single"/>
        </w:rPr>
        <w:t>Needs</w:t>
      </w:r>
      <w:r w:rsidR="00013AF5">
        <w:rPr>
          <w:rFonts w:ascii="Arial" w:hAnsi="Arial" w:cs="Arial"/>
          <w:b/>
          <w:u w:val="single"/>
        </w:rPr>
        <w:t xml:space="preserve"> </w:t>
      </w:r>
      <w:r w:rsidR="001346EA">
        <w:rPr>
          <w:rFonts w:ascii="Arial" w:hAnsi="Arial" w:cs="Arial"/>
          <w:b/>
          <w:u w:val="single"/>
        </w:rPr>
        <w:t xml:space="preserve">Block </w:t>
      </w:r>
      <w:r w:rsidR="00013AF5">
        <w:rPr>
          <w:rFonts w:ascii="Arial" w:hAnsi="Arial" w:cs="Arial"/>
          <w:b/>
          <w:u w:val="single"/>
        </w:rPr>
        <w:t>Outturn 2019/20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</w:rPr>
      </w:pPr>
    </w:p>
    <w:p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3871F0" w:rsidRPr="00732263" w:rsidRDefault="003871F0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732263">
        <w:rPr>
          <w:rFonts w:ascii="Arial" w:hAnsi="Arial" w:cs="Arial"/>
        </w:rPr>
        <w:t>The purpose of the rep</w:t>
      </w:r>
      <w:r w:rsidR="00B72C8B">
        <w:rPr>
          <w:rFonts w:ascii="Arial" w:hAnsi="Arial" w:cs="Arial"/>
        </w:rPr>
        <w:t xml:space="preserve">ort is to </w:t>
      </w:r>
      <w:r w:rsidR="00507549">
        <w:rPr>
          <w:rFonts w:ascii="Arial" w:hAnsi="Arial" w:cs="Arial"/>
        </w:rPr>
        <w:t>confirm the final</w:t>
      </w:r>
      <w:r w:rsidRPr="00732263">
        <w:rPr>
          <w:rFonts w:ascii="Arial" w:hAnsi="Arial" w:cs="Arial"/>
        </w:rPr>
        <w:t xml:space="preserve"> </w:t>
      </w:r>
      <w:r w:rsidR="00013AF5">
        <w:rPr>
          <w:rFonts w:ascii="Arial" w:hAnsi="Arial" w:cs="Arial"/>
        </w:rPr>
        <w:t>2019/20</w:t>
      </w:r>
      <w:r w:rsidR="00507549">
        <w:rPr>
          <w:rFonts w:ascii="Arial" w:hAnsi="Arial" w:cs="Arial"/>
        </w:rPr>
        <w:t xml:space="preserve"> outturn </w:t>
      </w:r>
      <w:r w:rsidR="009E43D5">
        <w:rPr>
          <w:rFonts w:ascii="Arial" w:hAnsi="Arial" w:cs="Arial"/>
        </w:rPr>
        <w:t>for high needs services.</w:t>
      </w:r>
    </w:p>
    <w:p w:rsidR="0026631E" w:rsidRDefault="0026631E" w:rsidP="0026631E">
      <w:pPr>
        <w:pStyle w:val="ListParagraph"/>
        <w:rPr>
          <w:rFonts w:ascii="Arial" w:hAnsi="Arial" w:cs="Arial"/>
          <w:b/>
          <w:u w:val="single"/>
        </w:rPr>
      </w:pPr>
    </w:p>
    <w:p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ED4F3E" w:rsidRPr="0018543D" w:rsidRDefault="00013AF5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Financial pressures affecting the provision of services for Special Educational Needs and Disabilities (SEND) have been reported to Schools’ Forum at regular intervals during 2019/20.</w:t>
      </w:r>
    </w:p>
    <w:p w:rsidR="0018543D" w:rsidRPr="0018543D" w:rsidRDefault="0018543D" w:rsidP="0018543D">
      <w:pPr>
        <w:pStyle w:val="ListParagraph"/>
        <w:ind w:left="786"/>
        <w:rPr>
          <w:rFonts w:ascii="Arial" w:hAnsi="Arial" w:cs="Arial"/>
          <w:color w:val="FF0000"/>
        </w:rPr>
      </w:pPr>
    </w:p>
    <w:p w:rsidR="001346EA" w:rsidRPr="00ED4F3E" w:rsidRDefault="001346EA" w:rsidP="001346EA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Under disapplication, the authority transferred £0.621m from the Schools Block to the High Needs Block in 2019/20 to support the projected funding shortfall.</w:t>
      </w:r>
    </w:p>
    <w:p w:rsidR="001346EA" w:rsidRPr="001346EA" w:rsidRDefault="001346EA" w:rsidP="001346EA">
      <w:pPr>
        <w:pStyle w:val="ListParagraph"/>
        <w:rPr>
          <w:rFonts w:ascii="Arial" w:hAnsi="Arial" w:cs="Arial"/>
        </w:rPr>
      </w:pPr>
    </w:p>
    <w:p w:rsidR="0018543D" w:rsidRPr="00ED4F3E" w:rsidRDefault="0018543D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latest projection presented to Schools’ Forum esti</w:t>
      </w:r>
      <w:r w:rsidR="001346EA">
        <w:rPr>
          <w:rFonts w:ascii="Arial" w:hAnsi="Arial" w:cs="Arial"/>
        </w:rPr>
        <w:t xml:space="preserve">mated a year-end overspend (after the £0.621m transfer) of £0.532m (best case), £0.739m </w:t>
      </w:r>
      <w:r w:rsidR="003C3884">
        <w:rPr>
          <w:rFonts w:ascii="Arial" w:hAnsi="Arial" w:cs="Arial"/>
        </w:rPr>
        <w:t>(</w:t>
      </w:r>
      <w:r w:rsidR="001346EA">
        <w:rPr>
          <w:rFonts w:ascii="Arial" w:hAnsi="Arial" w:cs="Arial"/>
        </w:rPr>
        <w:t>mid-case</w:t>
      </w:r>
      <w:r w:rsidR="003C3884">
        <w:rPr>
          <w:rFonts w:ascii="Arial" w:hAnsi="Arial" w:cs="Arial"/>
        </w:rPr>
        <w:t>)</w:t>
      </w:r>
      <w:r w:rsidR="001346EA">
        <w:rPr>
          <w:rFonts w:ascii="Arial" w:hAnsi="Arial" w:cs="Arial"/>
        </w:rPr>
        <w:t xml:space="preserve"> and £0.972m</w:t>
      </w:r>
      <w:r>
        <w:rPr>
          <w:rFonts w:ascii="Arial" w:hAnsi="Arial" w:cs="Arial"/>
        </w:rPr>
        <w:t xml:space="preserve"> </w:t>
      </w:r>
      <w:r w:rsidR="003C3884">
        <w:rPr>
          <w:rFonts w:ascii="Arial" w:hAnsi="Arial" w:cs="Arial"/>
        </w:rPr>
        <w:t>(</w:t>
      </w:r>
      <w:r>
        <w:rPr>
          <w:rFonts w:ascii="Arial" w:hAnsi="Arial" w:cs="Arial"/>
        </w:rPr>
        <w:t>worse-case</w:t>
      </w:r>
      <w:r w:rsidR="003C388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0116D" w:rsidRPr="002F069C" w:rsidRDefault="00ED4F3E" w:rsidP="00ED4F3E">
      <w:pPr>
        <w:pStyle w:val="ListParagraph"/>
        <w:ind w:left="786"/>
        <w:rPr>
          <w:rFonts w:ascii="Arial" w:hAnsi="Arial" w:cs="Arial"/>
          <w:color w:val="FF0000"/>
        </w:rPr>
      </w:pPr>
      <w:r w:rsidRPr="00ED4F3E">
        <w:rPr>
          <w:rFonts w:ascii="Arial" w:hAnsi="Arial" w:cs="Arial"/>
          <w:color w:val="FF0000"/>
        </w:rPr>
        <w:t xml:space="preserve"> </w:t>
      </w:r>
    </w:p>
    <w:p w:rsidR="002F069C" w:rsidRPr="004E4BFB" w:rsidRDefault="001346EA" w:rsidP="0040116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741D19" w:rsidRPr="00741D19">
        <w:rPr>
          <w:rFonts w:ascii="Arial" w:hAnsi="Arial" w:cs="Arial"/>
          <w:b/>
        </w:rPr>
        <w:t xml:space="preserve">. </w:t>
      </w:r>
      <w:r w:rsidR="00741D19" w:rsidRPr="00741D19">
        <w:rPr>
          <w:rFonts w:ascii="Arial" w:hAnsi="Arial" w:cs="Arial"/>
          <w:b/>
        </w:rPr>
        <w:tab/>
      </w:r>
      <w:r w:rsidR="00741D19" w:rsidRPr="00741D1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2019/20</w:t>
      </w:r>
      <w:r w:rsidR="002F069C" w:rsidRPr="004E4B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Outturn</w:t>
      </w:r>
    </w:p>
    <w:p w:rsidR="0051311E" w:rsidRDefault="0051311E" w:rsidP="0040116D">
      <w:pPr>
        <w:ind w:left="360" w:hanging="360"/>
        <w:rPr>
          <w:rFonts w:ascii="Arial" w:hAnsi="Arial" w:cs="Arial"/>
        </w:rPr>
      </w:pPr>
    </w:p>
    <w:p w:rsidR="008A226A" w:rsidRDefault="002B4790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9D7961">
        <w:rPr>
          <w:rFonts w:ascii="Arial" w:hAnsi="Arial" w:cs="Arial"/>
        </w:rPr>
        <w:t xml:space="preserve">The </w:t>
      </w:r>
      <w:r w:rsidR="00DD0E20">
        <w:rPr>
          <w:rFonts w:ascii="Arial" w:hAnsi="Arial" w:cs="Arial"/>
        </w:rPr>
        <w:t xml:space="preserve">final outturn </w:t>
      </w:r>
      <w:r w:rsidR="001346EA">
        <w:rPr>
          <w:rFonts w:ascii="Arial" w:hAnsi="Arial" w:cs="Arial"/>
        </w:rPr>
        <w:t>for 2019/20</w:t>
      </w:r>
      <w:r w:rsidR="003B27BE">
        <w:rPr>
          <w:rFonts w:ascii="Arial" w:hAnsi="Arial" w:cs="Arial"/>
        </w:rPr>
        <w:t xml:space="preserve"> </w:t>
      </w:r>
      <w:r w:rsidR="00DD0E20">
        <w:rPr>
          <w:rFonts w:ascii="Arial" w:hAnsi="Arial" w:cs="Arial"/>
        </w:rPr>
        <w:t xml:space="preserve">is </w:t>
      </w:r>
      <w:r w:rsidR="001346EA">
        <w:rPr>
          <w:rFonts w:ascii="Arial" w:hAnsi="Arial" w:cs="Arial"/>
        </w:rPr>
        <w:t xml:space="preserve">an overspend of </w:t>
      </w:r>
      <w:r w:rsidR="00911F8A">
        <w:rPr>
          <w:rFonts w:ascii="Arial" w:hAnsi="Arial" w:cs="Arial"/>
          <w:b/>
        </w:rPr>
        <w:t>£0.521</w:t>
      </w:r>
      <w:r w:rsidR="00187032" w:rsidRPr="004E4B4D">
        <w:rPr>
          <w:rFonts w:ascii="Arial" w:hAnsi="Arial" w:cs="Arial"/>
          <w:b/>
        </w:rPr>
        <w:t>m</w:t>
      </w:r>
      <w:r w:rsidR="00187032">
        <w:rPr>
          <w:rFonts w:ascii="Arial" w:hAnsi="Arial" w:cs="Arial"/>
        </w:rPr>
        <w:t xml:space="preserve">. This is summarised by each area of spend in the table below. </w:t>
      </w:r>
      <w:r w:rsidR="008A226A">
        <w:rPr>
          <w:rFonts w:ascii="Arial" w:hAnsi="Arial" w:cs="Arial"/>
        </w:rPr>
        <w:t xml:space="preserve">The paragraphs that follow explain the </w:t>
      </w:r>
      <w:r w:rsidR="003B27BE">
        <w:rPr>
          <w:rFonts w:ascii="Arial" w:hAnsi="Arial" w:cs="Arial"/>
        </w:rPr>
        <w:t xml:space="preserve">main </w:t>
      </w:r>
      <w:r w:rsidR="008A226A">
        <w:rPr>
          <w:rFonts w:ascii="Arial" w:hAnsi="Arial" w:cs="Arial"/>
        </w:rPr>
        <w:t>change</w:t>
      </w:r>
      <w:r w:rsidR="003B27BE">
        <w:rPr>
          <w:rFonts w:ascii="Arial" w:hAnsi="Arial" w:cs="Arial"/>
        </w:rPr>
        <w:t>s</w:t>
      </w:r>
      <w:r w:rsidR="008A226A">
        <w:rPr>
          <w:rFonts w:ascii="Arial" w:hAnsi="Arial" w:cs="Arial"/>
        </w:rPr>
        <w:t xml:space="preserve"> in </w:t>
      </w:r>
      <w:r w:rsidR="00980EB8">
        <w:rPr>
          <w:rFonts w:ascii="Arial" w:hAnsi="Arial" w:cs="Arial"/>
        </w:rPr>
        <w:t>the final outturn</w:t>
      </w:r>
      <w:r w:rsidR="008A226A">
        <w:rPr>
          <w:rFonts w:ascii="Arial" w:hAnsi="Arial" w:cs="Arial"/>
        </w:rPr>
        <w:t xml:space="preserve"> from the last update.</w:t>
      </w:r>
    </w:p>
    <w:p w:rsidR="004E4BFB" w:rsidRDefault="004E4BFB" w:rsidP="0040116D">
      <w:pPr>
        <w:ind w:left="360" w:hanging="360"/>
        <w:rPr>
          <w:rFonts w:ascii="Arial" w:hAnsi="Arial" w:cs="Arial"/>
        </w:rPr>
      </w:pPr>
    </w:p>
    <w:tbl>
      <w:tblPr>
        <w:tblW w:w="7190" w:type="dxa"/>
        <w:tblInd w:w="641" w:type="dxa"/>
        <w:tblLook w:val="04A0" w:firstRow="1" w:lastRow="0" w:firstColumn="1" w:lastColumn="0" w:noHBand="0" w:noVBand="1"/>
      </w:tblPr>
      <w:tblGrid>
        <w:gridCol w:w="3402"/>
        <w:gridCol w:w="1276"/>
        <w:gridCol w:w="1255"/>
        <w:gridCol w:w="1257"/>
      </w:tblGrid>
      <w:tr w:rsidR="00936635" w:rsidRPr="006670F8" w:rsidTr="00936635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36635" w:rsidRPr="006670F8" w:rsidRDefault="00187032" w:rsidP="00980EB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High Needs Outturn 2019/20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36635" w:rsidRDefault="00187032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Revised Budget 2019/20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 w:rsidRPr="006670F8"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936635" w:rsidRDefault="00187032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 Outturn 2019/20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936635" w:rsidRPr="00C434FA" w:rsidRDefault="00936635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Final</w:t>
            </w:r>
          </w:p>
          <w:p w:rsidR="00936635" w:rsidRDefault="00187032" w:rsidP="00C434F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Variance 2019/20</w:t>
            </w:r>
          </w:p>
          <w:p w:rsidR="00936635" w:rsidRPr="006670F8" w:rsidRDefault="00936635" w:rsidP="00BE56CB">
            <w:pPr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£m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place funding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F01A48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1.426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911F8A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911F8A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 w:rsidRPr="0026631E">
              <w:rPr>
                <w:rFonts w:ascii="Arial" w:hAnsi="Arial" w:cs="Arial"/>
                <w:color w:val="000000"/>
                <w:sz w:val="22"/>
                <w:szCs w:val="22"/>
              </w:rPr>
              <w:t>Independent school fees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18703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2.460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(0.234)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 of authority top-ups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18703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(0.091)</w:t>
            </w:r>
          </w:p>
        </w:tc>
      </w:tr>
      <w:tr w:rsidR="00187032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032" w:rsidRDefault="00187032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Exclusions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032" w:rsidRP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6D415F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032" w:rsidRP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6D415F">
              <w:rPr>
                <w:rFonts w:ascii="Arial" w:hAnsi="Arial" w:cs="Arial"/>
                <w:color w:val="000000"/>
                <w:sz w:val="22"/>
                <w:szCs w:val="22"/>
              </w:rPr>
              <w:t>(0.029)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032" w:rsidRP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 w:rsidRPr="006D415F">
              <w:rPr>
                <w:rFonts w:ascii="Arial" w:hAnsi="Arial" w:cs="Arial"/>
                <w:color w:val="000000"/>
                <w:sz w:val="22"/>
                <w:szCs w:val="22"/>
              </w:rPr>
              <w:t>(0.029)</w:t>
            </w:r>
          </w:p>
        </w:tc>
      </w:tr>
      <w:tr w:rsidR="006D415F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F" w:rsidRDefault="006D415F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Pupil Referral 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15F" w:rsidRDefault="006D415F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0.352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Top-up funding and support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26631E" w:rsidRDefault="0018703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4.135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4.374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0.239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Post-16 top-up funding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18703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Support services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Default="00936635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635" w:rsidRPr="00F01A48" w:rsidRDefault="005C1EF2" w:rsidP="00980EB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936635" w:rsidRDefault="00936635" w:rsidP="00980EB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Total Outturn </w:t>
            </w:r>
          </w:p>
          <w:p w:rsidR="00936635" w:rsidRPr="00212490" w:rsidRDefault="00936635" w:rsidP="00980EB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(before funding changes)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36635" w:rsidRPr="0026631E" w:rsidRDefault="00187032" w:rsidP="002B479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9.745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5C1EF2" w:rsidRDefault="00936635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:rsidR="005C1EF2" w:rsidRPr="005C1EF2" w:rsidRDefault="00911F8A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10.098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C1EF2" w:rsidRPr="005C1EF2" w:rsidRDefault="005C1EF2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  <w:p w:rsidR="00936635" w:rsidRPr="005C1EF2" w:rsidRDefault="00911F8A" w:rsidP="00980EB8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0.353</w:t>
            </w:r>
          </w:p>
        </w:tc>
      </w:tr>
      <w:tr w:rsidR="00936635" w:rsidRPr="0039065B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635" w:rsidRPr="0039065B" w:rsidRDefault="00187032" w:rsidP="00C43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 / export adjustment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635" w:rsidRPr="0039065B" w:rsidRDefault="005C1EF2" w:rsidP="00C434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635" w:rsidRPr="005C1EF2" w:rsidRDefault="005C1EF2" w:rsidP="005C1EF2">
            <w:pPr>
              <w:jc w:val="right"/>
              <w:rPr>
                <w:rFonts w:ascii="Arial" w:hAnsi="Arial" w:cs="Arial"/>
                <w:color w:val="000000"/>
              </w:rPr>
            </w:pPr>
            <w:r w:rsidRPr="005C1EF2"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6635" w:rsidRPr="005C1EF2" w:rsidRDefault="005C1EF2" w:rsidP="005C1EF2">
            <w:pPr>
              <w:jc w:val="right"/>
              <w:rPr>
                <w:rFonts w:ascii="Arial" w:hAnsi="Arial" w:cs="Arial"/>
                <w:color w:val="000000"/>
              </w:rPr>
            </w:pPr>
            <w:r w:rsidRPr="005C1EF2"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</w:tr>
      <w:tr w:rsidR="00936635" w:rsidRPr="006670F8" w:rsidTr="00936635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936635" w:rsidRDefault="00187032" w:rsidP="00C434F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Final position 2019/20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36635" w:rsidRPr="0026631E" w:rsidRDefault="005C1EF2" w:rsidP="00C434FA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9.745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5C1EF2" w:rsidRDefault="00911F8A" w:rsidP="00DD0E20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10.266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36635" w:rsidRPr="005C1EF2" w:rsidRDefault="00911F8A" w:rsidP="00C434FA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0.521</w:t>
            </w:r>
          </w:p>
        </w:tc>
      </w:tr>
    </w:tbl>
    <w:p w:rsidR="0051311E" w:rsidRDefault="0051311E" w:rsidP="0040116D">
      <w:pPr>
        <w:ind w:left="360" w:hanging="360"/>
        <w:rPr>
          <w:rFonts w:ascii="Arial" w:hAnsi="Arial" w:cs="Arial"/>
        </w:rPr>
      </w:pPr>
    </w:p>
    <w:p w:rsidR="00BE6D2A" w:rsidRPr="00B63511" w:rsidRDefault="00C12D6E" w:rsidP="00F2265C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.1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Local authority place funding </w:t>
      </w:r>
      <w:r w:rsidR="004E4B4D">
        <w:rPr>
          <w:rFonts w:ascii="Arial" w:hAnsi="Arial" w:cs="Arial"/>
          <w:u w:val="single"/>
        </w:rPr>
        <w:t>(on budget</w:t>
      </w:r>
      <w:r w:rsidR="00C601E2">
        <w:rPr>
          <w:rFonts w:ascii="Arial" w:hAnsi="Arial" w:cs="Arial"/>
          <w:u w:val="single"/>
        </w:rPr>
        <w:t>).</w:t>
      </w:r>
      <w:r w:rsidR="00732263" w:rsidRPr="002F069C">
        <w:rPr>
          <w:rFonts w:ascii="Arial" w:hAnsi="Arial" w:cs="Arial"/>
          <w:b/>
          <w:u w:val="single"/>
        </w:rPr>
        <w:br/>
      </w:r>
      <w:r w:rsidR="00C601E2">
        <w:rPr>
          <w:rFonts w:ascii="Arial" w:hAnsi="Arial" w:cs="Arial"/>
        </w:rPr>
        <w:t xml:space="preserve">The </w:t>
      </w:r>
      <w:r w:rsidR="00911F8A">
        <w:rPr>
          <w:rFonts w:ascii="Arial" w:hAnsi="Arial" w:cs="Arial"/>
        </w:rPr>
        <w:t>final outturn was in line with the reported projection.</w:t>
      </w:r>
    </w:p>
    <w:p w:rsidR="002F150B" w:rsidRDefault="002F150B" w:rsidP="004E4BFB">
      <w:pPr>
        <w:ind w:left="360"/>
        <w:rPr>
          <w:rFonts w:ascii="Arial" w:hAnsi="Arial" w:cs="Arial"/>
        </w:rPr>
      </w:pPr>
    </w:p>
    <w:p w:rsidR="00F2265C" w:rsidRPr="006E3489" w:rsidRDefault="00C12D6E">
      <w:pPr>
        <w:pStyle w:val="ListParagraph"/>
        <w:ind w:left="709" w:hanging="64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.2</w:t>
      </w:r>
      <w:r w:rsidR="00B63511">
        <w:rPr>
          <w:rFonts w:ascii="Arial" w:hAnsi="Arial" w:cs="Arial"/>
        </w:rPr>
        <w:tab/>
      </w:r>
      <w:r w:rsidR="00E0381A" w:rsidRPr="006E3489">
        <w:rPr>
          <w:rFonts w:ascii="Arial" w:hAnsi="Arial" w:cs="Arial"/>
          <w:u w:val="single"/>
        </w:rPr>
        <w:t>Independent</w:t>
      </w:r>
      <w:r w:rsidR="00C601E2">
        <w:rPr>
          <w:rFonts w:ascii="Arial" w:hAnsi="Arial" w:cs="Arial"/>
          <w:u w:val="single"/>
        </w:rPr>
        <w:t xml:space="preserve"> school fees (£0.234</w:t>
      </w:r>
      <w:r w:rsidR="00B120D0" w:rsidRPr="006E3489">
        <w:rPr>
          <w:rFonts w:ascii="Arial" w:hAnsi="Arial" w:cs="Arial"/>
          <w:u w:val="single"/>
        </w:rPr>
        <w:t>m und</w:t>
      </w:r>
      <w:r w:rsidR="00F2265C" w:rsidRPr="006E3489">
        <w:rPr>
          <w:rFonts w:ascii="Arial" w:hAnsi="Arial" w:cs="Arial"/>
          <w:u w:val="single"/>
        </w:rPr>
        <w:t>erspend)</w:t>
      </w:r>
    </w:p>
    <w:p w:rsidR="004C5FD4" w:rsidRDefault="00C601E2" w:rsidP="00F2265C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final outturn position improved from the previously reported mid-case overspend projection of £0.035m. </w:t>
      </w:r>
      <w:r w:rsidR="001A1633">
        <w:rPr>
          <w:rFonts w:ascii="Arial" w:hAnsi="Arial" w:cs="Arial"/>
        </w:rPr>
        <w:t xml:space="preserve">Although a greater number of SEND pupils were placed in </w:t>
      </w:r>
      <w:r w:rsidR="001A1633">
        <w:rPr>
          <w:rFonts w:ascii="Arial" w:hAnsi="Arial" w:cs="Arial"/>
        </w:rPr>
        <w:lastRenderedPageBreak/>
        <w:t>Independent School provision than assumed in our budget, the average cost per pupil across the whole of the year was significantly lower than anticipated.</w:t>
      </w:r>
    </w:p>
    <w:p w:rsidR="00C601E2" w:rsidRDefault="00C601E2" w:rsidP="00F2265C">
      <w:pPr>
        <w:pStyle w:val="ListParagraph"/>
        <w:ind w:left="709"/>
        <w:rPr>
          <w:rFonts w:ascii="Arial" w:hAnsi="Arial" w:cs="Arial"/>
        </w:rPr>
      </w:pPr>
    </w:p>
    <w:p w:rsidR="00C601E2" w:rsidRDefault="00C601E2" w:rsidP="00C601E2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A1633">
        <w:rPr>
          <w:rFonts w:ascii="Arial" w:hAnsi="Arial" w:cs="Arial"/>
        </w:rPr>
        <w:t>2019/20 budget was predicated on 50 placements at an averag</w:t>
      </w:r>
      <w:r w:rsidR="001A1633" w:rsidRPr="001A1633">
        <w:rPr>
          <w:rFonts w:ascii="Arial" w:hAnsi="Arial" w:cs="Arial"/>
        </w:rPr>
        <w:t>e cost of £49k per place. During the whole of 2019/20</w:t>
      </w:r>
      <w:r w:rsidRPr="001A1633">
        <w:rPr>
          <w:rFonts w:ascii="Arial" w:hAnsi="Arial" w:cs="Arial"/>
        </w:rPr>
        <w:t xml:space="preserve">, there were </w:t>
      </w:r>
      <w:r w:rsidR="001A1633" w:rsidRPr="001A1633">
        <w:rPr>
          <w:rFonts w:ascii="Arial" w:hAnsi="Arial" w:cs="Arial"/>
        </w:rPr>
        <w:t>5</w:t>
      </w:r>
      <w:r w:rsidRPr="001A1633">
        <w:rPr>
          <w:rFonts w:ascii="Arial" w:hAnsi="Arial" w:cs="Arial"/>
        </w:rPr>
        <w:t xml:space="preserve">7 children placed in independent schools at an average cost of </w:t>
      </w:r>
      <w:r w:rsidR="001A1633" w:rsidRPr="001A1633">
        <w:rPr>
          <w:rFonts w:ascii="Arial" w:hAnsi="Arial" w:cs="Arial"/>
        </w:rPr>
        <w:t>£39</w:t>
      </w:r>
      <w:r w:rsidRPr="001A1633">
        <w:rPr>
          <w:rFonts w:ascii="Arial" w:hAnsi="Arial" w:cs="Arial"/>
        </w:rPr>
        <w:t xml:space="preserve">k per place. </w:t>
      </w:r>
      <w:r w:rsidR="001A1633" w:rsidRPr="001A1633">
        <w:rPr>
          <w:rFonts w:ascii="Arial" w:hAnsi="Arial" w:cs="Arial"/>
        </w:rPr>
        <w:t>Sixteen</w:t>
      </w:r>
      <w:r w:rsidRPr="001A1633">
        <w:rPr>
          <w:rFonts w:ascii="Arial" w:hAnsi="Arial" w:cs="Arial"/>
        </w:rPr>
        <w:t xml:space="preserve"> of the </w:t>
      </w:r>
      <w:r w:rsidR="001A1633" w:rsidRPr="001A1633">
        <w:rPr>
          <w:rFonts w:ascii="Arial" w:hAnsi="Arial" w:cs="Arial"/>
        </w:rPr>
        <w:t>5</w:t>
      </w:r>
      <w:r w:rsidRPr="001A1633">
        <w:rPr>
          <w:rFonts w:ascii="Arial" w:hAnsi="Arial" w:cs="Arial"/>
        </w:rPr>
        <w:t xml:space="preserve">7 children were new commitments that started during the 2019/20 financial year. </w:t>
      </w:r>
      <w:r w:rsidR="001A1633" w:rsidRPr="001A1633">
        <w:rPr>
          <w:rFonts w:ascii="Arial" w:hAnsi="Arial" w:cs="Arial"/>
        </w:rPr>
        <w:t>Twelve</w:t>
      </w:r>
      <w:r w:rsidRPr="001A1633">
        <w:rPr>
          <w:rFonts w:ascii="Arial" w:hAnsi="Arial" w:cs="Arial"/>
        </w:rPr>
        <w:t xml:space="preserve"> children left placements during 2019/20.</w:t>
      </w:r>
      <w:r>
        <w:rPr>
          <w:rFonts w:ascii="Arial" w:hAnsi="Arial" w:cs="Arial"/>
        </w:rPr>
        <w:t xml:space="preserve"> </w:t>
      </w:r>
    </w:p>
    <w:p w:rsidR="00C601E2" w:rsidRDefault="00C601E2" w:rsidP="00C601E2">
      <w:pPr>
        <w:pStyle w:val="ListParagraph"/>
        <w:ind w:left="709"/>
        <w:rPr>
          <w:rFonts w:ascii="Arial" w:hAnsi="Arial" w:cs="Arial"/>
        </w:rPr>
      </w:pPr>
    </w:p>
    <w:p w:rsidR="00C601E2" w:rsidRPr="00654E01" w:rsidRDefault="00C601E2" w:rsidP="00C601E2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The previously reported mid-case outturn projection included an estimated cost for potential new placements expected to start before 3</w:t>
      </w:r>
      <w:r w:rsidRPr="001A1633">
        <w:rPr>
          <w:rFonts w:ascii="Arial" w:hAnsi="Arial" w:cs="Arial"/>
        </w:rPr>
        <w:t>1 March 2020, along with potential placement cost increases at an estimated total cost of £0.129m</w:t>
      </w:r>
      <w:r w:rsidR="00400A90" w:rsidRPr="001A1633">
        <w:rPr>
          <w:rFonts w:ascii="Arial" w:hAnsi="Arial" w:cs="Arial"/>
        </w:rPr>
        <w:t xml:space="preserve">. </w:t>
      </w:r>
      <w:r w:rsidR="001A1633" w:rsidRPr="001A1633">
        <w:rPr>
          <w:rFonts w:ascii="Arial" w:hAnsi="Arial" w:cs="Arial"/>
        </w:rPr>
        <w:t>Of these potential costs, £0.026m did not materialise before year-end.</w:t>
      </w:r>
    </w:p>
    <w:p w:rsidR="00C601E2" w:rsidRDefault="00C601E2" w:rsidP="00F2265C">
      <w:pPr>
        <w:pStyle w:val="ListParagraph"/>
        <w:ind w:left="709"/>
        <w:rPr>
          <w:rFonts w:ascii="Arial" w:hAnsi="Arial" w:cs="Arial"/>
        </w:rPr>
      </w:pPr>
    </w:p>
    <w:p w:rsidR="00F2265C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.3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 xml:space="preserve">Out of </w:t>
      </w:r>
      <w:r w:rsidR="00400A90">
        <w:rPr>
          <w:rFonts w:ascii="Arial" w:hAnsi="Arial" w:cs="Arial"/>
          <w:u w:val="single"/>
        </w:rPr>
        <w:t>authority top-ups (£0.091m und</w:t>
      </w:r>
      <w:r w:rsidR="00B120D0">
        <w:rPr>
          <w:rFonts w:ascii="Arial" w:hAnsi="Arial" w:cs="Arial"/>
          <w:u w:val="single"/>
        </w:rPr>
        <w:t>erspend</w:t>
      </w:r>
      <w:r w:rsidR="00F2265C" w:rsidRPr="00F2265C">
        <w:rPr>
          <w:rFonts w:ascii="Arial" w:hAnsi="Arial" w:cs="Arial"/>
          <w:u w:val="single"/>
        </w:rPr>
        <w:t>)</w:t>
      </w:r>
    </w:p>
    <w:p w:rsidR="00732263" w:rsidRDefault="00400A90" w:rsidP="004E4B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final outturn was in line with the previously reported projection of £0.095m underspend (mid-case).</w:t>
      </w:r>
    </w:p>
    <w:p w:rsidR="0022097E" w:rsidRPr="00732263" w:rsidRDefault="0022097E" w:rsidP="004E4BFB">
      <w:pPr>
        <w:pStyle w:val="ListParagraph"/>
        <w:rPr>
          <w:rFonts w:ascii="Arial" w:hAnsi="Arial" w:cs="Arial"/>
        </w:rPr>
      </w:pPr>
    </w:p>
    <w:p w:rsidR="00400A90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3511">
        <w:rPr>
          <w:rFonts w:ascii="Arial" w:hAnsi="Arial" w:cs="Arial"/>
        </w:rPr>
        <w:t>.4</w:t>
      </w:r>
      <w:r w:rsidR="00B63511">
        <w:rPr>
          <w:rFonts w:ascii="Arial" w:hAnsi="Arial" w:cs="Arial"/>
        </w:rPr>
        <w:tab/>
      </w:r>
      <w:r w:rsidR="00400A90" w:rsidRPr="00400A90">
        <w:rPr>
          <w:rFonts w:ascii="Arial" w:hAnsi="Arial" w:cs="Arial"/>
          <w:u w:val="single"/>
        </w:rPr>
        <w:t>Exclusions</w:t>
      </w:r>
      <w:r w:rsidR="003C3884">
        <w:rPr>
          <w:rFonts w:ascii="Arial" w:hAnsi="Arial" w:cs="Arial"/>
          <w:u w:val="single"/>
        </w:rPr>
        <w:t xml:space="preserve"> (£0.029m und</w:t>
      </w:r>
      <w:r w:rsidR="00400A90">
        <w:rPr>
          <w:rFonts w:ascii="Arial" w:hAnsi="Arial" w:cs="Arial"/>
          <w:u w:val="single"/>
        </w:rPr>
        <w:t>erspend)</w:t>
      </w:r>
    </w:p>
    <w:p w:rsidR="003C3884" w:rsidRDefault="003C3884" w:rsidP="00400A90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This budget head funds the cost of alternative provision for permanently excluded pupils and receives income from AWPU clawback from schools for those pupils that are permanently excluded. </w:t>
      </w:r>
      <w:r w:rsidR="00400A90">
        <w:rPr>
          <w:rFonts w:ascii="Arial" w:hAnsi="Arial" w:cs="Arial"/>
        </w:rPr>
        <w:t>The final outturn was an improve</w:t>
      </w:r>
      <w:r>
        <w:rPr>
          <w:rFonts w:ascii="Arial" w:hAnsi="Arial" w:cs="Arial"/>
        </w:rPr>
        <w:t>d position from the projected mid-case overspend</w:t>
      </w:r>
      <w:r w:rsidR="00400A90" w:rsidRPr="00F8207A">
        <w:rPr>
          <w:rFonts w:ascii="Arial" w:hAnsi="Arial" w:cs="Arial"/>
        </w:rPr>
        <w:t xml:space="preserve">. </w:t>
      </w:r>
      <w:r w:rsidR="00F8207A" w:rsidRPr="00F8207A">
        <w:rPr>
          <w:rFonts w:ascii="Arial" w:hAnsi="Arial" w:cs="Arial"/>
        </w:rPr>
        <w:t xml:space="preserve">Income from </w:t>
      </w:r>
      <w:r w:rsidR="00400A90" w:rsidRPr="00F8207A">
        <w:rPr>
          <w:rFonts w:ascii="Arial" w:hAnsi="Arial" w:cs="Arial"/>
        </w:rPr>
        <w:t>AWPU clawback</w:t>
      </w:r>
      <w:r w:rsidR="00F8207A" w:rsidRPr="00F8207A">
        <w:rPr>
          <w:rFonts w:ascii="Arial" w:hAnsi="Arial" w:cs="Arial"/>
        </w:rPr>
        <w:t xml:space="preserve"> linked to permanent exclusions was £0.043m higher than anticipated</w:t>
      </w:r>
      <w:r w:rsidR="00400A90" w:rsidRPr="00F8207A">
        <w:rPr>
          <w:rFonts w:ascii="Arial" w:hAnsi="Arial" w:cs="Arial"/>
        </w:rPr>
        <w:t>.</w:t>
      </w:r>
      <w:r w:rsidR="00F8207A" w:rsidRPr="00F8207A">
        <w:rPr>
          <w:rFonts w:ascii="Arial" w:hAnsi="Arial" w:cs="Arial"/>
        </w:rPr>
        <w:t xml:space="preserve"> Unbudgeted income was received in the final quarter for pupil premium, teacher’s pension grant and universal free school meals grant amounting to £0.030m. </w:t>
      </w:r>
    </w:p>
    <w:p w:rsidR="003C3884" w:rsidRDefault="003C3884" w:rsidP="003C3884">
      <w:pPr>
        <w:rPr>
          <w:rFonts w:ascii="Arial" w:hAnsi="Arial" w:cs="Arial"/>
        </w:rPr>
      </w:pPr>
    </w:p>
    <w:p w:rsidR="003C3884" w:rsidRDefault="003C3884" w:rsidP="003C388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 w:rsidRPr="003C3884">
        <w:rPr>
          <w:rFonts w:ascii="Arial" w:hAnsi="Arial" w:cs="Arial"/>
          <w:u w:val="single"/>
        </w:rPr>
        <w:t>Pupil Referral Unit (PRU)</w:t>
      </w:r>
      <w:r>
        <w:rPr>
          <w:rFonts w:ascii="Arial" w:hAnsi="Arial" w:cs="Arial"/>
          <w:u w:val="single"/>
        </w:rPr>
        <w:t xml:space="preserve"> (£0.352m overspend)</w:t>
      </w:r>
    </w:p>
    <w:p w:rsidR="00400A90" w:rsidRDefault="00F8207A" w:rsidP="003C3884">
      <w:pPr>
        <w:ind w:left="709"/>
        <w:rPr>
          <w:rFonts w:ascii="Arial" w:hAnsi="Arial" w:cs="Arial"/>
        </w:rPr>
      </w:pPr>
      <w:r w:rsidRPr="00F8207A">
        <w:rPr>
          <w:rFonts w:ascii="Arial" w:hAnsi="Arial" w:cs="Arial"/>
        </w:rPr>
        <w:t>Required high needs funding for the PRU (pla</w:t>
      </w:r>
      <w:r w:rsidR="006D415F">
        <w:rPr>
          <w:rFonts w:ascii="Arial" w:hAnsi="Arial" w:cs="Arial"/>
        </w:rPr>
        <w:t>ce funding and top-up) was £0.078</w:t>
      </w:r>
      <w:r w:rsidRPr="00F8207A">
        <w:rPr>
          <w:rFonts w:ascii="Arial" w:hAnsi="Arial" w:cs="Arial"/>
        </w:rPr>
        <w:t>m lower than projected</w:t>
      </w:r>
      <w:r w:rsidR="006D415F">
        <w:rPr>
          <w:rFonts w:ascii="Arial" w:hAnsi="Arial" w:cs="Arial"/>
        </w:rPr>
        <w:t xml:space="preserve"> previously</w:t>
      </w:r>
      <w:r w:rsidRPr="00F8207A">
        <w:rPr>
          <w:rFonts w:ascii="Arial" w:hAnsi="Arial" w:cs="Arial"/>
        </w:rPr>
        <w:t>. The PRU was able to generate additional income from grant and from Home Hospital recharges than expected requiring less support from the high needs block to reach a break-even position.</w:t>
      </w:r>
    </w:p>
    <w:p w:rsidR="00400A90" w:rsidRDefault="00400A90">
      <w:pPr>
        <w:ind w:left="709" w:hanging="709"/>
        <w:rPr>
          <w:rFonts w:ascii="Arial" w:hAnsi="Arial" w:cs="Arial"/>
        </w:rPr>
      </w:pPr>
    </w:p>
    <w:p w:rsidR="00F2265C" w:rsidRDefault="006D415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400A90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>Top-u</w:t>
      </w:r>
      <w:r w:rsidR="00400A90">
        <w:rPr>
          <w:rFonts w:ascii="Arial" w:hAnsi="Arial" w:cs="Arial"/>
          <w:u w:val="single"/>
        </w:rPr>
        <w:t>p funding and support (£0.239</w:t>
      </w:r>
      <w:r w:rsidR="00F2265C" w:rsidRPr="00F2265C">
        <w:rPr>
          <w:rFonts w:ascii="Arial" w:hAnsi="Arial" w:cs="Arial"/>
          <w:u w:val="single"/>
        </w:rPr>
        <w:t>m overspend)</w:t>
      </w:r>
    </w:p>
    <w:p w:rsidR="004A3200" w:rsidRDefault="00400A90" w:rsidP="00F2265C">
      <w:pPr>
        <w:ind w:left="709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The final overspend was £0.054m higher than projected (mid-case). </w:t>
      </w:r>
      <w:r w:rsidR="00311B40">
        <w:rPr>
          <w:rFonts w:ascii="Arial" w:hAnsi="Arial" w:cs="Arial"/>
        </w:rPr>
        <w:t>This relates primarily to additional top-up payments for SEND pupils above number at both Springwell and Catcote in the final quarter.</w:t>
      </w:r>
    </w:p>
    <w:p w:rsidR="00385AB3" w:rsidRDefault="00385AB3">
      <w:pPr>
        <w:ind w:left="709" w:hanging="709"/>
        <w:rPr>
          <w:rFonts w:ascii="Arial" w:hAnsi="Arial" w:cs="Arial"/>
        </w:rPr>
      </w:pPr>
    </w:p>
    <w:p w:rsidR="00F2265C" w:rsidRDefault="00C12D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415F">
        <w:rPr>
          <w:rFonts w:ascii="Arial" w:hAnsi="Arial" w:cs="Arial"/>
        </w:rPr>
        <w:t>.7</w:t>
      </w:r>
      <w:r w:rsidR="00B63511">
        <w:rPr>
          <w:rFonts w:ascii="Arial" w:hAnsi="Arial" w:cs="Arial"/>
        </w:rPr>
        <w:tab/>
      </w:r>
      <w:r w:rsidR="00F2265C" w:rsidRPr="00F2265C">
        <w:rPr>
          <w:rFonts w:ascii="Arial" w:hAnsi="Arial" w:cs="Arial"/>
          <w:u w:val="single"/>
        </w:rPr>
        <w:t>Po</w:t>
      </w:r>
      <w:r w:rsidR="00311B40">
        <w:rPr>
          <w:rFonts w:ascii="Arial" w:hAnsi="Arial" w:cs="Arial"/>
          <w:u w:val="single"/>
        </w:rPr>
        <w:t>st-16 top-up funding (£0.101m ov</w:t>
      </w:r>
      <w:r w:rsidR="00725E24">
        <w:rPr>
          <w:rFonts w:ascii="Arial" w:hAnsi="Arial" w:cs="Arial"/>
          <w:u w:val="single"/>
        </w:rPr>
        <w:t>erspend</w:t>
      </w:r>
      <w:r w:rsidR="00F2265C" w:rsidRPr="00F2265C">
        <w:rPr>
          <w:rFonts w:ascii="Arial" w:hAnsi="Arial" w:cs="Arial"/>
          <w:u w:val="single"/>
        </w:rPr>
        <w:t>)</w:t>
      </w:r>
    </w:p>
    <w:p w:rsidR="004C5FD4" w:rsidRDefault="00311B40" w:rsidP="00F2265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The final outturn changed significantly from the mid-case projection of £0.093m underspend). </w:t>
      </w:r>
      <w:r w:rsidR="00172F8F">
        <w:rPr>
          <w:rFonts w:ascii="Arial" w:hAnsi="Arial" w:cs="Arial"/>
        </w:rPr>
        <w:t>As reported previously, this element of spend is difficult to predict as spending commitments are linked to student choice on whether to continue their education. The previous projection assumed a pro-rata spend in quarter 4, however, the actual spend in the final quarter was significantly higher than the average of quarters 1 to 3. Catcote received payments totalling £0.274m in the final quarter of 2019/20 to support post-16 pupils with SEND.</w:t>
      </w:r>
    </w:p>
    <w:p w:rsidR="004C5FD4" w:rsidRDefault="004C5FD4">
      <w:pPr>
        <w:rPr>
          <w:rFonts w:ascii="Arial" w:hAnsi="Arial" w:cs="Arial"/>
        </w:rPr>
      </w:pPr>
    </w:p>
    <w:p w:rsidR="00F2265C" w:rsidRDefault="006D415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="00C12D6E">
        <w:rPr>
          <w:rFonts w:ascii="Arial" w:hAnsi="Arial" w:cs="Arial"/>
        </w:rPr>
        <w:tab/>
      </w:r>
      <w:r w:rsidR="005E2E8A">
        <w:rPr>
          <w:rFonts w:ascii="Arial" w:hAnsi="Arial" w:cs="Arial"/>
          <w:u w:val="single"/>
        </w:rPr>
        <w:t>Support Services (nil variance</w:t>
      </w:r>
      <w:r w:rsidR="00F2265C" w:rsidRPr="004A3200">
        <w:rPr>
          <w:rFonts w:ascii="Arial" w:hAnsi="Arial" w:cs="Arial"/>
          <w:u w:val="single"/>
        </w:rPr>
        <w:t>)</w:t>
      </w:r>
    </w:p>
    <w:p w:rsidR="00D22808" w:rsidRDefault="00F2265C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</w:rPr>
        <w:t xml:space="preserve">The contribution from high needs to local authority support services </w:t>
      </w:r>
      <w:r w:rsidR="00311B4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maintained at budget level, with inflationary increases being absorbed by the local authority.</w:t>
      </w:r>
      <w:r w:rsidR="00D22808" w:rsidRPr="00BA251F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:rsidR="00C434FA" w:rsidRDefault="00C434FA" w:rsidP="00F2265C">
      <w:pPr>
        <w:ind w:left="709"/>
        <w:rPr>
          <w:rFonts w:ascii="Arial" w:hAnsi="Arial" w:cs="Arial"/>
          <w:noProof/>
          <w:color w:val="000000" w:themeColor="text1"/>
          <w:lang w:eastAsia="en-GB"/>
        </w:rPr>
      </w:pPr>
    </w:p>
    <w:p w:rsidR="00C434FA" w:rsidRDefault="006D415F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t>4.9</w:t>
      </w:r>
      <w:r w:rsidR="00C434FA">
        <w:rPr>
          <w:rFonts w:ascii="Arial" w:hAnsi="Arial" w:cs="Arial"/>
          <w:noProof/>
          <w:color w:val="000000" w:themeColor="text1"/>
          <w:lang w:eastAsia="en-GB"/>
        </w:rPr>
        <w:tab/>
      </w:r>
      <w:r w:rsidR="005E2E8A">
        <w:rPr>
          <w:rFonts w:ascii="Arial" w:hAnsi="Arial" w:cs="Arial"/>
          <w:noProof/>
          <w:color w:val="000000" w:themeColor="text1"/>
          <w:lang w:eastAsia="en-GB"/>
        </w:rPr>
        <w:tab/>
      </w:r>
      <w:r>
        <w:rPr>
          <w:rFonts w:ascii="Arial" w:hAnsi="Arial" w:cs="Arial"/>
          <w:noProof/>
          <w:color w:val="000000" w:themeColor="text1"/>
          <w:lang w:eastAsia="en-GB"/>
        </w:rPr>
        <w:t>The final overspend of £0.521</w:t>
      </w:r>
      <w:r w:rsidR="00311B40">
        <w:rPr>
          <w:rFonts w:ascii="Arial" w:hAnsi="Arial" w:cs="Arial"/>
          <w:noProof/>
          <w:color w:val="000000" w:themeColor="text1"/>
          <w:lang w:eastAsia="en-GB"/>
        </w:rPr>
        <w:t>m for 2019/20 has been funded from Dedicated Schools Grant (DSG) reserves</w:t>
      </w:r>
      <w:r w:rsidR="00725E24">
        <w:rPr>
          <w:rFonts w:ascii="Arial" w:hAnsi="Arial" w:cs="Arial"/>
          <w:noProof/>
          <w:color w:val="000000" w:themeColor="text1"/>
          <w:lang w:eastAsia="en-GB"/>
        </w:rPr>
        <w:t>.</w:t>
      </w:r>
      <w:r w:rsidR="00311B40">
        <w:rPr>
          <w:rFonts w:ascii="Arial" w:hAnsi="Arial" w:cs="Arial"/>
          <w:noProof/>
          <w:color w:val="000000" w:themeColor="text1"/>
          <w:lang w:eastAsia="en-GB"/>
        </w:rPr>
        <w:t xml:space="preserve"> As a result, all reserve balances earmarked to support any </w:t>
      </w:r>
      <w:r w:rsidR="00311B40">
        <w:rPr>
          <w:rFonts w:ascii="Arial" w:hAnsi="Arial" w:cs="Arial"/>
          <w:noProof/>
          <w:color w:val="000000" w:themeColor="text1"/>
          <w:lang w:eastAsia="en-GB"/>
        </w:rPr>
        <w:lastRenderedPageBreak/>
        <w:t>High Needs Block deficit are depleted and show a deficit balance o</w:t>
      </w:r>
      <w:r w:rsidR="00311B40" w:rsidRPr="0022639B">
        <w:rPr>
          <w:rFonts w:ascii="Arial" w:hAnsi="Arial" w:cs="Arial"/>
          <w:noProof/>
          <w:color w:val="000000" w:themeColor="text1"/>
          <w:lang w:eastAsia="en-GB"/>
        </w:rPr>
        <w:t>f £</w:t>
      </w:r>
      <w:r w:rsidR="0015598A">
        <w:rPr>
          <w:rFonts w:ascii="Arial" w:hAnsi="Arial" w:cs="Arial"/>
          <w:noProof/>
          <w:color w:val="000000" w:themeColor="text1"/>
          <w:lang w:eastAsia="en-GB"/>
        </w:rPr>
        <w:t>0.136</w:t>
      </w:r>
      <w:r w:rsidR="0022639B" w:rsidRPr="0022639B">
        <w:rPr>
          <w:rFonts w:ascii="Arial" w:hAnsi="Arial" w:cs="Arial"/>
          <w:noProof/>
          <w:color w:val="000000" w:themeColor="text1"/>
          <w:lang w:eastAsia="en-GB"/>
        </w:rPr>
        <w:t>m</w:t>
      </w:r>
      <w:r w:rsidR="00311B40" w:rsidRPr="0022639B">
        <w:rPr>
          <w:rFonts w:ascii="Arial" w:hAnsi="Arial" w:cs="Arial"/>
          <w:noProof/>
          <w:color w:val="000000" w:themeColor="text1"/>
          <w:lang w:eastAsia="en-GB"/>
        </w:rPr>
        <w:t>.</w:t>
      </w:r>
      <w:r w:rsidR="00311B40">
        <w:rPr>
          <w:rFonts w:ascii="Arial" w:hAnsi="Arial" w:cs="Arial"/>
          <w:noProof/>
          <w:color w:val="000000" w:themeColor="text1"/>
          <w:lang w:eastAsia="en-GB"/>
        </w:rPr>
        <w:t xml:space="preserve"> As at 31 March 2020, there remains an overall positive balance on DSG reserves. </w:t>
      </w:r>
    </w:p>
    <w:p w:rsidR="00DD0E20" w:rsidRDefault="00DD0E20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</w:p>
    <w:p w:rsidR="00172F8F" w:rsidRDefault="00172F8F" w:rsidP="005E2E8A">
      <w:pPr>
        <w:ind w:left="709" w:hanging="709"/>
        <w:rPr>
          <w:rFonts w:ascii="Arial" w:hAnsi="Arial" w:cs="Arial"/>
          <w:noProof/>
          <w:color w:val="000000" w:themeColor="text1"/>
          <w:lang w:eastAsia="en-GB"/>
        </w:rPr>
      </w:pPr>
    </w:p>
    <w:p w:rsidR="00FC2304" w:rsidRDefault="006D415F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D22808" w:rsidRPr="00D22808" w:rsidRDefault="006D415F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5E2E8A">
        <w:rPr>
          <w:rFonts w:ascii="Arial" w:hAnsi="Arial" w:cs="Arial"/>
        </w:rPr>
        <w:t xml:space="preserve"> note the contents of the report.</w:t>
      </w:r>
    </w:p>
    <w:p w:rsidR="00D22808" w:rsidRDefault="00D22808" w:rsidP="005E2E8A">
      <w:pPr>
        <w:rPr>
          <w:rFonts w:ascii="Arial" w:hAnsi="Arial" w:cs="Arial"/>
        </w:rPr>
      </w:pPr>
    </w:p>
    <w:sectPr w:rsidR="00D2280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3E" w:rsidRDefault="0045093E" w:rsidP="00E471C6">
      <w:r>
        <w:separator/>
      </w:r>
    </w:p>
  </w:endnote>
  <w:endnote w:type="continuationSeparator" w:id="0">
    <w:p w:rsidR="0045093E" w:rsidRDefault="0045093E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3E" w:rsidRPr="00E471C6" w:rsidRDefault="00E57780" w:rsidP="00E471C6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BD4F0F">
      <w:rPr>
        <w:rFonts w:ascii="Arial" w:hAnsi="Arial" w:cs="Arial"/>
        <w:noProof/>
        <w:sz w:val="12"/>
        <w:szCs w:val="12"/>
      </w:rPr>
      <w:t>y:\corporate finance\child &amp; adult services\child\schools\schools forum\meetings\2019-20\07 may 2019\item 9_2019 0507 hnb final outturn 2018-19.docx</w:t>
    </w:r>
    <w:r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3E" w:rsidRDefault="0045093E" w:rsidP="00E471C6">
      <w:r>
        <w:separator/>
      </w:r>
    </w:p>
  </w:footnote>
  <w:footnote w:type="continuationSeparator" w:id="0">
    <w:p w:rsidR="0045093E" w:rsidRDefault="0045093E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C85A39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C85A39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F0"/>
    <w:rsid w:val="000057EB"/>
    <w:rsid w:val="00011F8F"/>
    <w:rsid w:val="00013AF5"/>
    <w:rsid w:val="00015EDE"/>
    <w:rsid w:val="000403CC"/>
    <w:rsid w:val="00062C85"/>
    <w:rsid w:val="000F04A7"/>
    <w:rsid w:val="000F185B"/>
    <w:rsid w:val="0010706F"/>
    <w:rsid w:val="001346EA"/>
    <w:rsid w:val="0015598A"/>
    <w:rsid w:val="00172F8F"/>
    <w:rsid w:val="0018543D"/>
    <w:rsid w:val="00187032"/>
    <w:rsid w:val="001A1633"/>
    <w:rsid w:val="001C1CEC"/>
    <w:rsid w:val="001D58E7"/>
    <w:rsid w:val="001F2A93"/>
    <w:rsid w:val="001F530F"/>
    <w:rsid w:val="0022097E"/>
    <w:rsid w:val="0022639B"/>
    <w:rsid w:val="0026631E"/>
    <w:rsid w:val="00270F89"/>
    <w:rsid w:val="00273464"/>
    <w:rsid w:val="00276FC8"/>
    <w:rsid w:val="00282753"/>
    <w:rsid w:val="00287C2A"/>
    <w:rsid w:val="002A5C86"/>
    <w:rsid w:val="002B4790"/>
    <w:rsid w:val="002E08A2"/>
    <w:rsid w:val="002F069C"/>
    <w:rsid w:val="002F150B"/>
    <w:rsid w:val="00311B40"/>
    <w:rsid w:val="003204CE"/>
    <w:rsid w:val="0033037F"/>
    <w:rsid w:val="00381270"/>
    <w:rsid w:val="00385AB3"/>
    <w:rsid w:val="003871F0"/>
    <w:rsid w:val="0039065B"/>
    <w:rsid w:val="003A3E4F"/>
    <w:rsid w:val="003B27BE"/>
    <w:rsid w:val="003C21DE"/>
    <w:rsid w:val="003C3884"/>
    <w:rsid w:val="00400A90"/>
    <w:rsid w:val="0040116D"/>
    <w:rsid w:val="00414EA3"/>
    <w:rsid w:val="0043458F"/>
    <w:rsid w:val="0045093E"/>
    <w:rsid w:val="00484477"/>
    <w:rsid w:val="004853D7"/>
    <w:rsid w:val="004A3200"/>
    <w:rsid w:val="004C5FD4"/>
    <w:rsid w:val="004E4B4D"/>
    <w:rsid w:val="004E4BFB"/>
    <w:rsid w:val="004E613E"/>
    <w:rsid w:val="00507549"/>
    <w:rsid w:val="0051311E"/>
    <w:rsid w:val="0054743C"/>
    <w:rsid w:val="0057428A"/>
    <w:rsid w:val="005962C8"/>
    <w:rsid w:val="005B4F82"/>
    <w:rsid w:val="005C1EF2"/>
    <w:rsid w:val="005D1A77"/>
    <w:rsid w:val="005E2E8A"/>
    <w:rsid w:val="005E5F47"/>
    <w:rsid w:val="005F761E"/>
    <w:rsid w:val="006266F4"/>
    <w:rsid w:val="006306AD"/>
    <w:rsid w:val="00653A1D"/>
    <w:rsid w:val="00663FCF"/>
    <w:rsid w:val="006732F1"/>
    <w:rsid w:val="006A3E9F"/>
    <w:rsid w:val="006B68F2"/>
    <w:rsid w:val="006D415F"/>
    <w:rsid w:val="006E3489"/>
    <w:rsid w:val="00725E24"/>
    <w:rsid w:val="00727711"/>
    <w:rsid w:val="00732263"/>
    <w:rsid w:val="0073581B"/>
    <w:rsid w:val="00741D19"/>
    <w:rsid w:val="00744CFF"/>
    <w:rsid w:val="0075449A"/>
    <w:rsid w:val="0075722A"/>
    <w:rsid w:val="007608C2"/>
    <w:rsid w:val="00780177"/>
    <w:rsid w:val="007D7C94"/>
    <w:rsid w:val="00822771"/>
    <w:rsid w:val="0086108B"/>
    <w:rsid w:val="008911E4"/>
    <w:rsid w:val="008A226A"/>
    <w:rsid w:val="00911F8A"/>
    <w:rsid w:val="009357D5"/>
    <w:rsid w:val="00936635"/>
    <w:rsid w:val="00980EB8"/>
    <w:rsid w:val="0099785C"/>
    <w:rsid w:val="009C16A3"/>
    <w:rsid w:val="009D0919"/>
    <w:rsid w:val="009D7961"/>
    <w:rsid w:val="009E43D5"/>
    <w:rsid w:val="009F26E4"/>
    <w:rsid w:val="00A61498"/>
    <w:rsid w:val="00A673B8"/>
    <w:rsid w:val="00A8059B"/>
    <w:rsid w:val="00B120D0"/>
    <w:rsid w:val="00B51317"/>
    <w:rsid w:val="00B63511"/>
    <w:rsid w:val="00B72C8B"/>
    <w:rsid w:val="00BD4F0F"/>
    <w:rsid w:val="00BE56CB"/>
    <w:rsid w:val="00BE6D2A"/>
    <w:rsid w:val="00C00559"/>
    <w:rsid w:val="00C026FB"/>
    <w:rsid w:val="00C12D6E"/>
    <w:rsid w:val="00C27453"/>
    <w:rsid w:val="00C434FA"/>
    <w:rsid w:val="00C601E2"/>
    <w:rsid w:val="00C85A39"/>
    <w:rsid w:val="00C93284"/>
    <w:rsid w:val="00CA3206"/>
    <w:rsid w:val="00CC75F9"/>
    <w:rsid w:val="00D22808"/>
    <w:rsid w:val="00D87564"/>
    <w:rsid w:val="00D904CF"/>
    <w:rsid w:val="00D91329"/>
    <w:rsid w:val="00DA41FA"/>
    <w:rsid w:val="00DB1989"/>
    <w:rsid w:val="00DC3355"/>
    <w:rsid w:val="00DD0E20"/>
    <w:rsid w:val="00E0381A"/>
    <w:rsid w:val="00E409C8"/>
    <w:rsid w:val="00E471C6"/>
    <w:rsid w:val="00E57780"/>
    <w:rsid w:val="00E60B25"/>
    <w:rsid w:val="00E62BA1"/>
    <w:rsid w:val="00E744A1"/>
    <w:rsid w:val="00E90F23"/>
    <w:rsid w:val="00ED4F3E"/>
    <w:rsid w:val="00EF5032"/>
    <w:rsid w:val="00F01A48"/>
    <w:rsid w:val="00F02884"/>
    <w:rsid w:val="00F2265C"/>
    <w:rsid w:val="00F545DB"/>
    <w:rsid w:val="00F8207A"/>
    <w:rsid w:val="00F86583"/>
    <w:rsid w:val="00F94AE0"/>
    <w:rsid w:val="00FA2FC6"/>
    <w:rsid w:val="00FB6C7E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55EA-E4EE-45FD-9E93-6D4EBA7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Jo Stubbs</cp:lastModifiedBy>
  <cp:revision>29</cp:revision>
  <cp:lastPrinted>2019-04-30T09:19:00Z</cp:lastPrinted>
  <dcterms:created xsi:type="dcterms:W3CDTF">2019-03-08T13:00:00Z</dcterms:created>
  <dcterms:modified xsi:type="dcterms:W3CDTF">2020-07-07T08:51:00Z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86393923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8" name="_PreviousAdHocReviewCycleID">
    <vt:i4>-283864146</vt:i4>
  </property>
</Properties>
</file>