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A209F" w14:textId="77777777" w:rsidR="003871F0" w:rsidRPr="00107F84" w:rsidRDefault="003871F0" w:rsidP="003871F0">
      <w:pPr>
        <w:pBdr>
          <w:top w:val="single" w:sz="4" w:space="1" w:color="auto"/>
          <w:left w:val="single" w:sz="4" w:space="4" w:color="auto"/>
          <w:bottom w:val="single" w:sz="4" w:space="1" w:color="auto"/>
          <w:right w:val="single" w:sz="4" w:space="4" w:color="auto"/>
        </w:pBdr>
        <w:jc w:val="center"/>
        <w:rPr>
          <w:rFonts w:ascii="Arial" w:hAnsi="Arial" w:cs="Arial"/>
          <w:b/>
          <w:bCs/>
        </w:rPr>
      </w:pPr>
      <w:bookmarkStart w:id="0" w:name="_GoBack"/>
      <w:bookmarkEnd w:id="0"/>
      <w:r w:rsidRPr="00107F84">
        <w:rPr>
          <w:rFonts w:ascii="Arial" w:hAnsi="Arial" w:cs="Arial"/>
          <w:b/>
          <w:bCs/>
        </w:rPr>
        <w:t xml:space="preserve">Report to Hartlepool Schools’ Forum </w:t>
      </w:r>
      <w:r w:rsidR="0098703B">
        <w:rPr>
          <w:rFonts w:ascii="Arial" w:hAnsi="Arial" w:cs="Arial"/>
          <w:b/>
          <w:bCs/>
        </w:rPr>
        <w:t>24 September</w:t>
      </w:r>
      <w:r w:rsidR="00013AF5">
        <w:rPr>
          <w:rFonts w:ascii="Arial" w:hAnsi="Arial" w:cs="Arial"/>
          <w:b/>
          <w:bCs/>
        </w:rPr>
        <w:t xml:space="preserve"> 2020</w:t>
      </w:r>
    </w:p>
    <w:p w14:paraId="45825D56" w14:textId="77777777" w:rsidR="003871F0" w:rsidRPr="00BD5981" w:rsidRDefault="003871F0" w:rsidP="003871F0">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 xml:space="preserve">From </w:t>
      </w:r>
      <w:r w:rsidR="00013AF5">
        <w:rPr>
          <w:rFonts w:ascii="Arial" w:hAnsi="Arial" w:cs="Arial"/>
          <w:b/>
          <w:bCs/>
        </w:rPr>
        <w:t xml:space="preserve">Danielle </w:t>
      </w:r>
      <w:proofErr w:type="spellStart"/>
      <w:r w:rsidR="00013AF5">
        <w:rPr>
          <w:rFonts w:ascii="Arial" w:hAnsi="Arial" w:cs="Arial"/>
          <w:b/>
          <w:bCs/>
        </w:rPr>
        <w:t>Swainston</w:t>
      </w:r>
      <w:proofErr w:type="spellEnd"/>
      <w:r w:rsidR="00013AF5">
        <w:rPr>
          <w:rFonts w:ascii="Arial" w:hAnsi="Arial" w:cs="Arial"/>
          <w:b/>
          <w:bCs/>
        </w:rPr>
        <w:t xml:space="preserve"> (Assistant </w:t>
      </w:r>
      <w:r>
        <w:rPr>
          <w:rFonts w:ascii="Arial" w:hAnsi="Arial" w:cs="Arial"/>
          <w:b/>
          <w:bCs/>
        </w:rPr>
        <w:t>Director</w:t>
      </w:r>
      <w:r w:rsidR="00013AF5">
        <w:rPr>
          <w:rFonts w:ascii="Arial" w:hAnsi="Arial" w:cs="Arial"/>
          <w:b/>
          <w:bCs/>
        </w:rPr>
        <w:t xml:space="preserve"> – Joint Commissioning)</w:t>
      </w:r>
    </w:p>
    <w:p w14:paraId="35438389" w14:textId="77777777" w:rsidR="001F2A93" w:rsidRDefault="001F2A93"/>
    <w:p w14:paraId="7A19E9B2" w14:textId="152B5A69" w:rsidR="003871F0" w:rsidRDefault="00E471C6" w:rsidP="003871F0">
      <w:pPr>
        <w:jc w:val="center"/>
        <w:rPr>
          <w:rFonts w:ascii="Arial" w:hAnsi="Arial" w:cs="Arial"/>
          <w:b/>
          <w:u w:val="single"/>
        </w:rPr>
      </w:pPr>
      <w:r>
        <w:rPr>
          <w:rFonts w:ascii="Arial" w:hAnsi="Arial" w:cs="Arial"/>
          <w:b/>
          <w:u w:val="single"/>
        </w:rPr>
        <w:t xml:space="preserve">Item </w:t>
      </w:r>
      <w:proofErr w:type="gramStart"/>
      <w:r w:rsidR="00F35A79">
        <w:rPr>
          <w:rFonts w:ascii="Arial" w:hAnsi="Arial" w:cs="Arial"/>
          <w:b/>
          <w:u w:val="single"/>
        </w:rPr>
        <w:t>8</w:t>
      </w:r>
      <w:r w:rsidR="00266910">
        <w:rPr>
          <w:rFonts w:ascii="Arial" w:hAnsi="Arial" w:cs="Arial"/>
          <w:b/>
          <w:u w:val="single"/>
        </w:rPr>
        <w:t xml:space="preserve"> </w:t>
      </w:r>
      <w:r>
        <w:rPr>
          <w:rFonts w:ascii="Arial" w:hAnsi="Arial" w:cs="Arial"/>
          <w:b/>
          <w:u w:val="single"/>
        </w:rPr>
        <w:t>:</w:t>
      </w:r>
      <w:proofErr w:type="gramEnd"/>
      <w:r>
        <w:rPr>
          <w:rFonts w:ascii="Arial" w:hAnsi="Arial" w:cs="Arial"/>
          <w:b/>
          <w:u w:val="single"/>
        </w:rPr>
        <w:t xml:space="preserve"> </w:t>
      </w:r>
      <w:r w:rsidR="003871F0" w:rsidRPr="003871F0">
        <w:rPr>
          <w:rFonts w:ascii="Arial" w:hAnsi="Arial" w:cs="Arial"/>
          <w:b/>
          <w:u w:val="single"/>
        </w:rPr>
        <w:t>High</w:t>
      </w:r>
      <w:r w:rsidR="003871F0">
        <w:rPr>
          <w:rFonts w:ascii="Arial" w:hAnsi="Arial" w:cs="Arial"/>
          <w:b/>
          <w:u w:val="single"/>
        </w:rPr>
        <w:t xml:space="preserve"> </w:t>
      </w:r>
      <w:r w:rsidR="009E43D5">
        <w:rPr>
          <w:rFonts w:ascii="Arial" w:hAnsi="Arial" w:cs="Arial"/>
          <w:b/>
          <w:u w:val="single"/>
        </w:rPr>
        <w:t>Needs</w:t>
      </w:r>
      <w:r w:rsidR="00013AF5">
        <w:rPr>
          <w:rFonts w:ascii="Arial" w:hAnsi="Arial" w:cs="Arial"/>
          <w:b/>
          <w:u w:val="single"/>
        </w:rPr>
        <w:t xml:space="preserve"> </w:t>
      </w:r>
      <w:r w:rsidR="001346EA">
        <w:rPr>
          <w:rFonts w:ascii="Arial" w:hAnsi="Arial" w:cs="Arial"/>
          <w:b/>
          <w:u w:val="single"/>
        </w:rPr>
        <w:t xml:space="preserve">Block </w:t>
      </w:r>
      <w:r w:rsidR="00590195">
        <w:rPr>
          <w:rFonts w:ascii="Arial" w:hAnsi="Arial" w:cs="Arial"/>
          <w:b/>
          <w:u w:val="single"/>
        </w:rPr>
        <w:t>Budget Proposals 2021/22</w:t>
      </w:r>
    </w:p>
    <w:p w14:paraId="306B9B31" w14:textId="77777777" w:rsidR="0026631E" w:rsidRPr="0026631E" w:rsidRDefault="0026631E" w:rsidP="0026631E">
      <w:pPr>
        <w:pStyle w:val="ListParagraph"/>
        <w:rPr>
          <w:rFonts w:ascii="Arial" w:hAnsi="Arial" w:cs="Arial"/>
        </w:rPr>
      </w:pPr>
    </w:p>
    <w:p w14:paraId="2B2D7E2B" w14:textId="77777777" w:rsidR="003871F0" w:rsidRPr="003871F0" w:rsidRDefault="003871F0" w:rsidP="002F069C">
      <w:pPr>
        <w:pStyle w:val="ListParagraph"/>
        <w:numPr>
          <w:ilvl w:val="0"/>
          <w:numId w:val="1"/>
        </w:numPr>
        <w:ind w:hanging="720"/>
        <w:rPr>
          <w:rFonts w:ascii="Arial" w:hAnsi="Arial" w:cs="Arial"/>
        </w:rPr>
      </w:pPr>
      <w:r>
        <w:rPr>
          <w:rFonts w:ascii="Arial" w:hAnsi="Arial" w:cs="Arial"/>
          <w:b/>
          <w:u w:val="single"/>
        </w:rPr>
        <w:t>Introduction</w:t>
      </w:r>
    </w:p>
    <w:p w14:paraId="0B4E0985" w14:textId="77777777" w:rsidR="009357D5" w:rsidRDefault="009357D5" w:rsidP="003871F0">
      <w:pPr>
        <w:ind w:left="360"/>
        <w:rPr>
          <w:rFonts w:ascii="Arial" w:hAnsi="Arial" w:cs="Arial"/>
        </w:rPr>
      </w:pPr>
    </w:p>
    <w:p w14:paraId="4BCFFB3F" w14:textId="77777777" w:rsidR="003871F0" w:rsidRDefault="003871F0" w:rsidP="006732F1">
      <w:pPr>
        <w:pStyle w:val="ListParagraph"/>
        <w:numPr>
          <w:ilvl w:val="1"/>
          <w:numId w:val="1"/>
        </w:numPr>
        <w:ind w:hanging="786"/>
        <w:rPr>
          <w:rFonts w:ascii="Arial" w:hAnsi="Arial" w:cs="Arial"/>
        </w:rPr>
      </w:pPr>
      <w:r w:rsidRPr="00732263">
        <w:rPr>
          <w:rFonts w:ascii="Arial" w:hAnsi="Arial" w:cs="Arial"/>
        </w:rPr>
        <w:t>The purpose of the rep</w:t>
      </w:r>
      <w:r w:rsidR="00B72C8B">
        <w:rPr>
          <w:rFonts w:ascii="Arial" w:hAnsi="Arial" w:cs="Arial"/>
        </w:rPr>
        <w:t xml:space="preserve">ort is to </w:t>
      </w:r>
      <w:r w:rsidR="00590195">
        <w:rPr>
          <w:rFonts w:ascii="Arial" w:hAnsi="Arial" w:cs="Arial"/>
        </w:rPr>
        <w:t>introduce proposals for the High Needs Block budget in 2021/22 and beyond.</w:t>
      </w:r>
      <w:r w:rsidR="0098703B">
        <w:rPr>
          <w:rFonts w:ascii="Arial" w:hAnsi="Arial" w:cs="Arial"/>
        </w:rPr>
        <w:t xml:space="preserve"> </w:t>
      </w:r>
    </w:p>
    <w:p w14:paraId="04E6881E" w14:textId="77777777" w:rsidR="0098703B" w:rsidRDefault="0098703B" w:rsidP="0098703B">
      <w:pPr>
        <w:pStyle w:val="ListParagraph"/>
        <w:ind w:left="786"/>
        <w:rPr>
          <w:rFonts w:ascii="Arial" w:hAnsi="Arial" w:cs="Arial"/>
        </w:rPr>
      </w:pPr>
    </w:p>
    <w:p w14:paraId="1B008D6A" w14:textId="77777777" w:rsidR="00590195" w:rsidRDefault="00590195" w:rsidP="006732F1">
      <w:pPr>
        <w:pStyle w:val="ListParagraph"/>
        <w:numPr>
          <w:ilvl w:val="1"/>
          <w:numId w:val="1"/>
        </w:numPr>
        <w:ind w:hanging="786"/>
        <w:rPr>
          <w:rFonts w:ascii="Arial" w:hAnsi="Arial" w:cs="Arial"/>
        </w:rPr>
      </w:pPr>
      <w:r>
        <w:rPr>
          <w:rFonts w:ascii="Arial" w:hAnsi="Arial" w:cs="Arial"/>
        </w:rPr>
        <w:t>Forum Members are aware of the historic spending pressures on the High Needs Block and the associated need for transfers from the Schools Block to support spending on critical SEND services.</w:t>
      </w:r>
    </w:p>
    <w:p w14:paraId="7F3DDCEB" w14:textId="77777777" w:rsidR="00590195" w:rsidRPr="00590195" w:rsidRDefault="00590195" w:rsidP="00590195">
      <w:pPr>
        <w:pStyle w:val="ListParagraph"/>
        <w:rPr>
          <w:rFonts w:ascii="Arial" w:hAnsi="Arial" w:cs="Arial"/>
        </w:rPr>
      </w:pPr>
    </w:p>
    <w:p w14:paraId="0351132B" w14:textId="77777777" w:rsidR="0098703B" w:rsidRDefault="00590195" w:rsidP="006732F1">
      <w:pPr>
        <w:pStyle w:val="ListParagraph"/>
        <w:numPr>
          <w:ilvl w:val="1"/>
          <w:numId w:val="1"/>
        </w:numPr>
        <w:ind w:hanging="786"/>
        <w:rPr>
          <w:rFonts w:ascii="Arial" w:hAnsi="Arial" w:cs="Arial"/>
        </w:rPr>
      </w:pPr>
      <w:r>
        <w:rPr>
          <w:rFonts w:ascii="Arial" w:hAnsi="Arial" w:cs="Arial"/>
        </w:rPr>
        <w:t xml:space="preserve">Schools’ Forum are considering a separate report on this same agenda outlining the current year spending forecast for High Needs. </w:t>
      </w:r>
    </w:p>
    <w:p w14:paraId="58590C65" w14:textId="77777777" w:rsidR="00250AF1" w:rsidRPr="00250AF1" w:rsidRDefault="00250AF1" w:rsidP="00250AF1">
      <w:pPr>
        <w:pStyle w:val="ListParagraph"/>
        <w:rPr>
          <w:rFonts w:ascii="Arial" w:hAnsi="Arial" w:cs="Arial"/>
        </w:rPr>
      </w:pPr>
    </w:p>
    <w:p w14:paraId="6B3D6C3D" w14:textId="3485C4FD" w:rsidR="00250AF1" w:rsidRPr="00732263" w:rsidRDefault="00250AF1" w:rsidP="006732F1">
      <w:pPr>
        <w:pStyle w:val="ListParagraph"/>
        <w:numPr>
          <w:ilvl w:val="1"/>
          <w:numId w:val="1"/>
        </w:numPr>
        <w:ind w:hanging="786"/>
        <w:rPr>
          <w:rFonts w:ascii="Arial" w:hAnsi="Arial" w:cs="Arial"/>
        </w:rPr>
      </w:pPr>
      <w:r>
        <w:rPr>
          <w:rFonts w:ascii="Arial" w:hAnsi="Arial" w:cs="Arial"/>
        </w:rPr>
        <w:t xml:space="preserve">A Medium Term Financial Strategy (MTFS) for High Needs spending will be updated and presented to Schools’ Forum at </w:t>
      </w:r>
      <w:r w:rsidR="00146A1E">
        <w:rPr>
          <w:rFonts w:ascii="Arial" w:hAnsi="Arial" w:cs="Arial"/>
        </w:rPr>
        <w:t>a future meeting</w:t>
      </w:r>
      <w:r>
        <w:rPr>
          <w:rFonts w:ascii="Arial" w:hAnsi="Arial" w:cs="Arial"/>
        </w:rPr>
        <w:t>. This will ensure that the strategy for SEND provision in Hartlepool and the associated spending requirements are understood over a three year period and not solely focused upon one financial year.</w:t>
      </w:r>
    </w:p>
    <w:p w14:paraId="2E6E4012" w14:textId="77777777" w:rsidR="0026631E" w:rsidRDefault="0026631E" w:rsidP="0026631E">
      <w:pPr>
        <w:pStyle w:val="ListParagraph"/>
        <w:rPr>
          <w:rFonts w:ascii="Arial" w:hAnsi="Arial" w:cs="Arial"/>
          <w:b/>
          <w:u w:val="single"/>
        </w:rPr>
      </w:pPr>
    </w:p>
    <w:p w14:paraId="569CB932" w14:textId="77777777" w:rsidR="003871F0" w:rsidRPr="0026631E" w:rsidRDefault="003871F0" w:rsidP="0026631E">
      <w:pPr>
        <w:pStyle w:val="ListParagraph"/>
        <w:numPr>
          <w:ilvl w:val="0"/>
          <w:numId w:val="1"/>
        </w:numPr>
        <w:ind w:hanging="720"/>
        <w:rPr>
          <w:rFonts w:ascii="Arial" w:hAnsi="Arial" w:cs="Arial"/>
          <w:b/>
          <w:u w:val="single"/>
        </w:rPr>
      </w:pPr>
      <w:r w:rsidRPr="0026631E">
        <w:rPr>
          <w:rFonts w:ascii="Arial" w:hAnsi="Arial" w:cs="Arial"/>
          <w:b/>
          <w:u w:val="single"/>
        </w:rPr>
        <w:t>Background</w:t>
      </w:r>
    </w:p>
    <w:p w14:paraId="55799804" w14:textId="77777777" w:rsidR="009357D5" w:rsidRDefault="009357D5" w:rsidP="009357D5">
      <w:pPr>
        <w:pStyle w:val="ListParagraph"/>
        <w:rPr>
          <w:rFonts w:ascii="Arial" w:hAnsi="Arial" w:cs="Arial"/>
          <w:b/>
          <w:u w:val="single"/>
        </w:rPr>
      </w:pPr>
    </w:p>
    <w:p w14:paraId="34C9BE06" w14:textId="098A1A6B" w:rsidR="00ED4F3E" w:rsidRPr="0018543D" w:rsidRDefault="00590195" w:rsidP="0040116D">
      <w:pPr>
        <w:pStyle w:val="ListParagraph"/>
        <w:numPr>
          <w:ilvl w:val="1"/>
          <w:numId w:val="1"/>
        </w:numPr>
        <w:ind w:hanging="720"/>
        <w:rPr>
          <w:rFonts w:ascii="Arial" w:hAnsi="Arial" w:cs="Arial"/>
          <w:color w:val="FF0000"/>
        </w:rPr>
      </w:pPr>
      <w:r>
        <w:rPr>
          <w:rFonts w:ascii="Arial" w:hAnsi="Arial" w:cs="Arial"/>
        </w:rPr>
        <w:t xml:space="preserve">Hartlepool benefited from a significant increase </w:t>
      </w:r>
      <w:r w:rsidR="00AB350D">
        <w:rPr>
          <w:rFonts w:ascii="Arial" w:hAnsi="Arial" w:cs="Arial"/>
        </w:rPr>
        <w:t xml:space="preserve">(15.89%) </w:t>
      </w:r>
      <w:r>
        <w:rPr>
          <w:rFonts w:ascii="Arial" w:hAnsi="Arial" w:cs="Arial"/>
        </w:rPr>
        <w:t>in High Needs Block funding in 2020/21. However, this was in the context of a funding shortfall since 2015/16, with funding each year failing to keep pace with demand for SEND support.</w:t>
      </w:r>
    </w:p>
    <w:p w14:paraId="3A8BCD96" w14:textId="77777777" w:rsidR="0018543D" w:rsidRPr="0018543D" w:rsidRDefault="0018543D" w:rsidP="0018543D">
      <w:pPr>
        <w:pStyle w:val="ListParagraph"/>
        <w:ind w:left="786"/>
        <w:rPr>
          <w:rFonts w:ascii="Arial" w:hAnsi="Arial" w:cs="Arial"/>
          <w:color w:val="FF0000"/>
        </w:rPr>
      </w:pPr>
    </w:p>
    <w:p w14:paraId="205AD26E" w14:textId="77777777" w:rsidR="001346EA" w:rsidRPr="00ED4F3E" w:rsidRDefault="00590195" w:rsidP="001346EA">
      <w:pPr>
        <w:pStyle w:val="ListParagraph"/>
        <w:numPr>
          <w:ilvl w:val="1"/>
          <w:numId w:val="1"/>
        </w:numPr>
        <w:ind w:hanging="720"/>
        <w:rPr>
          <w:rFonts w:ascii="Arial" w:hAnsi="Arial" w:cs="Arial"/>
          <w:color w:val="FF0000"/>
        </w:rPr>
      </w:pPr>
      <w:r>
        <w:rPr>
          <w:rFonts w:ascii="Arial" w:hAnsi="Arial" w:cs="Arial"/>
        </w:rPr>
        <w:t xml:space="preserve">Despite the increase in funding this year, a transfer from the Schools Block of 0.5% </w:t>
      </w:r>
      <w:proofErr w:type="gramStart"/>
      <w:r>
        <w:rPr>
          <w:rFonts w:ascii="Arial" w:hAnsi="Arial" w:cs="Arial"/>
        </w:rPr>
        <w:t>was</w:t>
      </w:r>
      <w:proofErr w:type="gramEnd"/>
      <w:r>
        <w:rPr>
          <w:rFonts w:ascii="Arial" w:hAnsi="Arial" w:cs="Arial"/>
        </w:rPr>
        <w:t xml:space="preserve"> agreed by Schools’ Forum to support the 2020/21 budget requirement.</w:t>
      </w:r>
    </w:p>
    <w:p w14:paraId="57477EC1" w14:textId="77777777" w:rsidR="001346EA" w:rsidRPr="001346EA" w:rsidRDefault="001346EA" w:rsidP="001346EA">
      <w:pPr>
        <w:pStyle w:val="ListParagraph"/>
        <w:rPr>
          <w:rFonts w:ascii="Arial" w:hAnsi="Arial" w:cs="Arial"/>
        </w:rPr>
      </w:pPr>
    </w:p>
    <w:p w14:paraId="6CD6A62D" w14:textId="77777777" w:rsidR="0018543D" w:rsidRPr="0098703B" w:rsidRDefault="00590195" w:rsidP="0040116D">
      <w:pPr>
        <w:pStyle w:val="ListParagraph"/>
        <w:numPr>
          <w:ilvl w:val="1"/>
          <w:numId w:val="1"/>
        </w:numPr>
        <w:ind w:hanging="720"/>
        <w:rPr>
          <w:rFonts w:ascii="Arial" w:hAnsi="Arial" w:cs="Arial"/>
          <w:color w:val="FF0000"/>
        </w:rPr>
      </w:pPr>
      <w:r>
        <w:rPr>
          <w:rFonts w:ascii="Arial" w:hAnsi="Arial" w:cs="Arial"/>
        </w:rPr>
        <w:t xml:space="preserve">A further </w:t>
      </w:r>
      <w:r w:rsidR="00250AF1">
        <w:rPr>
          <w:rFonts w:ascii="Arial" w:hAnsi="Arial" w:cs="Arial"/>
        </w:rPr>
        <w:t xml:space="preserve">significant </w:t>
      </w:r>
      <w:r>
        <w:rPr>
          <w:rFonts w:ascii="Arial" w:hAnsi="Arial" w:cs="Arial"/>
        </w:rPr>
        <w:t xml:space="preserve">increase in funding has been announced for 2021/22. Discussion on the likely budget requirement for 2021/22, along with any proposals for a block transfer </w:t>
      </w:r>
      <w:r w:rsidR="00D64311">
        <w:rPr>
          <w:rFonts w:ascii="Arial" w:hAnsi="Arial" w:cs="Arial"/>
        </w:rPr>
        <w:t>need to commence.</w:t>
      </w:r>
      <w:r w:rsidR="00250AF1">
        <w:rPr>
          <w:rFonts w:ascii="Arial" w:hAnsi="Arial" w:cs="Arial"/>
        </w:rPr>
        <w:t xml:space="preserve"> This report is intended to introduce areas for Schools’ Forum to consider and consult upon with regards to the budget requirement for 2021/22.</w:t>
      </w:r>
    </w:p>
    <w:p w14:paraId="01B1F40D" w14:textId="77777777" w:rsidR="0098703B" w:rsidRPr="0098703B" w:rsidRDefault="0098703B" w:rsidP="0098703B">
      <w:pPr>
        <w:pStyle w:val="ListParagraph"/>
        <w:rPr>
          <w:rFonts w:ascii="Arial" w:hAnsi="Arial" w:cs="Arial"/>
          <w:color w:val="FF0000"/>
        </w:rPr>
      </w:pPr>
    </w:p>
    <w:p w14:paraId="22EC5930" w14:textId="4110895F" w:rsidR="0098703B" w:rsidRPr="0098703B" w:rsidRDefault="00D64311" w:rsidP="0040116D">
      <w:pPr>
        <w:pStyle w:val="ListParagraph"/>
        <w:numPr>
          <w:ilvl w:val="1"/>
          <w:numId w:val="1"/>
        </w:numPr>
        <w:ind w:hanging="720"/>
        <w:rPr>
          <w:rFonts w:ascii="Arial" w:hAnsi="Arial" w:cs="Arial"/>
        </w:rPr>
      </w:pPr>
      <w:r>
        <w:rPr>
          <w:rFonts w:ascii="Arial" w:hAnsi="Arial" w:cs="Arial"/>
        </w:rPr>
        <w:t xml:space="preserve">In addition to the budget requirement for 2021/22, </w:t>
      </w:r>
      <w:r w:rsidR="00250AF1">
        <w:rPr>
          <w:rFonts w:ascii="Arial" w:hAnsi="Arial" w:cs="Arial"/>
        </w:rPr>
        <w:t>there is now a deficit on</w:t>
      </w:r>
      <w:r w:rsidR="0098703B">
        <w:rPr>
          <w:rFonts w:ascii="Arial" w:hAnsi="Arial" w:cs="Arial"/>
        </w:rPr>
        <w:t xml:space="preserve"> </w:t>
      </w:r>
      <w:r w:rsidR="0098703B" w:rsidRPr="0098703B">
        <w:rPr>
          <w:rFonts w:ascii="Arial" w:hAnsi="Arial" w:cs="Arial"/>
        </w:rPr>
        <w:t>High Needs Block reserves of £0.136m that needs to be repaid</w:t>
      </w:r>
      <w:r>
        <w:rPr>
          <w:rFonts w:ascii="Arial" w:hAnsi="Arial" w:cs="Arial"/>
        </w:rPr>
        <w:t xml:space="preserve"> over a </w:t>
      </w:r>
      <w:r w:rsidR="00146A1E">
        <w:rPr>
          <w:rFonts w:ascii="Arial" w:hAnsi="Arial" w:cs="Arial"/>
        </w:rPr>
        <w:t>three-year</w:t>
      </w:r>
      <w:r>
        <w:rPr>
          <w:rFonts w:ascii="Arial" w:hAnsi="Arial" w:cs="Arial"/>
        </w:rPr>
        <w:t xml:space="preserve"> period</w:t>
      </w:r>
      <w:r w:rsidR="0098703B" w:rsidRPr="0098703B">
        <w:rPr>
          <w:rFonts w:ascii="Arial" w:hAnsi="Arial" w:cs="Arial"/>
        </w:rPr>
        <w:t>.</w:t>
      </w:r>
      <w:r>
        <w:rPr>
          <w:rFonts w:ascii="Arial" w:hAnsi="Arial" w:cs="Arial"/>
        </w:rPr>
        <w:t xml:space="preserve"> Should the projected mid-case overspend for 2020/21 materialise, the deficit will increase to £0.291m</w:t>
      </w:r>
      <w:r w:rsidR="00250AF1">
        <w:rPr>
          <w:rFonts w:ascii="Arial" w:hAnsi="Arial" w:cs="Arial"/>
        </w:rPr>
        <w:t xml:space="preserve"> by 31 March 2021</w:t>
      </w:r>
      <w:r>
        <w:rPr>
          <w:rFonts w:ascii="Arial" w:hAnsi="Arial" w:cs="Arial"/>
        </w:rPr>
        <w:t>.</w:t>
      </w:r>
    </w:p>
    <w:p w14:paraId="60263E56" w14:textId="77777777" w:rsidR="0040116D" w:rsidRDefault="0040116D" w:rsidP="00ED4F3E">
      <w:pPr>
        <w:pStyle w:val="ListParagraph"/>
        <w:ind w:left="786"/>
        <w:rPr>
          <w:rFonts w:ascii="Arial" w:hAnsi="Arial" w:cs="Arial"/>
          <w:color w:val="FF0000"/>
        </w:rPr>
      </w:pPr>
    </w:p>
    <w:p w14:paraId="3632470E" w14:textId="77777777" w:rsidR="006D4B67" w:rsidRPr="004E4BFB" w:rsidRDefault="006D4B67" w:rsidP="006D4B67">
      <w:pPr>
        <w:ind w:left="360" w:hanging="360"/>
        <w:rPr>
          <w:rFonts w:ascii="Arial" w:hAnsi="Arial" w:cs="Arial"/>
          <w:b/>
          <w:u w:val="single"/>
        </w:rPr>
      </w:pPr>
      <w:r>
        <w:rPr>
          <w:rFonts w:ascii="Arial" w:hAnsi="Arial" w:cs="Arial"/>
          <w:b/>
        </w:rPr>
        <w:t>3</w:t>
      </w:r>
      <w:r w:rsidRPr="00741D19">
        <w:rPr>
          <w:rFonts w:ascii="Arial" w:hAnsi="Arial" w:cs="Arial"/>
          <w:b/>
        </w:rPr>
        <w:t xml:space="preserve">. </w:t>
      </w:r>
      <w:r w:rsidRPr="00741D19">
        <w:rPr>
          <w:rFonts w:ascii="Arial" w:hAnsi="Arial" w:cs="Arial"/>
          <w:b/>
        </w:rPr>
        <w:tab/>
      </w:r>
      <w:r w:rsidRPr="00741D19">
        <w:rPr>
          <w:rFonts w:ascii="Arial" w:hAnsi="Arial" w:cs="Arial"/>
          <w:b/>
        </w:rPr>
        <w:tab/>
      </w:r>
      <w:r w:rsidR="00250AF1">
        <w:rPr>
          <w:rFonts w:ascii="Arial" w:hAnsi="Arial" w:cs="Arial"/>
          <w:b/>
          <w:u w:val="single"/>
        </w:rPr>
        <w:t>2021/22</w:t>
      </w:r>
      <w:r w:rsidRPr="004E4BFB">
        <w:rPr>
          <w:rFonts w:ascii="Arial" w:hAnsi="Arial" w:cs="Arial"/>
          <w:b/>
          <w:u w:val="single"/>
        </w:rPr>
        <w:t xml:space="preserve"> </w:t>
      </w:r>
      <w:r>
        <w:rPr>
          <w:rFonts w:ascii="Arial" w:hAnsi="Arial" w:cs="Arial"/>
          <w:b/>
          <w:u w:val="single"/>
        </w:rPr>
        <w:t>Funding</w:t>
      </w:r>
    </w:p>
    <w:p w14:paraId="41DCA772" w14:textId="77777777" w:rsidR="006D4B67" w:rsidRDefault="006D4B67" w:rsidP="006D4B67">
      <w:pPr>
        <w:ind w:left="360" w:hanging="360"/>
        <w:rPr>
          <w:rFonts w:ascii="Arial" w:hAnsi="Arial" w:cs="Arial"/>
        </w:rPr>
      </w:pPr>
    </w:p>
    <w:p w14:paraId="4910A591" w14:textId="77777777" w:rsidR="00205AF9" w:rsidRDefault="006D4B67" w:rsidP="006D4B67">
      <w:pPr>
        <w:ind w:left="720" w:hanging="720"/>
        <w:rPr>
          <w:rFonts w:ascii="Arial" w:hAnsi="Arial" w:cs="Arial"/>
        </w:rPr>
      </w:pPr>
      <w:r>
        <w:rPr>
          <w:rFonts w:ascii="Arial" w:hAnsi="Arial" w:cs="Arial"/>
        </w:rPr>
        <w:t>3</w:t>
      </w:r>
      <w:r w:rsidRPr="006D4B67">
        <w:rPr>
          <w:rFonts w:ascii="Arial" w:hAnsi="Arial" w:cs="Arial"/>
        </w:rPr>
        <w:t>.1</w:t>
      </w:r>
      <w:r w:rsidRPr="006D4B67">
        <w:rPr>
          <w:rFonts w:ascii="Arial" w:hAnsi="Arial" w:cs="Arial"/>
        </w:rPr>
        <w:tab/>
      </w:r>
      <w:r w:rsidR="008E7E00">
        <w:rPr>
          <w:rFonts w:ascii="Arial" w:hAnsi="Arial" w:cs="Arial"/>
        </w:rPr>
        <w:t xml:space="preserve">The </w:t>
      </w:r>
      <w:r w:rsidR="00250AF1">
        <w:rPr>
          <w:rFonts w:ascii="Arial" w:hAnsi="Arial" w:cs="Arial"/>
        </w:rPr>
        <w:t xml:space="preserve">indicative </w:t>
      </w:r>
      <w:r w:rsidR="008E7E00">
        <w:rPr>
          <w:rFonts w:ascii="Arial" w:hAnsi="Arial" w:cs="Arial"/>
        </w:rPr>
        <w:t>High Needs Bloc</w:t>
      </w:r>
      <w:r w:rsidR="00602F79">
        <w:rPr>
          <w:rFonts w:ascii="Arial" w:hAnsi="Arial" w:cs="Arial"/>
        </w:rPr>
        <w:t>k</w:t>
      </w:r>
      <w:r w:rsidR="00250AF1">
        <w:rPr>
          <w:rFonts w:ascii="Arial" w:hAnsi="Arial" w:cs="Arial"/>
        </w:rPr>
        <w:t xml:space="preserve"> funding announced in July 2020 is £</w:t>
      </w:r>
      <w:r w:rsidR="00205AF9">
        <w:rPr>
          <w:rFonts w:ascii="Arial" w:hAnsi="Arial" w:cs="Arial"/>
        </w:rPr>
        <w:t>14.645m</w:t>
      </w:r>
      <w:r w:rsidR="00250AF1">
        <w:rPr>
          <w:rFonts w:ascii="Arial" w:hAnsi="Arial" w:cs="Arial"/>
        </w:rPr>
        <w:t xml:space="preserve"> before recoupment of place funding. </w:t>
      </w:r>
      <w:r w:rsidR="00205AF9">
        <w:rPr>
          <w:rFonts w:ascii="Arial" w:hAnsi="Arial" w:cs="Arial"/>
        </w:rPr>
        <w:t xml:space="preserve">However, £0.219m of this relates to Teachers Pay Grant (TPG) and Teachers Pension Employer Contribution Grant (TPECG) for special schools and the Pupil Referral Unit (PRU). The separate grants have been mainstreamed into the High Needs Block formula from 2021/22. </w:t>
      </w:r>
    </w:p>
    <w:p w14:paraId="1EAC8DC2" w14:textId="77777777" w:rsidR="00205AF9" w:rsidRDefault="00205AF9" w:rsidP="006D4B67">
      <w:pPr>
        <w:ind w:left="720" w:hanging="720"/>
        <w:rPr>
          <w:rFonts w:ascii="Arial" w:hAnsi="Arial" w:cs="Arial"/>
        </w:rPr>
      </w:pPr>
    </w:p>
    <w:p w14:paraId="5CC71C66" w14:textId="77777777" w:rsidR="008E7E00" w:rsidRDefault="008E7E00" w:rsidP="006D4B67">
      <w:pPr>
        <w:ind w:left="720" w:hanging="720"/>
        <w:rPr>
          <w:rFonts w:ascii="Arial" w:hAnsi="Arial" w:cs="Arial"/>
        </w:rPr>
      </w:pPr>
    </w:p>
    <w:p w14:paraId="5D99557C" w14:textId="77777777" w:rsidR="008E7E00" w:rsidRDefault="008E7E00" w:rsidP="006D4B67">
      <w:pPr>
        <w:ind w:left="720" w:hanging="720"/>
        <w:rPr>
          <w:rFonts w:ascii="Arial" w:hAnsi="Arial" w:cs="Arial"/>
        </w:rPr>
      </w:pPr>
      <w:r>
        <w:rPr>
          <w:rFonts w:ascii="Arial" w:hAnsi="Arial" w:cs="Arial"/>
        </w:rPr>
        <w:lastRenderedPageBreak/>
        <w:t>3.2</w:t>
      </w:r>
      <w:r>
        <w:rPr>
          <w:rFonts w:ascii="Arial" w:hAnsi="Arial" w:cs="Arial"/>
        </w:rPr>
        <w:tab/>
      </w:r>
      <w:r w:rsidR="00205AF9">
        <w:rPr>
          <w:rFonts w:ascii="Arial" w:hAnsi="Arial" w:cs="Arial"/>
        </w:rPr>
        <w:t>Funding net of the TPG</w:t>
      </w:r>
      <w:r w:rsidR="00893A7E">
        <w:rPr>
          <w:rFonts w:ascii="Arial" w:hAnsi="Arial" w:cs="Arial"/>
        </w:rPr>
        <w:t xml:space="preserve"> and TPECG for 2021/22 is £14.426</w:t>
      </w:r>
      <w:r w:rsidR="00205AF9">
        <w:rPr>
          <w:rFonts w:ascii="Arial" w:hAnsi="Arial" w:cs="Arial"/>
        </w:rPr>
        <w:t>m. This compares to equival</w:t>
      </w:r>
      <w:r w:rsidR="006D1BF1">
        <w:rPr>
          <w:rFonts w:ascii="Arial" w:hAnsi="Arial" w:cs="Arial"/>
        </w:rPr>
        <w:t>ent government funding of £12.946</w:t>
      </w:r>
      <w:r w:rsidR="00893A7E">
        <w:rPr>
          <w:rFonts w:ascii="Arial" w:hAnsi="Arial" w:cs="Arial"/>
        </w:rPr>
        <w:t>m</w:t>
      </w:r>
      <w:r w:rsidR="00205AF9">
        <w:rPr>
          <w:rFonts w:ascii="Arial" w:hAnsi="Arial" w:cs="Arial"/>
        </w:rPr>
        <w:t xml:space="preserve"> for 2020/21. </w:t>
      </w:r>
    </w:p>
    <w:p w14:paraId="5E716D7B" w14:textId="77777777" w:rsidR="00205AF9" w:rsidRDefault="00205AF9" w:rsidP="006D4B67">
      <w:pPr>
        <w:ind w:left="720" w:hanging="720"/>
        <w:rPr>
          <w:rFonts w:ascii="Arial" w:hAnsi="Arial" w:cs="Arial"/>
        </w:rPr>
      </w:pPr>
    </w:p>
    <w:p w14:paraId="4081F60E" w14:textId="77777777" w:rsidR="00205AF9" w:rsidRDefault="00205AF9" w:rsidP="006D4B67">
      <w:pPr>
        <w:ind w:left="720" w:hanging="720"/>
        <w:rPr>
          <w:rFonts w:ascii="Arial" w:hAnsi="Arial" w:cs="Arial"/>
        </w:rPr>
      </w:pPr>
      <w:r>
        <w:rPr>
          <w:rFonts w:ascii="Arial" w:hAnsi="Arial" w:cs="Arial"/>
        </w:rPr>
        <w:t>3.3</w:t>
      </w:r>
      <w:r>
        <w:rPr>
          <w:rFonts w:ascii="Arial" w:hAnsi="Arial" w:cs="Arial"/>
        </w:rPr>
        <w:tab/>
        <w:t xml:space="preserve">This </w:t>
      </w:r>
      <w:r w:rsidR="006D1BF1">
        <w:rPr>
          <w:rFonts w:ascii="Arial" w:hAnsi="Arial" w:cs="Arial"/>
        </w:rPr>
        <w:t>represents an increase of £1.480</w:t>
      </w:r>
      <w:r>
        <w:rPr>
          <w:rFonts w:ascii="Arial" w:hAnsi="Arial" w:cs="Arial"/>
        </w:rPr>
        <w:t>m. However, if we remove the transfer of funding from Schools Block to the High Needs Block in 2020/21</w:t>
      </w:r>
      <w:r w:rsidR="006D1BF1">
        <w:rPr>
          <w:rFonts w:ascii="Arial" w:hAnsi="Arial" w:cs="Arial"/>
        </w:rPr>
        <w:t xml:space="preserve"> of £0.329m</w:t>
      </w:r>
      <w:r>
        <w:rPr>
          <w:rFonts w:ascii="Arial" w:hAnsi="Arial" w:cs="Arial"/>
        </w:rPr>
        <w:t>, this gives a net incr</w:t>
      </w:r>
      <w:r w:rsidR="006D1BF1">
        <w:rPr>
          <w:rFonts w:ascii="Arial" w:hAnsi="Arial" w:cs="Arial"/>
        </w:rPr>
        <w:t>ease in budget funding of £1.151</w:t>
      </w:r>
      <w:r>
        <w:rPr>
          <w:rFonts w:ascii="Arial" w:hAnsi="Arial" w:cs="Arial"/>
        </w:rPr>
        <w:t>m for 2021/22. This is summarised in the following table.</w:t>
      </w:r>
    </w:p>
    <w:p w14:paraId="54C93FEA" w14:textId="77777777" w:rsidR="00205AF9" w:rsidRDefault="00205AF9" w:rsidP="006D4B67">
      <w:pPr>
        <w:ind w:left="720" w:hanging="720"/>
        <w:rPr>
          <w:rFonts w:ascii="Arial" w:hAnsi="Arial" w:cs="Arial"/>
        </w:rPr>
      </w:pPr>
    </w:p>
    <w:tbl>
      <w:tblPr>
        <w:tblW w:w="8001" w:type="dxa"/>
        <w:tblInd w:w="641" w:type="dxa"/>
        <w:tblLook w:val="04A0" w:firstRow="1" w:lastRow="0" w:firstColumn="1" w:lastColumn="0" w:noHBand="0" w:noVBand="1"/>
      </w:tblPr>
      <w:tblGrid>
        <w:gridCol w:w="6442"/>
        <w:gridCol w:w="1559"/>
      </w:tblGrid>
      <w:tr w:rsidR="008E7E00" w:rsidRPr="006670F8" w14:paraId="2800DA34" w14:textId="77777777" w:rsidTr="00AB350D">
        <w:trPr>
          <w:trHeight w:val="276"/>
        </w:trPr>
        <w:tc>
          <w:tcPr>
            <w:tcW w:w="6442" w:type="dxa"/>
            <w:tcBorders>
              <w:top w:val="single" w:sz="4" w:space="0" w:color="auto"/>
              <w:left w:val="single" w:sz="4" w:space="0" w:color="auto"/>
              <w:bottom w:val="nil"/>
              <w:right w:val="nil"/>
            </w:tcBorders>
            <w:shd w:val="clear" w:color="000000" w:fill="000000"/>
            <w:noWrap/>
            <w:vAlign w:val="bottom"/>
            <w:hideMark/>
          </w:tcPr>
          <w:p w14:paraId="47A5E320" w14:textId="77777777" w:rsidR="008E7E00" w:rsidRPr="006D1BF1" w:rsidRDefault="008E7E00" w:rsidP="006D1BF1">
            <w:pPr>
              <w:jc w:val="center"/>
              <w:rPr>
                <w:rFonts w:ascii="Arial" w:hAnsi="Arial" w:cs="Arial"/>
                <w:color w:val="FFFFFF"/>
              </w:rPr>
            </w:pPr>
            <w:r>
              <w:rPr>
                <w:rFonts w:ascii="Arial" w:hAnsi="Arial" w:cs="Arial"/>
              </w:rPr>
              <w:tab/>
            </w:r>
            <w:r w:rsidRPr="006D1BF1">
              <w:rPr>
                <w:rFonts w:ascii="Arial" w:hAnsi="Arial" w:cs="Arial"/>
                <w:color w:val="FFFFFF"/>
              </w:rPr>
              <w:t xml:space="preserve">High Needs </w:t>
            </w:r>
            <w:r w:rsidR="006D1BF1" w:rsidRPr="006D1BF1">
              <w:rPr>
                <w:rFonts w:ascii="Arial" w:hAnsi="Arial" w:cs="Arial"/>
                <w:color w:val="FFFFFF"/>
              </w:rPr>
              <w:t>Funding Change 2021</w:t>
            </w:r>
            <w:r w:rsidRPr="006D1BF1">
              <w:rPr>
                <w:rFonts w:ascii="Arial" w:hAnsi="Arial" w:cs="Arial"/>
                <w:color w:val="FFFFFF"/>
              </w:rPr>
              <w:t>/</w:t>
            </w:r>
            <w:r w:rsidR="006D1BF1" w:rsidRPr="006D1BF1">
              <w:rPr>
                <w:rFonts w:ascii="Arial" w:hAnsi="Arial" w:cs="Arial"/>
                <w:color w:val="FFFFFF"/>
              </w:rPr>
              <w:t>22</w:t>
            </w:r>
          </w:p>
        </w:tc>
        <w:tc>
          <w:tcPr>
            <w:tcW w:w="1559" w:type="dxa"/>
            <w:tcBorders>
              <w:top w:val="single" w:sz="4" w:space="0" w:color="auto"/>
              <w:left w:val="single" w:sz="4" w:space="0" w:color="auto"/>
              <w:right w:val="single" w:sz="4" w:space="0" w:color="auto"/>
            </w:tcBorders>
            <w:shd w:val="clear" w:color="000000" w:fill="000000"/>
            <w:noWrap/>
            <w:vAlign w:val="bottom"/>
            <w:hideMark/>
          </w:tcPr>
          <w:p w14:paraId="42072AC7" w14:textId="77777777" w:rsidR="008E7E00" w:rsidRPr="006D1BF1" w:rsidRDefault="008E7E00" w:rsidP="008E7E00">
            <w:pPr>
              <w:jc w:val="center"/>
              <w:rPr>
                <w:rFonts w:ascii="Arial" w:hAnsi="Arial" w:cs="Arial"/>
                <w:color w:val="FFFFFF"/>
              </w:rPr>
            </w:pPr>
            <w:r w:rsidRPr="006D1BF1">
              <w:rPr>
                <w:rFonts w:ascii="Arial" w:hAnsi="Arial" w:cs="Arial"/>
                <w:color w:val="FFFFFF"/>
              </w:rPr>
              <w:t>£m</w:t>
            </w:r>
          </w:p>
        </w:tc>
      </w:tr>
      <w:tr w:rsidR="008E7E00" w:rsidRPr="006670F8" w14:paraId="4180407B" w14:textId="77777777" w:rsidTr="00AB350D">
        <w:trPr>
          <w:trHeight w:val="276"/>
        </w:trPr>
        <w:tc>
          <w:tcPr>
            <w:tcW w:w="6442" w:type="dxa"/>
            <w:tcBorders>
              <w:top w:val="nil"/>
              <w:left w:val="single" w:sz="4" w:space="0" w:color="auto"/>
              <w:bottom w:val="nil"/>
              <w:right w:val="single" w:sz="4" w:space="0" w:color="auto"/>
            </w:tcBorders>
            <w:shd w:val="clear" w:color="auto" w:fill="auto"/>
            <w:noWrap/>
            <w:vAlign w:val="bottom"/>
            <w:hideMark/>
          </w:tcPr>
          <w:p w14:paraId="4B069E4D" w14:textId="399A25C8" w:rsidR="008E7E00" w:rsidRPr="006D1BF1" w:rsidRDefault="006D1BF1" w:rsidP="005C55FE">
            <w:pPr>
              <w:rPr>
                <w:rFonts w:ascii="Arial" w:hAnsi="Arial" w:cs="Arial"/>
                <w:color w:val="000000"/>
              </w:rPr>
            </w:pPr>
            <w:r w:rsidRPr="006D1BF1">
              <w:rPr>
                <w:rFonts w:ascii="Arial" w:hAnsi="Arial" w:cs="Arial"/>
                <w:color w:val="000000"/>
              </w:rPr>
              <w:t xml:space="preserve">2021/22 </w:t>
            </w:r>
            <w:r w:rsidR="00AB350D">
              <w:rPr>
                <w:rFonts w:ascii="Arial" w:hAnsi="Arial" w:cs="Arial"/>
                <w:color w:val="000000"/>
              </w:rPr>
              <w:t xml:space="preserve">Government </w:t>
            </w:r>
            <w:r w:rsidRPr="006D1BF1">
              <w:rPr>
                <w:rFonts w:ascii="Arial" w:hAnsi="Arial" w:cs="Arial"/>
                <w:color w:val="000000"/>
              </w:rPr>
              <w:t>Funding (before recoupment)</w:t>
            </w:r>
          </w:p>
        </w:tc>
        <w:tc>
          <w:tcPr>
            <w:tcW w:w="1559" w:type="dxa"/>
            <w:tcBorders>
              <w:left w:val="single" w:sz="4" w:space="0" w:color="auto"/>
              <w:bottom w:val="nil"/>
              <w:right w:val="single" w:sz="4" w:space="0" w:color="auto"/>
            </w:tcBorders>
            <w:shd w:val="clear" w:color="auto" w:fill="auto"/>
            <w:noWrap/>
            <w:vAlign w:val="bottom"/>
            <w:hideMark/>
          </w:tcPr>
          <w:p w14:paraId="57F3DD5E" w14:textId="77777777" w:rsidR="008E7E00" w:rsidRPr="006D1BF1" w:rsidRDefault="006D1BF1" w:rsidP="005C55FE">
            <w:pPr>
              <w:jc w:val="right"/>
              <w:rPr>
                <w:rFonts w:ascii="Arial" w:hAnsi="Arial" w:cs="Arial"/>
                <w:color w:val="000000"/>
              </w:rPr>
            </w:pPr>
            <w:r w:rsidRPr="006D1BF1">
              <w:rPr>
                <w:rFonts w:ascii="Arial" w:hAnsi="Arial" w:cs="Arial"/>
                <w:color w:val="000000"/>
              </w:rPr>
              <w:t>14.465</w:t>
            </w:r>
          </w:p>
        </w:tc>
      </w:tr>
      <w:tr w:rsidR="008E7E00" w:rsidRPr="006670F8" w14:paraId="688A54E4" w14:textId="77777777" w:rsidTr="00AB350D">
        <w:trPr>
          <w:trHeight w:val="276"/>
        </w:trPr>
        <w:tc>
          <w:tcPr>
            <w:tcW w:w="6442" w:type="dxa"/>
            <w:tcBorders>
              <w:top w:val="nil"/>
              <w:left w:val="single" w:sz="4" w:space="0" w:color="auto"/>
              <w:bottom w:val="nil"/>
              <w:right w:val="single" w:sz="4" w:space="0" w:color="auto"/>
            </w:tcBorders>
            <w:shd w:val="clear" w:color="auto" w:fill="auto"/>
            <w:noWrap/>
            <w:vAlign w:val="bottom"/>
            <w:hideMark/>
          </w:tcPr>
          <w:p w14:paraId="703686A6" w14:textId="77777777" w:rsidR="008E7E00" w:rsidRPr="006D1BF1" w:rsidRDefault="006D1BF1" w:rsidP="005C55FE">
            <w:pPr>
              <w:rPr>
                <w:rFonts w:ascii="Arial" w:hAnsi="Arial" w:cs="Arial"/>
                <w:color w:val="000000"/>
              </w:rPr>
            </w:pPr>
            <w:r w:rsidRPr="006D1BF1">
              <w:rPr>
                <w:rFonts w:ascii="Arial" w:hAnsi="Arial" w:cs="Arial"/>
                <w:color w:val="000000"/>
              </w:rPr>
              <w:t>Less 2021/22 Funding of TPG and TPECG</w:t>
            </w:r>
          </w:p>
        </w:tc>
        <w:tc>
          <w:tcPr>
            <w:tcW w:w="1559" w:type="dxa"/>
            <w:tcBorders>
              <w:top w:val="nil"/>
              <w:left w:val="single" w:sz="4" w:space="0" w:color="auto"/>
              <w:bottom w:val="nil"/>
              <w:right w:val="single" w:sz="4" w:space="0" w:color="auto"/>
            </w:tcBorders>
            <w:shd w:val="clear" w:color="auto" w:fill="auto"/>
            <w:noWrap/>
            <w:vAlign w:val="bottom"/>
            <w:hideMark/>
          </w:tcPr>
          <w:p w14:paraId="76D87195" w14:textId="77777777" w:rsidR="008E7E00" w:rsidRPr="006D1BF1" w:rsidRDefault="006D1BF1" w:rsidP="005C55FE">
            <w:pPr>
              <w:jc w:val="right"/>
              <w:rPr>
                <w:rFonts w:ascii="Arial" w:hAnsi="Arial" w:cs="Arial"/>
                <w:color w:val="000000"/>
              </w:rPr>
            </w:pPr>
            <w:r w:rsidRPr="006D1BF1">
              <w:rPr>
                <w:rFonts w:ascii="Arial" w:hAnsi="Arial" w:cs="Arial"/>
                <w:color w:val="000000"/>
              </w:rPr>
              <w:t>(0.219)</w:t>
            </w:r>
          </w:p>
        </w:tc>
      </w:tr>
      <w:tr w:rsidR="008E7E00" w:rsidRPr="006670F8" w14:paraId="7CC4F27D" w14:textId="77777777" w:rsidTr="00AB350D">
        <w:trPr>
          <w:trHeight w:val="276"/>
        </w:trPr>
        <w:tc>
          <w:tcPr>
            <w:tcW w:w="6442" w:type="dxa"/>
            <w:tcBorders>
              <w:top w:val="nil"/>
              <w:left w:val="single" w:sz="4" w:space="0" w:color="auto"/>
              <w:bottom w:val="nil"/>
              <w:right w:val="single" w:sz="4" w:space="0" w:color="auto"/>
            </w:tcBorders>
            <w:shd w:val="clear" w:color="auto" w:fill="000000" w:themeFill="text1"/>
            <w:noWrap/>
            <w:vAlign w:val="bottom"/>
          </w:tcPr>
          <w:p w14:paraId="1DE7A119" w14:textId="77777777" w:rsidR="008E7E00" w:rsidRPr="006D1BF1" w:rsidRDefault="006D1BF1" w:rsidP="005C55FE">
            <w:pPr>
              <w:rPr>
                <w:rFonts w:ascii="Arial" w:hAnsi="Arial" w:cs="Arial"/>
                <w:color w:val="FFFFFF" w:themeColor="background1"/>
              </w:rPr>
            </w:pPr>
            <w:r w:rsidRPr="006D1BF1">
              <w:rPr>
                <w:rFonts w:ascii="Arial" w:hAnsi="Arial" w:cs="Arial"/>
                <w:color w:val="FFFFFF" w:themeColor="background1"/>
              </w:rPr>
              <w:t>2021/22 Funding Net</w:t>
            </w:r>
          </w:p>
        </w:tc>
        <w:tc>
          <w:tcPr>
            <w:tcW w:w="1559" w:type="dxa"/>
            <w:tcBorders>
              <w:top w:val="nil"/>
              <w:left w:val="single" w:sz="4" w:space="0" w:color="auto"/>
              <w:bottom w:val="nil"/>
              <w:right w:val="single" w:sz="4" w:space="0" w:color="auto"/>
            </w:tcBorders>
            <w:shd w:val="clear" w:color="auto" w:fill="000000" w:themeFill="text1"/>
            <w:noWrap/>
            <w:vAlign w:val="bottom"/>
          </w:tcPr>
          <w:p w14:paraId="5A1BEFA2" w14:textId="77777777" w:rsidR="008E7E00" w:rsidRPr="006D1BF1" w:rsidRDefault="006D1BF1" w:rsidP="005C55FE">
            <w:pPr>
              <w:jc w:val="right"/>
              <w:rPr>
                <w:rFonts w:ascii="Arial" w:hAnsi="Arial" w:cs="Arial"/>
                <w:color w:val="FFFFFF" w:themeColor="background1"/>
              </w:rPr>
            </w:pPr>
            <w:r w:rsidRPr="006D1BF1">
              <w:rPr>
                <w:rFonts w:ascii="Arial" w:hAnsi="Arial" w:cs="Arial"/>
                <w:color w:val="FFFFFF" w:themeColor="background1"/>
              </w:rPr>
              <w:t>14.426</w:t>
            </w:r>
          </w:p>
        </w:tc>
      </w:tr>
      <w:tr w:rsidR="006D1BF1" w:rsidRPr="006670F8" w14:paraId="168C028F" w14:textId="77777777" w:rsidTr="00AB350D">
        <w:trPr>
          <w:trHeight w:val="276"/>
        </w:trPr>
        <w:tc>
          <w:tcPr>
            <w:tcW w:w="6442" w:type="dxa"/>
            <w:tcBorders>
              <w:top w:val="nil"/>
              <w:left w:val="single" w:sz="4" w:space="0" w:color="auto"/>
              <w:bottom w:val="nil"/>
              <w:right w:val="single" w:sz="4" w:space="0" w:color="auto"/>
            </w:tcBorders>
            <w:shd w:val="clear" w:color="auto" w:fill="auto"/>
            <w:noWrap/>
            <w:vAlign w:val="bottom"/>
          </w:tcPr>
          <w:p w14:paraId="2A97A10B" w14:textId="77777777" w:rsidR="006D1BF1" w:rsidRPr="006D1BF1" w:rsidRDefault="006D1BF1" w:rsidP="005C55FE">
            <w:pPr>
              <w:rPr>
                <w:rFonts w:ascii="Arial" w:hAnsi="Arial" w:cs="Arial"/>
                <w:color w:val="000000"/>
              </w:rPr>
            </w:pPr>
          </w:p>
        </w:tc>
        <w:tc>
          <w:tcPr>
            <w:tcW w:w="1559" w:type="dxa"/>
            <w:tcBorders>
              <w:top w:val="nil"/>
              <w:left w:val="single" w:sz="4" w:space="0" w:color="auto"/>
              <w:bottom w:val="nil"/>
              <w:right w:val="single" w:sz="4" w:space="0" w:color="auto"/>
            </w:tcBorders>
            <w:shd w:val="clear" w:color="auto" w:fill="auto"/>
            <w:noWrap/>
            <w:vAlign w:val="bottom"/>
          </w:tcPr>
          <w:p w14:paraId="1609F1C0" w14:textId="77777777" w:rsidR="006D1BF1" w:rsidRPr="006D1BF1" w:rsidRDefault="006D1BF1" w:rsidP="005C55FE">
            <w:pPr>
              <w:jc w:val="right"/>
              <w:rPr>
                <w:rFonts w:ascii="Arial" w:hAnsi="Arial" w:cs="Arial"/>
                <w:color w:val="000000"/>
              </w:rPr>
            </w:pPr>
          </w:p>
        </w:tc>
      </w:tr>
      <w:tr w:rsidR="00C9166F" w:rsidRPr="006670F8" w14:paraId="63F950CC" w14:textId="77777777" w:rsidTr="00AB350D">
        <w:trPr>
          <w:trHeight w:val="276"/>
        </w:trPr>
        <w:tc>
          <w:tcPr>
            <w:tcW w:w="6442" w:type="dxa"/>
            <w:tcBorders>
              <w:top w:val="nil"/>
              <w:left w:val="single" w:sz="4" w:space="0" w:color="auto"/>
              <w:bottom w:val="nil"/>
              <w:right w:val="single" w:sz="4" w:space="0" w:color="auto"/>
            </w:tcBorders>
            <w:shd w:val="clear" w:color="auto" w:fill="auto"/>
            <w:noWrap/>
            <w:vAlign w:val="bottom"/>
          </w:tcPr>
          <w:p w14:paraId="144AD715" w14:textId="77777777" w:rsidR="00C9166F" w:rsidRPr="006D1BF1" w:rsidRDefault="006D1BF1" w:rsidP="005C55FE">
            <w:pPr>
              <w:rPr>
                <w:rFonts w:ascii="Arial" w:hAnsi="Arial" w:cs="Arial"/>
                <w:color w:val="000000"/>
              </w:rPr>
            </w:pPr>
            <w:r w:rsidRPr="006D1BF1">
              <w:rPr>
                <w:rFonts w:ascii="Arial" w:hAnsi="Arial" w:cs="Arial"/>
                <w:color w:val="000000"/>
              </w:rPr>
              <w:t>2021/22 Increase in government funding</w:t>
            </w:r>
          </w:p>
        </w:tc>
        <w:tc>
          <w:tcPr>
            <w:tcW w:w="1559" w:type="dxa"/>
            <w:tcBorders>
              <w:top w:val="nil"/>
              <w:left w:val="single" w:sz="4" w:space="0" w:color="auto"/>
              <w:bottom w:val="nil"/>
              <w:right w:val="single" w:sz="4" w:space="0" w:color="auto"/>
            </w:tcBorders>
            <w:shd w:val="clear" w:color="auto" w:fill="auto"/>
            <w:noWrap/>
            <w:vAlign w:val="bottom"/>
          </w:tcPr>
          <w:p w14:paraId="1629FDC6" w14:textId="77777777" w:rsidR="00C9166F" w:rsidRPr="006D1BF1" w:rsidRDefault="006D1BF1" w:rsidP="005C55FE">
            <w:pPr>
              <w:jc w:val="right"/>
              <w:rPr>
                <w:rFonts w:ascii="Arial" w:hAnsi="Arial" w:cs="Arial"/>
                <w:color w:val="000000"/>
              </w:rPr>
            </w:pPr>
            <w:r w:rsidRPr="006D1BF1">
              <w:rPr>
                <w:rFonts w:ascii="Arial" w:hAnsi="Arial" w:cs="Arial"/>
                <w:color w:val="000000"/>
              </w:rPr>
              <w:t>1.480</w:t>
            </w:r>
          </w:p>
        </w:tc>
      </w:tr>
      <w:tr w:rsidR="008E7E00" w:rsidRPr="006670F8" w14:paraId="09B7FC6B" w14:textId="77777777" w:rsidTr="00AB350D">
        <w:trPr>
          <w:trHeight w:val="276"/>
        </w:trPr>
        <w:tc>
          <w:tcPr>
            <w:tcW w:w="6442" w:type="dxa"/>
            <w:tcBorders>
              <w:top w:val="nil"/>
              <w:left w:val="single" w:sz="4" w:space="0" w:color="auto"/>
              <w:bottom w:val="nil"/>
              <w:right w:val="single" w:sz="4" w:space="0" w:color="auto"/>
            </w:tcBorders>
            <w:shd w:val="clear" w:color="auto" w:fill="auto"/>
            <w:noWrap/>
            <w:vAlign w:val="bottom"/>
            <w:hideMark/>
          </w:tcPr>
          <w:p w14:paraId="6E9D80F7" w14:textId="77777777" w:rsidR="008E7E00" w:rsidRPr="006D1BF1" w:rsidRDefault="006D1BF1" w:rsidP="005C55FE">
            <w:pPr>
              <w:rPr>
                <w:rFonts w:ascii="Arial" w:hAnsi="Arial" w:cs="Arial"/>
                <w:color w:val="000000"/>
              </w:rPr>
            </w:pPr>
            <w:r w:rsidRPr="006D1BF1">
              <w:rPr>
                <w:rFonts w:ascii="Arial" w:hAnsi="Arial" w:cs="Arial"/>
                <w:color w:val="000000"/>
              </w:rPr>
              <w:t>Less block transfer for 2020/21</w:t>
            </w:r>
          </w:p>
        </w:tc>
        <w:tc>
          <w:tcPr>
            <w:tcW w:w="1559" w:type="dxa"/>
            <w:tcBorders>
              <w:top w:val="nil"/>
              <w:left w:val="single" w:sz="4" w:space="0" w:color="auto"/>
              <w:bottom w:val="nil"/>
              <w:right w:val="single" w:sz="4" w:space="0" w:color="auto"/>
            </w:tcBorders>
            <w:shd w:val="clear" w:color="auto" w:fill="auto"/>
            <w:noWrap/>
            <w:vAlign w:val="bottom"/>
            <w:hideMark/>
          </w:tcPr>
          <w:p w14:paraId="2B698249" w14:textId="77777777" w:rsidR="008E7E00" w:rsidRPr="006D1BF1" w:rsidRDefault="006D1BF1" w:rsidP="00C9166F">
            <w:pPr>
              <w:jc w:val="right"/>
              <w:rPr>
                <w:rFonts w:ascii="Arial" w:hAnsi="Arial" w:cs="Arial"/>
                <w:color w:val="000000"/>
              </w:rPr>
            </w:pPr>
            <w:r w:rsidRPr="006D1BF1">
              <w:rPr>
                <w:rFonts w:ascii="Arial" w:hAnsi="Arial" w:cs="Arial"/>
                <w:color w:val="000000"/>
              </w:rPr>
              <w:t>(0.329)</w:t>
            </w:r>
          </w:p>
        </w:tc>
      </w:tr>
      <w:tr w:rsidR="008E7E00" w:rsidRPr="006670F8" w14:paraId="5467FBFA" w14:textId="77777777" w:rsidTr="00AB350D">
        <w:trPr>
          <w:trHeight w:val="276"/>
        </w:trPr>
        <w:tc>
          <w:tcPr>
            <w:tcW w:w="6442" w:type="dxa"/>
            <w:tcBorders>
              <w:top w:val="nil"/>
              <w:left w:val="single" w:sz="4" w:space="0" w:color="auto"/>
              <w:bottom w:val="nil"/>
              <w:right w:val="single" w:sz="4" w:space="0" w:color="auto"/>
            </w:tcBorders>
            <w:shd w:val="clear" w:color="auto" w:fill="000000" w:themeFill="text1"/>
            <w:noWrap/>
            <w:vAlign w:val="bottom"/>
            <w:hideMark/>
          </w:tcPr>
          <w:p w14:paraId="725B5CCD" w14:textId="77777777" w:rsidR="008E7E00" w:rsidRPr="006D1BF1" w:rsidRDefault="006D1BF1" w:rsidP="005C55FE">
            <w:pPr>
              <w:rPr>
                <w:rFonts w:ascii="Arial" w:hAnsi="Arial" w:cs="Arial"/>
                <w:color w:val="FFFFFF" w:themeColor="background1"/>
              </w:rPr>
            </w:pPr>
            <w:r w:rsidRPr="006D1BF1">
              <w:rPr>
                <w:rFonts w:ascii="Arial" w:hAnsi="Arial" w:cs="Arial"/>
                <w:color w:val="FFFFFF" w:themeColor="background1"/>
              </w:rPr>
              <w:t>Net increase in overall Funding</w:t>
            </w:r>
          </w:p>
        </w:tc>
        <w:tc>
          <w:tcPr>
            <w:tcW w:w="1559" w:type="dxa"/>
            <w:tcBorders>
              <w:top w:val="nil"/>
              <w:left w:val="single" w:sz="4" w:space="0" w:color="auto"/>
              <w:bottom w:val="nil"/>
              <w:right w:val="single" w:sz="4" w:space="0" w:color="auto"/>
            </w:tcBorders>
            <w:shd w:val="clear" w:color="auto" w:fill="000000" w:themeFill="text1"/>
            <w:noWrap/>
            <w:vAlign w:val="bottom"/>
            <w:hideMark/>
          </w:tcPr>
          <w:p w14:paraId="36040CB3" w14:textId="77777777" w:rsidR="008E7E00" w:rsidRPr="006D1BF1" w:rsidRDefault="006D1BF1" w:rsidP="005C55FE">
            <w:pPr>
              <w:jc w:val="right"/>
              <w:rPr>
                <w:rFonts w:ascii="Arial" w:hAnsi="Arial" w:cs="Arial"/>
                <w:color w:val="FFFFFF" w:themeColor="background1"/>
              </w:rPr>
            </w:pPr>
            <w:r w:rsidRPr="006D1BF1">
              <w:rPr>
                <w:rFonts w:ascii="Arial" w:hAnsi="Arial" w:cs="Arial"/>
                <w:color w:val="FFFFFF" w:themeColor="background1"/>
              </w:rPr>
              <w:t>1.151</w:t>
            </w:r>
          </w:p>
        </w:tc>
      </w:tr>
    </w:tbl>
    <w:p w14:paraId="343A9491" w14:textId="77777777" w:rsidR="008E7E00" w:rsidRDefault="008E7E00" w:rsidP="006D4B67">
      <w:pPr>
        <w:ind w:left="720" w:hanging="720"/>
        <w:rPr>
          <w:rFonts w:ascii="Arial" w:hAnsi="Arial" w:cs="Arial"/>
          <w:color w:val="FF0000"/>
        </w:rPr>
      </w:pPr>
    </w:p>
    <w:p w14:paraId="466243FC" w14:textId="1F1014D7" w:rsidR="009D3D8F" w:rsidRDefault="00BC2816" w:rsidP="00205AF9">
      <w:pPr>
        <w:ind w:left="720" w:hanging="720"/>
        <w:rPr>
          <w:rFonts w:ascii="Arial" w:hAnsi="Arial" w:cs="Arial"/>
        </w:rPr>
      </w:pPr>
      <w:r>
        <w:rPr>
          <w:rFonts w:ascii="Arial" w:hAnsi="Arial" w:cs="Arial"/>
        </w:rPr>
        <w:t>3.4</w:t>
      </w:r>
      <w:r w:rsidR="009D3D8F" w:rsidRPr="009D3D8F">
        <w:rPr>
          <w:rFonts w:ascii="Arial" w:hAnsi="Arial" w:cs="Arial"/>
        </w:rPr>
        <w:tab/>
      </w:r>
      <w:r w:rsidR="00205AF9">
        <w:rPr>
          <w:rFonts w:ascii="Arial" w:hAnsi="Arial" w:cs="Arial"/>
        </w:rPr>
        <w:t>The indicative High Needs Block funding is subject to change in July each year via revised recoupment funding relating to academy places and also via the annual import / export adjustment. These changes are notified in July each year. Changes affecting the 2021/22 funding will be announced in July 2021.</w:t>
      </w:r>
    </w:p>
    <w:p w14:paraId="42D6F50F" w14:textId="77777777" w:rsidR="00205AF9" w:rsidRPr="009D3D8F" w:rsidRDefault="00205AF9" w:rsidP="00205AF9">
      <w:pPr>
        <w:ind w:left="720" w:hanging="720"/>
        <w:rPr>
          <w:rFonts w:ascii="Arial" w:hAnsi="Arial" w:cs="Arial"/>
        </w:rPr>
      </w:pPr>
    </w:p>
    <w:p w14:paraId="285E3E9F" w14:textId="77777777" w:rsidR="002F069C" w:rsidRPr="004E4BFB" w:rsidRDefault="006D4B67" w:rsidP="0040116D">
      <w:pPr>
        <w:ind w:left="360" w:hanging="360"/>
        <w:rPr>
          <w:rFonts w:ascii="Arial" w:hAnsi="Arial" w:cs="Arial"/>
          <w:b/>
          <w:u w:val="single"/>
        </w:rPr>
      </w:pPr>
      <w:r>
        <w:rPr>
          <w:rFonts w:ascii="Arial" w:hAnsi="Arial" w:cs="Arial"/>
          <w:b/>
        </w:rPr>
        <w:t>4</w:t>
      </w:r>
      <w:r w:rsidR="00741D19" w:rsidRPr="00741D19">
        <w:rPr>
          <w:rFonts w:ascii="Arial" w:hAnsi="Arial" w:cs="Arial"/>
          <w:b/>
        </w:rPr>
        <w:t xml:space="preserve">. </w:t>
      </w:r>
      <w:r w:rsidR="00741D19" w:rsidRPr="00741D19">
        <w:rPr>
          <w:rFonts w:ascii="Arial" w:hAnsi="Arial" w:cs="Arial"/>
          <w:b/>
        </w:rPr>
        <w:tab/>
      </w:r>
      <w:r w:rsidR="00741D19" w:rsidRPr="00741D19">
        <w:rPr>
          <w:rFonts w:ascii="Arial" w:hAnsi="Arial" w:cs="Arial"/>
          <w:b/>
        </w:rPr>
        <w:tab/>
      </w:r>
      <w:r w:rsidR="00205AF9">
        <w:rPr>
          <w:rFonts w:ascii="Arial" w:hAnsi="Arial" w:cs="Arial"/>
          <w:b/>
          <w:u w:val="single"/>
        </w:rPr>
        <w:t>2021/22</w:t>
      </w:r>
      <w:r w:rsidR="002F069C" w:rsidRPr="004E4BFB">
        <w:rPr>
          <w:rFonts w:ascii="Arial" w:hAnsi="Arial" w:cs="Arial"/>
          <w:b/>
          <w:u w:val="single"/>
        </w:rPr>
        <w:t xml:space="preserve"> </w:t>
      </w:r>
      <w:r w:rsidR="00205AF9">
        <w:rPr>
          <w:rFonts w:ascii="Arial" w:hAnsi="Arial" w:cs="Arial"/>
          <w:b/>
          <w:u w:val="single"/>
        </w:rPr>
        <w:t>Budget Proposals for Consideration</w:t>
      </w:r>
    </w:p>
    <w:p w14:paraId="42952B5C" w14:textId="77777777" w:rsidR="0051311E" w:rsidRDefault="0051311E" w:rsidP="0040116D">
      <w:pPr>
        <w:ind w:left="360" w:hanging="360"/>
        <w:rPr>
          <w:rFonts w:ascii="Arial" w:hAnsi="Arial" w:cs="Arial"/>
        </w:rPr>
      </w:pPr>
    </w:p>
    <w:p w14:paraId="6FAD3AD7" w14:textId="77777777" w:rsidR="008A226A" w:rsidRDefault="002B4790" w:rsidP="003B27BE">
      <w:pPr>
        <w:ind w:left="720" w:hanging="720"/>
        <w:rPr>
          <w:rFonts w:ascii="Arial" w:hAnsi="Arial" w:cs="Arial"/>
        </w:rPr>
      </w:pPr>
      <w:r>
        <w:rPr>
          <w:rFonts w:ascii="Arial" w:hAnsi="Arial" w:cs="Arial"/>
        </w:rPr>
        <w:t>4.1</w:t>
      </w:r>
      <w:r>
        <w:rPr>
          <w:rFonts w:ascii="Arial" w:hAnsi="Arial" w:cs="Arial"/>
        </w:rPr>
        <w:tab/>
      </w:r>
      <w:r w:rsidR="00E82800">
        <w:rPr>
          <w:rFonts w:ascii="Arial" w:hAnsi="Arial" w:cs="Arial"/>
        </w:rPr>
        <w:t xml:space="preserve">As outlined in a separate report on this same agenda, </w:t>
      </w:r>
      <w:r w:rsidR="0098703B" w:rsidRPr="00C02934">
        <w:rPr>
          <w:rFonts w:ascii="Arial" w:hAnsi="Arial" w:cs="Arial"/>
        </w:rPr>
        <w:t>the mid-case estimated</w:t>
      </w:r>
      <w:r w:rsidR="00DD0E20" w:rsidRPr="00C02934">
        <w:rPr>
          <w:rFonts w:ascii="Arial" w:hAnsi="Arial" w:cs="Arial"/>
        </w:rPr>
        <w:t xml:space="preserve"> outturn </w:t>
      </w:r>
      <w:r w:rsidR="0098703B" w:rsidRPr="00C02934">
        <w:rPr>
          <w:rFonts w:ascii="Arial" w:hAnsi="Arial" w:cs="Arial"/>
        </w:rPr>
        <w:t>for 2020/21</w:t>
      </w:r>
      <w:r w:rsidR="003B27BE" w:rsidRPr="00C02934">
        <w:rPr>
          <w:rFonts w:ascii="Arial" w:hAnsi="Arial" w:cs="Arial"/>
        </w:rPr>
        <w:t xml:space="preserve"> </w:t>
      </w:r>
      <w:r w:rsidR="00DD0E20" w:rsidRPr="00C02934">
        <w:rPr>
          <w:rFonts w:ascii="Arial" w:hAnsi="Arial" w:cs="Arial"/>
        </w:rPr>
        <w:t xml:space="preserve">is </w:t>
      </w:r>
      <w:proofErr w:type="gramStart"/>
      <w:r w:rsidR="00246152">
        <w:rPr>
          <w:rFonts w:ascii="Arial" w:hAnsi="Arial" w:cs="Arial"/>
        </w:rPr>
        <w:t>an overspend</w:t>
      </w:r>
      <w:proofErr w:type="gramEnd"/>
      <w:r w:rsidR="001346EA" w:rsidRPr="00C02934">
        <w:rPr>
          <w:rFonts w:ascii="Arial" w:hAnsi="Arial" w:cs="Arial"/>
        </w:rPr>
        <w:t xml:space="preserve"> of </w:t>
      </w:r>
      <w:r w:rsidR="005D205F">
        <w:rPr>
          <w:rFonts w:ascii="Arial" w:hAnsi="Arial" w:cs="Arial"/>
          <w:b/>
        </w:rPr>
        <w:t>£0.155</w:t>
      </w:r>
      <w:r w:rsidR="00187032" w:rsidRPr="00C02934">
        <w:rPr>
          <w:rFonts w:ascii="Arial" w:hAnsi="Arial" w:cs="Arial"/>
          <w:b/>
        </w:rPr>
        <w:t>m</w:t>
      </w:r>
      <w:r w:rsidR="00187032" w:rsidRPr="00C02934">
        <w:rPr>
          <w:rFonts w:ascii="Arial" w:hAnsi="Arial" w:cs="Arial"/>
        </w:rPr>
        <w:t xml:space="preserve">. </w:t>
      </w:r>
    </w:p>
    <w:p w14:paraId="63B742D0" w14:textId="77777777" w:rsidR="004E4BFB" w:rsidRDefault="004E4BFB" w:rsidP="0040116D">
      <w:pPr>
        <w:ind w:left="360" w:hanging="360"/>
        <w:rPr>
          <w:rFonts w:ascii="Arial" w:hAnsi="Arial" w:cs="Arial"/>
        </w:rPr>
      </w:pPr>
    </w:p>
    <w:p w14:paraId="088B1762" w14:textId="77777777" w:rsidR="00BE6D2A" w:rsidRPr="00B63511" w:rsidRDefault="00C12D6E" w:rsidP="00F2265C">
      <w:pPr>
        <w:ind w:left="709" w:hanging="709"/>
        <w:rPr>
          <w:rFonts w:ascii="Arial" w:hAnsi="Arial" w:cs="Arial"/>
          <w:b/>
          <w:u w:val="single"/>
        </w:rPr>
      </w:pPr>
      <w:r>
        <w:rPr>
          <w:rFonts w:ascii="Arial" w:hAnsi="Arial" w:cs="Arial"/>
        </w:rPr>
        <w:t>4</w:t>
      </w:r>
      <w:r w:rsidR="00B00997">
        <w:rPr>
          <w:rFonts w:ascii="Arial" w:hAnsi="Arial" w:cs="Arial"/>
        </w:rPr>
        <w:t>.2</w:t>
      </w:r>
      <w:r w:rsidR="00B63511">
        <w:rPr>
          <w:rFonts w:ascii="Arial" w:hAnsi="Arial" w:cs="Arial"/>
        </w:rPr>
        <w:tab/>
      </w:r>
      <w:r w:rsidR="007C5FDE">
        <w:rPr>
          <w:rFonts w:ascii="Arial" w:hAnsi="Arial" w:cs="Arial"/>
        </w:rPr>
        <w:t xml:space="preserve">Should the mid-case projected outturn materialise, there would be a total deficit on High Needs Block reserves of £0.291m. Should a three-year repayment period be agreed, this would add </w:t>
      </w:r>
      <w:r w:rsidR="007C5FDE" w:rsidRPr="007C5FDE">
        <w:rPr>
          <w:rFonts w:ascii="Arial" w:hAnsi="Arial" w:cs="Arial"/>
          <w:b/>
        </w:rPr>
        <w:t>£0.097m</w:t>
      </w:r>
      <w:r w:rsidR="007C5FDE">
        <w:rPr>
          <w:rFonts w:ascii="Arial" w:hAnsi="Arial" w:cs="Arial"/>
        </w:rPr>
        <w:t xml:space="preserve"> to the 2021/22 budget requirement.</w:t>
      </w:r>
    </w:p>
    <w:p w14:paraId="5B0CBAB4" w14:textId="77777777" w:rsidR="002F150B" w:rsidRDefault="002F150B" w:rsidP="004E4BFB">
      <w:pPr>
        <w:ind w:left="360"/>
        <w:rPr>
          <w:rFonts w:ascii="Arial" w:hAnsi="Arial" w:cs="Arial"/>
        </w:rPr>
      </w:pPr>
    </w:p>
    <w:p w14:paraId="12637CC3" w14:textId="745464F0" w:rsidR="007C5FDE" w:rsidRDefault="007C5FDE" w:rsidP="00970616">
      <w:pPr>
        <w:ind w:left="709" w:hanging="709"/>
        <w:rPr>
          <w:rFonts w:ascii="Arial" w:hAnsi="Arial" w:cs="Arial"/>
        </w:rPr>
      </w:pPr>
      <w:r>
        <w:rPr>
          <w:rFonts w:ascii="Arial" w:hAnsi="Arial" w:cs="Arial"/>
        </w:rPr>
        <w:t>4.3</w:t>
      </w:r>
      <w:r>
        <w:rPr>
          <w:rFonts w:ascii="Arial" w:hAnsi="Arial" w:cs="Arial"/>
        </w:rPr>
        <w:tab/>
        <w:t xml:space="preserve">Growth in </w:t>
      </w:r>
      <w:r w:rsidR="00970616">
        <w:rPr>
          <w:rFonts w:ascii="Arial" w:hAnsi="Arial" w:cs="Arial"/>
        </w:rPr>
        <w:t xml:space="preserve">demand and prices for non-Hartlepool provision must be factored into the 2021/22 budget requirement. </w:t>
      </w:r>
      <w:r w:rsidR="003D45F7">
        <w:rPr>
          <w:rFonts w:ascii="Arial" w:hAnsi="Arial" w:cs="Arial"/>
        </w:rPr>
        <w:t xml:space="preserve">Based on historic trends, general growth is estimated at circa </w:t>
      </w:r>
      <w:r w:rsidR="003D45F7" w:rsidRPr="003D45F7">
        <w:rPr>
          <w:rFonts w:ascii="Arial" w:hAnsi="Arial" w:cs="Arial"/>
          <w:b/>
        </w:rPr>
        <w:t>£0.400m</w:t>
      </w:r>
      <w:r w:rsidR="003D45F7">
        <w:rPr>
          <w:rFonts w:ascii="Arial" w:hAnsi="Arial" w:cs="Arial"/>
        </w:rPr>
        <w:t>.</w:t>
      </w:r>
    </w:p>
    <w:p w14:paraId="0DB5F180" w14:textId="77777777" w:rsidR="007C5FDE" w:rsidRDefault="007C5FDE" w:rsidP="004E4BFB">
      <w:pPr>
        <w:ind w:left="360"/>
        <w:rPr>
          <w:rFonts w:ascii="Arial" w:hAnsi="Arial" w:cs="Arial"/>
        </w:rPr>
      </w:pPr>
    </w:p>
    <w:p w14:paraId="17FE78DE" w14:textId="77777777" w:rsidR="00F851B9" w:rsidRDefault="00C12D6E" w:rsidP="00205AF9">
      <w:pPr>
        <w:pStyle w:val="ListParagraph"/>
        <w:ind w:left="709" w:hanging="709"/>
        <w:rPr>
          <w:rFonts w:ascii="Arial" w:hAnsi="Arial" w:cs="Arial"/>
        </w:rPr>
      </w:pPr>
      <w:r>
        <w:rPr>
          <w:rFonts w:ascii="Arial" w:hAnsi="Arial" w:cs="Arial"/>
        </w:rPr>
        <w:t>4</w:t>
      </w:r>
      <w:r w:rsidR="007C5FDE">
        <w:rPr>
          <w:rFonts w:ascii="Arial" w:hAnsi="Arial" w:cs="Arial"/>
        </w:rPr>
        <w:t>.4</w:t>
      </w:r>
      <w:r w:rsidR="00B63511">
        <w:rPr>
          <w:rFonts w:ascii="Arial" w:hAnsi="Arial" w:cs="Arial"/>
        </w:rPr>
        <w:tab/>
      </w:r>
      <w:r w:rsidR="00970616">
        <w:rPr>
          <w:rFonts w:ascii="Arial" w:hAnsi="Arial" w:cs="Arial"/>
        </w:rPr>
        <w:t xml:space="preserve">Both </w:t>
      </w:r>
      <w:proofErr w:type="spellStart"/>
      <w:r w:rsidR="00970616">
        <w:rPr>
          <w:rFonts w:ascii="Arial" w:hAnsi="Arial" w:cs="Arial"/>
        </w:rPr>
        <w:t>Catcote</w:t>
      </w:r>
      <w:proofErr w:type="spellEnd"/>
      <w:r w:rsidR="00970616">
        <w:rPr>
          <w:rFonts w:ascii="Arial" w:hAnsi="Arial" w:cs="Arial"/>
        </w:rPr>
        <w:t xml:space="preserve"> Academy and </w:t>
      </w:r>
      <w:proofErr w:type="spellStart"/>
      <w:r w:rsidR="00970616">
        <w:rPr>
          <w:rFonts w:ascii="Arial" w:hAnsi="Arial" w:cs="Arial"/>
        </w:rPr>
        <w:t>Springwell</w:t>
      </w:r>
      <w:proofErr w:type="spellEnd"/>
      <w:r w:rsidR="00970616">
        <w:rPr>
          <w:rFonts w:ascii="Arial" w:hAnsi="Arial" w:cs="Arial"/>
        </w:rPr>
        <w:t xml:space="preserve"> School are on a Minimum Funding Guarantee (MFG) arrangement that started in 2018/19. Following an MFG reduction of 1.5% for 2018/19 and 2019/20, the MFG became a fixed amount at 100% from 2020/21 onwards. </w:t>
      </w:r>
      <w:r w:rsidR="00F851B9">
        <w:rPr>
          <w:rFonts w:ascii="Arial" w:hAnsi="Arial" w:cs="Arial"/>
        </w:rPr>
        <w:t>Special Schools therefore received negative inflation for 2018/19 and 2019/20 and subsequently have not received inflation on their funding through the High Needs Block in 2020/21.</w:t>
      </w:r>
    </w:p>
    <w:p w14:paraId="186FAD6D" w14:textId="77777777" w:rsidR="00F851B9" w:rsidRDefault="00F851B9" w:rsidP="00205AF9">
      <w:pPr>
        <w:pStyle w:val="ListParagraph"/>
        <w:ind w:left="709" w:hanging="709"/>
        <w:rPr>
          <w:rFonts w:ascii="Arial" w:hAnsi="Arial" w:cs="Arial"/>
        </w:rPr>
      </w:pPr>
    </w:p>
    <w:p w14:paraId="0F5CDABC" w14:textId="6E248DF6" w:rsidR="004C5FD4" w:rsidRDefault="00F851B9" w:rsidP="00205AF9">
      <w:pPr>
        <w:pStyle w:val="ListParagraph"/>
        <w:ind w:left="709" w:hanging="709"/>
        <w:rPr>
          <w:rFonts w:ascii="Arial" w:hAnsi="Arial" w:cs="Arial"/>
        </w:rPr>
      </w:pPr>
      <w:r>
        <w:rPr>
          <w:rFonts w:ascii="Arial" w:hAnsi="Arial" w:cs="Arial"/>
        </w:rPr>
        <w:t>4.5</w:t>
      </w:r>
      <w:r>
        <w:rPr>
          <w:rFonts w:ascii="Arial" w:hAnsi="Arial" w:cs="Arial"/>
        </w:rPr>
        <w:tab/>
        <w:t xml:space="preserve">Initial models to consider applying an indicative </w:t>
      </w:r>
      <w:r w:rsidR="001627E9">
        <w:rPr>
          <w:rFonts w:ascii="Arial" w:hAnsi="Arial" w:cs="Arial"/>
        </w:rPr>
        <w:t>2% or 3</w:t>
      </w:r>
      <w:r>
        <w:rPr>
          <w:rFonts w:ascii="Arial" w:hAnsi="Arial" w:cs="Arial"/>
        </w:rPr>
        <w:t xml:space="preserve">% inflation to Special Schools in 2021/22 estimate a cost of </w:t>
      </w:r>
      <w:r w:rsidR="001627E9" w:rsidRPr="001627E9">
        <w:rPr>
          <w:rFonts w:ascii="Arial" w:hAnsi="Arial" w:cs="Arial"/>
          <w:b/>
        </w:rPr>
        <w:t>£0.038m</w:t>
      </w:r>
      <w:r w:rsidR="001627E9">
        <w:rPr>
          <w:rFonts w:ascii="Arial" w:hAnsi="Arial" w:cs="Arial"/>
        </w:rPr>
        <w:t xml:space="preserve"> and </w:t>
      </w:r>
      <w:r w:rsidR="001627E9">
        <w:rPr>
          <w:rFonts w:ascii="Arial" w:hAnsi="Arial" w:cs="Arial"/>
          <w:b/>
        </w:rPr>
        <w:t>£0.058</w:t>
      </w:r>
      <w:r w:rsidRPr="00F851B9">
        <w:rPr>
          <w:rFonts w:ascii="Arial" w:hAnsi="Arial" w:cs="Arial"/>
          <w:b/>
        </w:rPr>
        <w:t>m</w:t>
      </w:r>
      <w:r w:rsidR="001627E9">
        <w:rPr>
          <w:rFonts w:ascii="Arial" w:hAnsi="Arial" w:cs="Arial"/>
          <w:b/>
        </w:rPr>
        <w:t xml:space="preserve"> </w:t>
      </w:r>
      <w:r w:rsidR="001627E9" w:rsidRPr="001627E9">
        <w:rPr>
          <w:rFonts w:ascii="Arial" w:hAnsi="Arial" w:cs="Arial"/>
        </w:rPr>
        <w:t>respectively</w:t>
      </w:r>
      <w:r>
        <w:rPr>
          <w:rFonts w:ascii="Arial" w:hAnsi="Arial" w:cs="Arial"/>
        </w:rPr>
        <w:t>.</w:t>
      </w:r>
      <w:r w:rsidR="001627E9">
        <w:rPr>
          <w:rFonts w:ascii="Arial" w:hAnsi="Arial" w:cs="Arial"/>
        </w:rPr>
        <w:t xml:space="preserve"> A 2% increase would be in line with the funding floor guarantee within the Schools Block. A 3% increase is in line with the minimum per-pupil funding increase applied to schools funded from the Schools Block. (</w:t>
      </w:r>
      <w:r w:rsidR="001627E9" w:rsidRPr="001627E9">
        <w:rPr>
          <w:rFonts w:ascii="Arial" w:hAnsi="Arial" w:cs="Arial"/>
          <w:u w:val="single"/>
        </w:rPr>
        <w:t>This proposal requires consultation – please see recommendations at section 5 below</w:t>
      </w:r>
      <w:r w:rsidR="001627E9">
        <w:rPr>
          <w:rFonts w:ascii="Arial" w:hAnsi="Arial" w:cs="Arial"/>
        </w:rPr>
        <w:t>).</w:t>
      </w:r>
    </w:p>
    <w:p w14:paraId="7840113F" w14:textId="77777777" w:rsidR="00C601E2" w:rsidRDefault="00C601E2" w:rsidP="00F2265C">
      <w:pPr>
        <w:pStyle w:val="ListParagraph"/>
        <w:ind w:left="709"/>
        <w:rPr>
          <w:rFonts w:ascii="Arial" w:hAnsi="Arial" w:cs="Arial"/>
        </w:rPr>
      </w:pPr>
    </w:p>
    <w:p w14:paraId="4CE28B82" w14:textId="7DD6D62D" w:rsidR="00732263" w:rsidRDefault="00C12D6E" w:rsidP="007C5FDE">
      <w:pPr>
        <w:ind w:left="709" w:hanging="709"/>
        <w:rPr>
          <w:rFonts w:ascii="Arial" w:hAnsi="Arial" w:cs="Arial"/>
        </w:rPr>
      </w:pPr>
      <w:r>
        <w:rPr>
          <w:rFonts w:ascii="Arial" w:hAnsi="Arial" w:cs="Arial"/>
        </w:rPr>
        <w:t>4</w:t>
      </w:r>
      <w:r w:rsidR="00BC2816">
        <w:rPr>
          <w:rFonts w:ascii="Arial" w:hAnsi="Arial" w:cs="Arial"/>
        </w:rPr>
        <w:t>.6</w:t>
      </w:r>
      <w:r w:rsidR="00B63511">
        <w:rPr>
          <w:rFonts w:ascii="Arial" w:hAnsi="Arial" w:cs="Arial"/>
        </w:rPr>
        <w:tab/>
      </w:r>
      <w:r w:rsidR="00F851B9">
        <w:rPr>
          <w:rFonts w:ascii="Arial" w:hAnsi="Arial" w:cs="Arial"/>
        </w:rPr>
        <w:t>New r</w:t>
      </w:r>
      <w:r w:rsidR="007C5FDE">
        <w:rPr>
          <w:rFonts w:ascii="Arial" w:hAnsi="Arial" w:cs="Arial"/>
        </w:rPr>
        <w:t xml:space="preserve">anges </w:t>
      </w:r>
      <w:r w:rsidR="00F851B9">
        <w:rPr>
          <w:rFonts w:ascii="Arial" w:hAnsi="Arial" w:cs="Arial"/>
        </w:rPr>
        <w:t>for Individual Pupil Support, ARPs and Special Schools were implemented in 2018/19. I</w:t>
      </w:r>
      <w:r w:rsidR="007C5FDE">
        <w:rPr>
          <w:rFonts w:ascii="Arial" w:hAnsi="Arial" w:cs="Arial"/>
        </w:rPr>
        <w:t>nflation</w:t>
      </w:r>
      <w:r w:rsidR="00F851B9">
        <w:rPr>
          <w:rFonts w:ascii="Arial" w:hAnsi="Arial" w:cs="Arial"/>
        </w:rPr>
        <w:t xml:space="preserve"> has not been applied since the ranges were established. Backdated inflation based on Teaching Assistant pay awards could be </w:t>
      </w:r>
      <w:r w:rsidR="00F851B9">
        <w:rPr>
          <w:rFonts w:ascii="Arial" w:hAnsi="Arial" w:cs="Arial"/>
        </w:rPr>
        <w:lastRenderedPageBreak/>
        <w:t xml:space="preserve">applied in 2021/22 at an estimated cost of </w:t>
      </w:r>
      <w:r w:rsidR="00CA5477">
        <w:rPr>
          <w:rFonts w:ascii="Arial" w:hAnsi="Arial" w:cs="Arial"/>
          <w:b/>
        </w:rPr>
        <w:t>£0.13</w:t>
      </w:r>
      <w:r w:rsidR="00F851B9" w:rsidRPr="00F851B9">
        <w:rPr>
          <w:rFonts w:ascii="Arial" w:hAnsi="Arial" w:cs="Arial"/>
          <w:b/>
        </w:rPr>
        <w:t>5m</w:t>
      </w:r>
      <w:r w:rsidR="00F851B9">
        <w:rPr>
          <w:rFonts w:ascii="Arial" w:hAnsi="Arial" w:cs="Arial"/>
        </w:rPr>
        <w:t>.</w:t>
      </w:r>
      <w:r w:rsidR="001627E9">
        <w:rPr>
          <w:rFonts w:ascii="Arial" w:hAnsi="Arial" w:cs="Arial"/>
        </w:rPr>
        <w:t xml:space="preserve"> (</w:t>
      </w:r>
      <w:r w:rsidR="001627E9" w:rsidRPr="001627E9">
        <w:rPr>
          <w:rFonts w:ascii="Arial" w:hAnsi="Arial" w:cs="Arial"/>
          <w:u w:val="single"/>
        </w:rPr>
        <w:t>This proposal requires consultation – please see recommendations at section 5 below</w:t>
      </w:r>
      <w:r w:rsidR="001627E9">
        <w:rPr>
          <w:rFonts w:ascii="Arial" w:hAnsi="Arial" w:cs="Arial"/>
        </w:rPr>
        <w:t>).</w:t>
      </w:r>
    </w:p>
    <w:p w14:paraId="4A492F8D" w14:textId="77777777" w:rsidR="00AB350D" w:rsidRDefault="00AB350D" w:rsidP="007C5FDE">
      <w:pPr>
        <w:ind w:left="709" w:hanging="709"/>
        <w:rPr>
          <w:rFonts w:ascii="Arial" w:hAnsi="Arial" w:cs="Arial"/>
        </w:rPr>
      </w:pPr>
    </w:p>
    <w:p w14:paraId="0E5E6885" w14:textId="78D25963" w:rsidR="00AB350D" w:rsidRPr="007C5FDE" w:rsidRDefault="00BC2816" w:rsidP="007C5FDE">
      <w:pPr>
        <w:ind w:left="709" w:hanging="709"/>
        <w:rPr>
          <w:rFonts w:ascii="Arial" w:hAnsi="Arial" w:cs="Arial"/>
        </w:rPr>
      </w:pPr>
      <w:r>
        <w:rPr>
          <w:rFonts w:ascii="Arial" w:hAnsi="Arial" w:cs="Arial"/>
        </w:rPr>
        <w:t>4.7</w:t>
      </w:r>
      <w:r w:rsidR="00AB350D">
        <w:rPr>
          <w:rFonts w:ascii="Arial" w:hAnsi="Arial" w:cs="Arial"/>
        </w:rPr>
        <w:tab/>
        <w:t>Indicative new ranges would be as illustrated in the table below.</w:t>
      </w:r>
      <w:r w:rsidR="00AB350D">
        <w:rPr>
          <w:rFonts w:ascii="Arial" w:hAnsi="Arial" w:cs="Arial"/>
        </w:rPr>
        <w:tab/>
      </w:r>
    </w:p>
    <w:tbl>
      <w:tblPr>
        <w:tblStyle w:val="TableGrid"/>
        <w:tblW w:w="0" w:type="auto"/>
        <w:tblInd w:w="709" w:type="dxa"/>
        <w:tblLook w:val="04A0" w:firstRow="1" w:lastRow="0" w:firstColumn="1" w:lastColumn="0" w:noHBand="0" w:noVBand="1"/>
      </w:tblPr>
      <w:tblGrid>
        <w:gridCol w:w="987"/>
        <w:gridCol w:w="4962"/>
        <w:gridCol w:w="1701"/>
        <w:gridCol w:w="1552"/>
      </w:tblGrid>
      <w:tr w:rsidR="00AB350D" w14:paraId="70E6BB33" w14:textId="77777777" w:rsidTr="00AB350D">
        <w:tc>
          <w:tcPr>
            <w:tcW w:w="987" w:type="dxa"/>
            <w:shd w:val="clear" w:color="auto" w:fill="000000" w:themeFill="text1"/>
          </w:tcPr>
          <w:p w14:paraId="022DF17C" w14:textId="115D1E10" w:rsidR="00AB350D" w:rsidRPr="00AB350D" w:rsidRDefault="00AB350D" w:rsidP="00AB350D">
            <w:pPr>
              <w:jc w:val="center"/>
              <w:rPr>
                <w:rFonts w:ascii="Arial" w:hAnsi="Arial" w:cs="Arial"/>
                <w:color w:val="FFFFFF" w:themeColor="background1"/>
              </w:rPr>
            </w:pPr>
            <w:r>
              <w:rPr>
                <w:rFonts w:ascii="Arial" w:hAnsi="Arial" w:cs="Arial"/>
                <w:color w:val="FFFFFF" w:themeColor="background1"/>
              </w:rPr>
              <w:t>Range</w:t>
            </w:r>
          </w:p>
        </w:tc>
        <w:tc>
          <w:tcPr>
            <w:tcW w:w="4962" w:type="dxa"/>
            <w:shd w:val="clear" w:color="auto" w:fill="000000" w:themeFill="text1"/>
          </w:tcPr>
          <w:p w14:paraId="3795C231" w14:textId="3C570F2C" w:rsidR="00AB350D" w:rsidRPr="00AB350D" w:rsidRDefault="00AB350D" w:rsidP="00AB350D">
            <w:pPr>
              <w:jc w:val="center"/>
              <w:rPr>
                <w:rFonts w:ascii="Arial" w:hAnsi="Arial" w:cs="Arial"/>
                <w:color w:val="FFFFFF" w:themeColor="background1"/>
              </w:rPr>
            </w:pPr>
            <w:r>
              <w:rPr>
                <w:rFonts w:ascii="Arial" w:hAnsi="Arial" w:cs="Arial"/>
                <w:color w:val="FFFFFF" w:themeColor="background1"/>
              </w:rPr>
              <w:t>Payable to</w:t>
            </w:r>
          </w:p>
        </w:tc>
        <w:tc>
          <w:tcPr>
            <w:tcW w:w="1701" w:type="dxa"/>
            <w:shd w:val="clear" w:color="auto" w:fill="000000" w:themeFill="text1"/>
          </w:tcPr>
          <w:p w14:paraId="0747A8B9" w14:textId="72EDF023" w:rsidR="00AB350D" w:rsidRPr="00AB350D" w:rsidRDefault="00AB350D" w:rsidP="00AB350D">
            <w:pPr>
              <w:jc w:val="center"/>
              <w:rPr>
                <w:rFonts w:ascii="Arial" w:hAnsi="Arial" w:cs="Arial"/>
                <w:color w:val="FFFFFF" w:themeColor="background1"/>
              </w:rPr>
            </w:pPr>
            <w:r>
              <w:rPr>
                <w:rFonts w:ascii="Arial" w:hAnsi="Arial" w:cs="Arial"/>
                <w:color w:val="FFFFFF" w:themeColor="background1"/>
              </w:rPr>
              <w:t>Current £</w:t>
            </w:r>
          </w:p>
        </w:tc>
        <w:tc>
          <w:tcPr>
            <w:tcW w:w="1552" w:type="dxa"/>
            <w:shd w:val="clear" w:color="auto" w:fill="000000" w:themeFill="text1"/>
          </w:tcPr>
          <w:p w14:paraId="6320804B" w14:textId="2D2250CC" w:rsidR="00AB350D" w:rsidRPr="00AB350D" w:rsidRDefault="00AB350D" w:rsidP="00AB350D">
            <w:pPr>
              <w:jc w:val="center"/>
              <w:rPr>
                <w:rFonts w:ascii="Arial" w:hAnsi="Arial" w:cs="Arial"/>
                <w:color w:val="FFFFFF" w:themeColor="background1"/>
              </w:rPr>
            </w:pPr>
            <w:r>
              <w:rPr>
                <w:rFonts w:ascii="Arial" w:hAnsi="Arial" w:cs="Arial"/>
                <w:color w:val="FFFFFF" w:themeColor="background1"/>
              </w:rPr>
              <w:t>Proposed £</w:t>
            </w:r>
          </w:p>
        </w:tc>
      </w:tr>
      <w:tr w:rsidR="00AB350D" w14:paraId="514803BD" w14:textId="77777777" w:rsidTr="00AB350D">
        <w:tc>
          <w:tcPr>
            <w:tcW w:w="987" w:type="dxa"/>
          </w:tcPr>
          <w:p w14:paraId="5EA87A54" w14:textId="1882731C" w:rsidR="00AB350D" w:rsidRDefault="00AB350D" w:rsidP="007C5FDE">
            <w:pPr>
              <w:rPr>
                <w:rFonts w:ascii="Arial" w:hAnsi="Arial" w:cs="Arial"/>
              </w:rPr>
            </w:pPr>
            <w:r>
              <w:rPr>
                <w:rFonts w:ascii="Arial" w:hAnsi="Arial" w:cs="Arial"/>
              </w:rPr>
              <w:t>0</w:t>
            </w:r>
          </w:p>
        </w:tc>
        <w:tc>
          <w:tcPr>
            <w:tcW w:w="4962" w:type="dxa"/>
          </w:tcPr>
          <w:p w14:paraId="0069CA73" w14:textId="3DFA808F" w:rsidR="00AB350D" w:rsidRDefault="00AB350D" w:rsidP="007C5FDE">
            <w:pPr>
              <w:rPr>
                <w:rFonts w:ascii="Arial" w:hAnsi="Arial" w:cs="Arial"/>
              </w:rPr>
            </w:pPr>
            <w:r>
              <w:rPr>
                <w:rFonts w:ascii="Arial" w:hAnsi="Arial" w:cs="Arial"/>
              </w:rPr>
              <w:t>N/A</w:t>
            </w:r>
          </w:p>
        </w:tc>
        <w:tc>
          <w:tcPr>
            <w:tcW w:w="1701" w:type="dxa"/>
          </w:tcPr>
          <w:p w14:paraId="758860C3" w14:textId="4E22B5CE" w:rsidR="00AB350D" w:rsidRDefault="00AB350D" w:rsidP="007C5FDE">
            <w:pPr>
              <w:rPr>
                <w:rFonts w:ascii="Arial" w:hAnsi="Arial" w:cs="Arial"/>
              </w:rPr>
            </w:pPr>
            <w:r>
              <w:rPr>
                <w:rFonts w:ascii="Arial" w:hAnsi="Arial" w:cs="Arial"/>
              </w:rPr>
              <w:t>N/A</w:t>
            </w:r>
          </w:p>
        </w:tc>
        <w:tc>
          <w:tcPr>
            <w:tcW w:w="1552" w:type="dxa"/>
          </w:tcPr>
          <w:p w14:paraId="0BF50185" w14:textId="24A58118" w:rsidR="00AB350D" w:rsidRDefault="00AB350D" w:rsidP="007C5FDE">
            <w:pPr>
              <w:rPr>
                <w:rFonts w:ascii="Arial" w:hAnsi="Arial" w:cs="Arial"/>
              </w:rPr>
            </w:pPr>
            <w:r>
              <w:rPr>
                <w:rFonts w:ascii="Arial" w:hAnsi="Arial" w:cs="Arial"/>
              </w:rPr>
              <w:t>N/A</w:t>
            </w:r>
          </w:p>
        </w:tc>
      </w:tr>
      <w:tr w:rsidR="00AB350D" w14:paraId="5F772AC3" w14:textId="77777777" w:rsidTr="00AB350D">
        <w:tc>
          <w:tcPr>
            <w:tcW w:w="987" w:type="dxa"/>
          </w:tcPr>
          <w:p w14:paraId="52C43AE2" w14:textId="5F86BA35" w:rsidR="00AB350D" w:rsidRDefault="00AB350D" w:rsidP="007C5FDE">
            <w:pPr>
              <w:rPr>
                <w:rFonts w:ascii="Arial" w:hAnsi="Arial" w:cs="Arial"/>
              </w:rPr>
            </w:pPr>
            <w:r>
              <w:rPr>
                <w:rFonts w:ascii="Arial" w:hAnsi="Arial" w:cs="Arial"/>
              </w:rPr>
              <w:t>1</w:t>
            </w:r>
          </w:p>
        </w:tc>
        <w:tc>
          <w:tcPr>
            <w:tcW w:w="4962" w:type="dxa"/>
          </w:tcPr>
          <w:p w14:paraId="4D13C60B" w14:textId="73B48977" w:rsidR="00AB350D" w:rsidRDefault="00AB350D" w:rsidP="007C5FDE">
            <w:pPr>
              <w:rPr>
                <w:rFonts w:ascii="Arial" w:hAnsi="Arial" w:cs="Arial"/>
              </w:rPr>
            </w:pPr>
            <w:r>
              <w:rPr>
                <w:rFonts w:ascii="Arial" w:hAnsi="Arial" w:cs="Arial"/>
              </w:rPr>
              <w:t>N/A</w:t>
            </w:r>
          </w:p>
        </w:tc>
        <w:tc>
          <w:tcPr>
            <w:tcW w:w="1701" w:type="dxa"/>
          </w:tcPr>
          <w:p w14:paraId="0AA17AF3" w14:textId="700A85E7" w:rsidR="00AB350D" w:rsidRDefault="00AB350D" w:rsidP="007C5FDE">
            <w:pPr>
              <w:rPr>
                <w:rFonts w:ascii="Arial" w:hAnsi="Arial" w:cs="Arial"/>
              </w:rPr>
            </w:pPr>
            <w:r>
              <w:rPr>
                <w:rFonts w:ascii="Arial" w:hAnsi="Arial" w:cs="Arial"/>
              </w:rPr>
              <w:t>N/A</w:t>
            </w:r>
          </w:p>
        </w:tc>
        <w:tc>
          <w:tcPr>
            <w:tcW w:w="1552" w:type="dxa"/>
          </w:tcPr>
          <w:p w14:paraId="6FF685C8" w14:textId="7C5646B6" w:rsidR="00AB350D" w:rsidRDefault="00AB350D" w:rsidP="007C5FDE">
            <w:pPr>
              <w:rPr>
                <w:rFonts w:ascii="Arial" w:hAnsi="Arial" w:cs="Arial"/>
              </w:rPr>
            </w:pPr>
            <w:r>
              <w:rPr>
                <w:rFonts w:ascii="Arial" w:hAnsi="Arial" w:cs="Arial"/>
              </w:rPr>
              <w:t>N/A</w:t>
            </w:r>
          </w:p>
        </w:tc>
      </w:tr>
      <w:tr w:rsidR="00AB350D" w14:paraId="675A2327" w14:textId="77777777" w:rsidTr="00AB350D">
        <w:tc>
          <w:tcPr>
            <w:tcW w:w="987" w:type="dxa"/>
          </w:tcPr>
          <w:p w14:paraId="79B06443" w14:textId="4EA27691" w:rsidR="00AB350D" w:rsidRDefault="00AB350D" w:rsidP="007C5FDE">
            <w:pPr>
              <w:rPr>
                <w:rFonts w:ascii="Arial" w:hAnsi="Arial" w:cs="Arial"/>
              </w:rPr>
            </w:pPr>
            <w:r>
              <w:rPr>
                <w:rFonts w:ascii="Arial" w:hAnsi="Arial" w:cs="Arial"/>
              </w:rPr>
              <w:t>2</w:t>
            </w:r>
          </w:p>
        </w:tc>
        <w:tc>
          <w:tcPr>
            <w:tcW w:w="4962" w:type="dxa"/>
          </w:tcPr>
          <w:p w14:paraId="7F034DFB" w14:textId="5EBFD50B" w:rsidR="00AB350D" w:rsidRDefault="00AB350D" w:rsidP="007C5FDE">
            <w:pPr>
              <w:rPr>
                <w:rFonts w:ascii="Arial" w:hAnsi="Arial" w:cs="Arial"/>
              </w:rPr>
            </w:pPr>
            <w:r>
              <w:rPr>
                <w:rFonts w:ascii="Arial" w:hAnsi="Arial" w:cs="Arial"/>
              </w:rPr>
              <w:t>N/A</w:t>
            </w:r>
          </w:p>
        </w:tc>
        <w:tc>
          <w:tcPr>
            <w:tcW w:w="1701" w:type="dxa"/>
          </w:tcPr>
          <w:p w14:paraId="3CD388E6" w14:textId="097D1D23" w:rsidR="00AB350D" w:rsidRDefault="00AB350D" w:rsidP="007C5FDE">
            <w:pPr>
              <w:rPr>
                <w:rFonts w:ascii="Arial" w:hAnsi="Arial" w:cs="Arial"/>
              </w:rPr>
            </w:pPr>
            <w:r>
              <w:rPr>
                <w:rFonts w:ascii="Arial" w:hAnsi="Arial" w:cs="Arial"/>
              </w:rPr>
              <w:t>N/A</w:t>
            </w:r>
          </w:p>
        </w:tc>
        <w:tc>
          <w:tcPr>
            <w:tcW w:w="1552" w:type="dxa"/>
          </w:tcPr>
          <w:p w14:paraId="1A37BCFE" w14:textId="14E3C1E2" w:rsidR="00AB350D" w:rsidRDefault="00AB350D" w:rsidP="007C5FDE">
            <w:pPr>
              <w:rPr>
                <w:rFonts w:ascii="Arial" w:hAnsi="Arial" w:cs="Arial"/>
              </w:rPr>
            </w:pPr>
            <w:r>
              <w:rPr>
                <w:rFonts w:ascii="Arial" w:hAnsi="Arial" w:cs="Arial"/>
              </w:rPr>
              <w:t>N/A</w:t>
            </w:r>
          </w:p>
        </w:tc>
      </w:tr>
      <w:tr w:rsidR="00AB350D" w14:paraId="63433A85" w14:textId="77777777" w:rsidTr="00AB350D">
        <w:tc>
          <w:tcPr>
            <w:tcW w:w="987" w:type="dxa"/>
          </w:tcPr>
          <w:p w14:paraId="080388EE" w14:textId="49AB876B" w:rsidR="00AB350D" w:rsidRDefault="00AB350D" w:rsidP="007C5FDE">
            <w:pPr>
              <w:rPr>
                <w:rFonts w:ascii="Arial" w:hAnsi="Arial" w:cs="Arial"/>
              </w:rPr>
            </w:pPr>
            <w:r>
              <w:rPr>
                <w:rFonts w:ascii="Arial" w:hAnsi="Arial" w:cs="Arial"/>
              </w:rPr>
              <w:t>3</w:t>
            </w:r>
          </w:p>
        </w:tc>
        <w:tc>
          <w:tcPr>
            <w:tcW w:w="4962" w:type="dxa"/>
          </w:tcPr>
          <w:p w14:paraId="0AA8CC4F" w14:textId="005CF705" w:rsidR="00AB350D" w:rsidRDefault="00AB350D" w:rsidP="007C5FDE">
            <w:pPr>
              <w:rPr>
                <w:rFonts w:ascii="Arial" w:hAnsi="Arial" w:cs="Arial"/>
              </w:rPr>
            </w:pPr>
            <w:r>
              <w:rPr>
                <w:rFonts w:ascii="Arial" w:hAnsi="Arial" w:cs="Arial"/>
              </w:rPr>
              <w:t>N/A</w:t>
            </w:r>
          </w:p>
        </w:tc>
        <w:tc>
          <w:tcPr>
            <w:tcW w:w="1701" w:type="dxa"/>
          </w:tcPr>
          <w:p w14:paraId="08B2AEDF" w14:textId="1FD3828A" w:rsidR="00AB350D" w:rsidRDefault="00AB350D" w:rsidP="007C5FDE">
            <w:pPr>
              <w:rPr>
                <w:rFonts w:ascii="Arial" w:hAnsi="Arial" w:cs="Arial"/>
              </w:rPr>
            </w:pPr>
            <w:r>
              <w:rPr>
                <w:rFonts w:ascii="Arial" w:hAnsi="Arial" w:cs="Arial"/>
              </w:rPr>
              <w:t>N/A</w:t>
            </w:r>
          </w:p>
        </w:tc>
        <w:tc>
          <w:tcPr>
            <w:tcW w:w="1552" w:type="dxa"/>
          </w:tcPr>
          <w:p w14:paraId="49EB4F04" w14:textId="0091C80F" w:rsidR="00AB350D" w:rsidRDefault="00AB350D" w:rsidP="007C5FDE">
            <w:pPr>
              <w:rPr>
                <w:rFonts w:ascii="Arial" w:hAnsi="Arial" w:cs="Arial"/>
              </w:rPr>
            </w:pPr>
            <w:r>
              <w:rPr>
                <w:rFonts w:ascii="Arial" w:hAnsi="Arial" w:cs="Arial"/>
              </w:rPr>
              <w:t>N/A</w:t>
            </w:r>
          </w:p>
        </w:tc>
      </w:tr>
      <w:tr w:rsidR="00AB350D" w14:paraId="007A0D2E" w14:textId="77777777" w:rsidTr="00AB350D">
        <w:tc>
          <w:tcPr>
            <w:tcW w:w="987" w:type="dxa"/>
          </w:tcPr>
          <w:p w14:paraId="2528FA00" w14:textId="5476FF8B" w:rsidR="00AB350D" w:rsidRDefault="00AB350D" w:rsidP="007C5FDE">
            <w:pPr>
              <w:rPr>
                <w:rFonts w:ascii="Arial" w:hAnsi="Arial" w:cs="Arial"/>
              </w:rPr>
            </w:pPr>
            <w:r>
              <w:rPr>
                <w:rFonts w:ascii="Arial" w:hAnsi="Arial" w:cs="Arial"/>
              </w:rPr>
              <w:t>4i</w:t>
            </w:r>
          </w:p>
        </w:tc>
        <w:tc>
          <w:tcPr>
            <w:tcW w:w="4962" w:type="dxa"/>
          </w:tcPr>
          <w:p w14:paraId="300BAB3E" w14:textId="10439A2E" w:rsidR="00AB350D" w:rsidRDefault="00AB350D" w:rsidP="007C5FDE">
            <w:pPr>
              <w:rPr>
                <w:rFonts w:ascii="Arial" w:hAnsi="Arial" w:cs="Arial"/>
              </w:rPr>
            </w:pPr>
            <w:r>
              <w:rPr>
                <w:rFonts w:ascii="Arial" w:hAnsi="Arial" w:cs="Arial"/>
              </w:rPr>
              <w:t>EY and IPS</w:t>
            </w:r>
          </w:p>
        </w:tc>
        <w:tc>
          <w:tcPr>
            <w:tcW w:w="1701" w:type="dxa"/>
          </w:tcPr>
          <w:p w14:paraId="4AB529D0" w14:textId="6D2D992E" w:rsidR="00AB350D" w:rsidRDefault="00AB350D" w:rsidP="007C5FDE">
            <w:pPr>
              <w:rPr>
                <w:rFonts w:ascii="Arial" w:hAnsi="Arial" w:cs="Arial"/>
              </w:rPr>
            </w:pPr>
            <w:r>
              <w:rPr>
                <w:rFonts w:ascii="Arial" w:hAnsi="Arial" w:cs="Arial"/>
              </w:rPr>
              <w:t>£3,000</w:t>
            </w:r>
          </w:p>
        </w:tc>
        <w:tc>
          <w:tcPr>
            <w:tcW w:w="1552" w:type="dxa"/>
          </w:tcPr>
          <w:p w14:paraId="2311E48F" w14:textId="6520204D" w:rsidR="00AB350D" w:rsidRDefault="00CF45B8" w:rsidP="007C5FDE">
            <w:pPr>
              <w:rPr>
                <w:rFonts w:ascii="Arial" w:hAnsi="Arial" w:cs="Arial"/>
              </w:rPr>
            </w:pPr>
            <w:r>
              <w:rPr>
                <w:rFonts w:ascii="Arial" w:hAnsi="Arial" w:cs="Arial"/>
              </w:rPr>
              <w:t>£3,250</w:t>
            </w:r>
          </w:p>
        </w:tc>
      </w:tr>
      <w:tr w:rsidR="00AB350D" w14:paraId="6A4C5987" w14:textId="77777777" w:rsidTr="00AB350D">
        <w:tc>
          <w:tcPr>
            <w:tcW w:w="987" w:type="dxa"/>
          </w:tcPr>
          <w:p w14:paraId="65585F45" w14:textId="74365202" w:rsidR="00AB350D" w:rsidRDefault="00AB350D" w:rsidP="007C5FDE">
            <w:pPr>
              <w:rPr>
                <w:rFonts w:ascii="Arial" w:hAnsi="Arial" w:cs="Arial"/>
              </w:rPr>
            </w:pPr>
            <w:r>
              <w:rPr>
                <w:rFonts w:ascii="Arial" w:hAnsi="Arial" w:cs="Arial"/>
              </w:rPr>
              <w:t>4ii</w:t>
            </w:r>
          </w:p>
        </w:tc>
        <w:tc>
          <w:tcPr>
            <w:tcW w:w="4962" w:type="dxa"/>
          </w:tcPr>
          <w:p w14:paraId="0A4BD7CD" w14:textId="0C7E87D4" w:rsidR="00AB350D" w:rsidRDefault="00AB350D" w:rsidP="007C5FDE">
            <w:pPr>
              <w:rPr>
                <w:rFonts w:ascii="Arial" w:hAnsi="Arial" w:cs="Arial"/>
              </w:rPr>
            </w:pPr>
            <w:r>
              <w:rPr>
                <w:rFonts w:ascii="Arial" w:hAnsi="Arial" w:cs="Arial"/>
              </w:rPr>
              <w:t>EY, IPS, ARPs</w:t>
            </w:r>
          </w:p>
        </w:tc>
        <w:tc>
          <w:tcPr>
            <w:tcW w:w="1701" w:type="dxa"/>
          </w:tcPr>
          <w:p w14:paraId="1AA28A79" w14:textId="095A7502" w:rsidR="00AB350D" w:rsidRDefault="00AB350D" w:rsidP="007C5FDE">
            <w:pPr>
              <w:rPr>
                <w:rFonts w:ascii="Arial" w:hAnsi="Arial" w:cs="Arial"/>
              </w:rPr>
            </w:pPr>
            <w:r>
              <w:rPr>
                <w:rFonts w:ascii="Arial" w:hAnsi="Arial" w:cs="Arial"/>
              </w:rPr>
              <w:t>£4,000</w:t>
            </w:r>
          </w:p>
        </w:tc>
        <w:tc>
          <w:tcPr>
            <w:tcW w:w="1552" w:type="dxa"/>
          </w:tcPr>
          <w:p w14:paraId="68A703DE" w14:textId="1C841439" w:rsidR="00AB350D" w:rsidRDefault="00CF45B8" w:rsidP="007C5FDE">
            <w:pPr>
              <w:rPr>
                <w:rFonts w:ascii="Arial" w:hAnsi="Arial" w:cs="Arial"/>
              </w:rPr>
            </w:pPr>
            <w:r>
              <w:rPr>
                <w:rFonts w:ascii="Arial" w:hAnsi="Arial" w:cs="Arial"/>
              </w:rPr>
              <w:t>£4,350</w:t>
            </w:r>
          </w:p>
        </w:tc>
      </w:tr>
      <w:tr w:rsidR="00AB350D" w14:paraId="5D4AFBB9" w14:textId="77777777" w:rsidTr="00AB350D">
        <w:tc>
          <w:tcPr>
            <w:tcW w:w="987" w:type="dxa"/>
          </w:tcPr>
          <w:p w14:paraId="0E136FE1" w14:textId="62F500C0" w:rsidR="00AB350D" w:rsidRDefault="00AB350D" w:rsidP="007C5FDE">
            <w:pPr>
              <w:rPr>
                <w:rFonts w:ascii="Arial" w:hAnsi="Arial" w:cs="Arial"/>
              </w:rPr>
            </w:pPr>
            <w:r>
              <w:rPr>
                <w:rFonts w:ascii="Arial" w:hAnsi="Arial" w:cs="Arial"/>
              </w:rPr>
              <w:t>5i</w:t>
            </w:r>
          </w:p>
        </w:tc>
        <w:tc>
          <w:tcPr>
            <w:tcW w:w="4962" w:type="dxa"/>
          </w:tcPr>
          <w:p w14:paraId="1AB7CA6E" w14:textId="19BC6DCB" w:rsidR="00AB350D" w:rsidRDefault="00AB350D" w:rsidP="007C5FDE">
            <w:pPr>
              <w:rPr>
                <w:rFonts w:ascii="Arial" w:hAnsi="Arial" w:cs="Arial"/>
              </w:rPr>
            </w:pPr>
            <w:r>
              <w:rPr>
                <w:rFonts w:ascii="Arial" w:hAnsi="Arial" w:cs="Arial"/>
              </w:rPr>
              <w:t>EY, IPS, ARPs, Special Schools</w:t>
            </w:r>
          </w:p>
        </w:tc>
        <w:tc>
          <w:tcPr>
            <w:tcW w:w="1701" w:type="dxa"/>
          </w:tcPr>
          <w:p w14:paraId="17DDA093" w14:textId="6E47902F" w:rsidR="00AB350D" w:rsidRDefault="00AB350D" w:rsidP="007C5FDE">
            <w:pPr>
              <w:rPr>
                <w:rFonts w:ascii="Arial" w:hAnsi="Arial" w:cs="Arial"/>
              </w:rPr>
            </w:pPr>
            <w:r>
              <w:rPr>
                <w:rFonts w:ascii="Arial" w:hAnsi="Arial" w:cs="Arial"/>
              </w:rPr>
              <w:t>£6,000</w:t>
            </w:r>
          </w:p>
        </w:tc>
        <w:tc>
          <w:tcPr>
            <w:tcW w:w="1552" w:type="dxa"/>
          </w:tcPr>
          <w:p w14:paraId="2C65ED3D" w14:textId="120897EA" w:rsidR="00AB350D" w:rsidRDefault="00CF45B8" w:rsidP="007C5FDE">
            <w:pPr>
              <w:rPr>
                <w:rFonts w:ascii="Arial" w:hAnsi="Arial" w:cs="Arial"/>
              </w:rPr>
            </w:pPr>
            <w:r>
              <w:rPr>
                <w:rFonts w:ascii="Arial" w:hAnsi="Arial" w:cs="Arial"/>
              </w:rPr>
              <w:t>£6,500</w:t>
            </w:r>
          </w:p>
        </w:tc>
      </w:tr>
      <w:tr w:rsidR="00AB350D" w14:paraId="5FFCDC62" w14:textId="77777777" w:rsidTr="00AB350D">
        <w:tc>
          <w:tcPr>
            <w:tcW w:w="987" w:type="dxa"/>
          </w:tcPr>
          <w:p w14:paraId="7549265E" w14:textId="029F796A" w:rsidR="00AB350D" w:rsidRDefault="00AB350D" w:rsidP="007C5FDE">
            <w:pPr>
              <w:rPr>
                <w:rFonts w:ascii="Arial" w:hAnsi="Arial" w:cs="Arial"/>
              </w:rPr>
            </w:pPr>
            <w:r>
              <w:rPr>
                <w:rFonts w:ascii="Arial" w:hAnsi="Arial" w:cs="Arial"/>
              </w:rPr>
              <w:t>5ii</w:t>
            </w:r>
          </w:p>
        </w:tc>
        <w:tc>
          <w:tcPr>
            <w:tcW w:w="4962" w:type="dxa"/>
          </w:tcPr>
          <w:p w14:paraId="1251D54B" w14:textId="294D3C46" w:rsidR="00AB350D" w:rsidRDefault="00AB350D" w:rsidP="007C5FDE">
            <w:pPr>
              <w:rPr>
                <w:rFonts w:ascii="Arial" w:hAnsi="Arial" w:cs="Arial"/>
              </w:rPr>
            </w:pPr>
            <w:r>
              <w:rPr>
                <w:rFonts w:ascii="Arial" w:hAnsi="Arial" w:cs="Arial"/>
              </w:rPr>
              <w:t>ARPs, Special Schools</w:t>
            </w:r>
          </w:p>
        </w:tc>
        <w:tc>
          <w:tcPr>
            <w:tcW w:w="1701" w:type="dxa"/>
          </w:tcPr>
          <w:p w14:paraId="68705C82" w14:textId="4A735FB2" w:rsidR="00AB350D" w:rsidRDefault="00AB350D" w:rsidP="007C5FDE">
            <w:pPr>
              <w:rPr>
                <w:rFonts w:ascii="Arial" w:hAnsi="Arial" w:cs="Arial"/>
              </w:rPr>
            </w:pPr>
            <w:r>
              <w:rPr>
                <w:rFonts w:ascii="Arial" w:hAnsi="Arial" w:cs="Arial"/>
              </w:rPr>
              <w:t>£10,000</w:t>
            </w:r>
          </w:p>
        </w:tc>
        <w:tc>
          <w:tcPr>
            <w:tcW w:w="1552" w:type="dxa"/>
          </w:tcPr>
          <w:p w14:paraId="3999E542" w14:textId="06F9997E" w:rsidR="00AB350D" w:rsidRDefault="007871FB" w:rsidP="007C5FDE">
            <w:pPr>
              <w:rPr>
                <w:rFonts w:ascii="Arial" w:hAnsi="Arial" w:cs="Arial"/>
              </w:rPr>
            </w:pPr>
            <w:r>
              <w:rPr>
                <w:rFonts w:ascii="Arial" w:hAnsi="Arial" w:cs="Arial"/>
              </w:rPr>
              <w:t>£10,850</w:t>
            </w:r>
          </w:p>
        </w:tc>
      </w:tr>
      <w:tr w:rsidR="00AB350D" w14:paraId="5C2C2F11" w14:textId="77777777" w:rsidTr="00AB350D">
        <w:tc>
          <w:tcPr>
            <w:tcW w:w="987" w:type="dxa"/>
          </w:tcPr>
          <w:p w14:paraId="2ABEA1E0" w14:textId="3B019ADE" w:rsidR="00AB350D" w:rsidRDefault="00AB350D" w:rsidP="007C5FDE">
            <w:pPr>
              <w:rPr>
                <w:rFonts w:ascii="Arial" w:hAnsi="Arial" w:cs="Arial"/>
              </w:rPr>
            </w:pPr>
            <w:r>
              <w:rPr>
                <w:rFonts w:ascii="Arial" w:hAnsi="Arial" w:cs="Arial"/>
              </w:rPr>
              <w:t>6i</w:t>
            </w:r>
          </w:p>
        </w:tc>
        <w:tc>
          <w:tcPr>
            <w:tcW w:w="4962" w:type="dxa"/>
          </w:tcPr>
          <w:p w14:paraId="6E54C5AB" w14:textId="4F44B3F4" w:rsidR="00AB350D" w:rsidRDefault="00AB350D" w:rsidP="007C5FDE">
            <w:pPr>
              <w:rPr>
                <w:rFonts w:ascii="Arial" w:hAnsi="Arial" w:cs="Arial"/>
              </w:rPr>
            </w:pPr>
            <w:r>
              <w:rPr>
                <w:rFonts w:ascii="Arial" w:hAnsi="Arial" w:cs="Arial"/>
              </w:rPr>
              <w:t>ARPs, Special Schools</w:t>
            </w:r>
          </w:p>
        </w:tc>
        <w:tc>
          <w:tcPr>
            <w:tcW w:w="1701" w:type="dxa"/>
          </w:tcPr>
          <w:p w14:paraId="45303346" w14:textId="472B1CFC" w:rsidR="00AB350D" w:rsidRDefault="00AB350D" w:rsidP="007C5FDE">
            <w:pPr>
              <w:rPr>
                <w:rFonts w:ascii="Arial" w:hAnsi="Arial" w:cs="Arial"/>
              </w:rPr>
            </w:pPr>
            <w:r>
              <w:rPr>
                <w:rFonts w:ascii="Arial" w:hAnsi="Arial" w:cs="Arial"/>
              </w:rPr>
              <w:t>£14,000</w:t>
            </w:r>
          </w:p>
        </w:tc>
        <w:tc>
          <w:tcPr>
            <w:tcW w:w="1552" w:type="dxa"/>
          </w:tcPr>
          <w:p w14:paraId="652BCB89" w14:textId="1378DF9A" w:rsidR="00AB350D" w:rsidRDefault="00F332B6" w:rsidP="007C5FDE">
            <w:pPr>
              <w:rPr>
                <w:rFonts w:ascii="Arial" w:hAnsi="Arial" w:cs="Arial"/>
              </w:rPr>
            </w:pPr>
            <w:r>
              <w:rPr>
                <w:rFonts w:ascii="Arial" w:hAnsi="Arial" w:cs="Arial"/>
              </w:rPr>
              <w:t>£15,200</w:t>
            </w:r>
          </w:p>
        </w:tc>
      </w:tr>
      <w:tr w:rsidR="00AB350D" w14:paraId="57C57F02" w14:textId="77777777" w:rsidTr="00AB350D">
        <w:tc>
          <w:tcPr>
            <w:tcW w:w="987" w:type="dxa"/>
          </w:tcPr>
          <w:p w14:paraId="27CD4656" w14:textId="479F1BCE" w:rsidR="00AB350D" w:rsidRDefault="00AB350D" w:rsidP="007C5FDE">
            <w:pPr>
              <w:rPr>
                <w:rFonts w:ascii="Arial" w:hAnsi="Arial" w:cs="Arial"/>
              </w:rPr>
            </w:pPr>
            <w:r>
              <w:rPr>
                <w:rFonts w:ascii="Arial" w:hAnsi="Arial" w:cs="Arial"/>
              </w:rPr>
              <w:t>6ii</w:t>
            </w:r>
          </w:p>
        </w:tc>
        <w:tc>
          <w:tcPr>
            <w:tcW w:w="4962" w:type="dxa"/>
          </w:tcPr>
          <w:p w14:paraId="09101AD3" w14:textId="1445A7D8" w:rsidR="00AB350D" w:rsidRDefault="00AB350D" w:rsidP="007C5FDE">
            <w:pPr>
              <w:rPr>
                <w:rFonts w:ascii="Arial" w:hAnsi="Arial" w:cs="Arial"/>
              </w:rPr>
            </w:pPr>
            <w:r>
              <w:rPr>
                <w:rFonts w:ascii="Arial" w:hAnsi="Arial" w:cs="Arial"/>
              </w:rPr>
              <w:t>Special Schools</w:t>
            </w:r>
          </w:p>
        </w:tc>
        <w:tc>
          <w:tcPr>
            <w:tcW w:w="1701" w:type="dxa"/>
          </w:tcPr>
          <w:p w14:paraId="49E1D25D" w14:textId="5C03C9E9" w:rsidR="00AB350D" w:rsidRDefault="00AB350D" w:rsidP="007C5FDE">
            <w:pPr>
              <w:rPr>
                <w:rFonts w:ascii="Arial" w:hAnsi="Arial" w:cs="Arial"/>
              </w:rPr>
            </w:pPr>
            <w:r>
              <w:rPr>
                <w:rFonts w:ascii="Arial" w:hAnsi="Arial" w:cs="Arial"/>
              </w:rPr>
              <w:t>£19,000</w:t>
            </w:r>
          </w:p>
        </w:tc>
        <w:tc>
          <w:tcPr>
            <w:tcW w:w="1552" w:type="dxa"/>
          </w:tcPr>
          <w:p w14:paraId="77501F16" w14:textId="0D1A253C" w:rsidR="00AB350D" w:rsidRDefault="007871FB" w:rsidP="007C5FDE">
            <w:pPr>
              <w:rPr>
                <w:rFonts w:ascii="Arial" w:hAnsi="Arial" w:cs="Arial"/>
              </w:rPr>
            </w:pPr>
            <w:r>
              <w:rPr>
                <w:rFonts w:ascii="Arial" w:hAnsi="Arial" w:cs="Arial"/>
              </w:rPr>
              <w:t>£20,600</w:t>
            </w:r>
          </w:p>
        </w:tc>
      </w:tr>
    </w:tbl>
    <w:p w14:paraId="1187B473" w14:textId="1865CBBC" w:rsidR="00AB350D" w:rsidRPr="007C5FDE" w:rsidRDefault="00AB350D" w:rsidP="007C5FDE">
      <w:pPr>
        <w:ind w:left="709" w:hanging="709"/>
        <w:rPr>
          <w:rFonts w:ascii="Arial" w:hAnsi="Arial" w:cs="Arial"/>
        </w:rPr>
      </w:pPr>
      <w:r>
        <w:rPr>
          <w:rFonts w:ascii="Arial" w:hAnsi="Arial" w:cs="Arial"/>
        </w:rPr>
        <w:tab/>
      </w:r>
    </w:p>
    <w:p w14:paraId="146EF2EC" w14:textId="4509871D" w:rsidR="000921B9" w:rsidRDefault="00C12D6E" w:rsidP="007C5FDE">
      <w:pPr>
        <w:ind w:left="709" w:hanging="709"/>
        <w:rPr>
          <w:rFonts w:ascii="Arial" w:hAnsi="Arial" w:cs="Arial"/>
        </w:rPr>
      </w:pPr>
      <w:r>
        <w:rPr>
          <w:rFonts w:ascii="Arial" w:hAnsi="Arial" w:cs="Arial"/>
        </w:rPr>
        <w:t>4</w:t>
      </w:r>
      <w:r w:rsidR="00BC2816">
        <w:rPr>
          <w:rFonts w:ascii="Arial" w:hAnsi="Arial" w:cs="Arial"/>
        </w:rPr>
        <w:t>.8</w:t>
      </w:r>
      <w:r w:rsidR="00B63511">
        <w:rPr>
          <w:rFonts w:ascii="Arial" w:hAnsi="Arial" w:cs="Arial"/>
        </w:rPr>
        <w:tab/>
      </w:r>
      <w:r w:rsidR="00400A90">
        <w:rPr>
          <w:rFonts w:ascii="Arial" w:hAnsi="Arial" w:cs="Arial"/>
        </w:rPr>
        <w:tab/>
      </w:r>
      <w:r w:rsidR="003F7BDB">
        <w:rPr>
          <w:rFonts w:ascii="Arial" w:hAnsi="Arial" w:cs="Arial"/>
        </w:rPr>
        <w:t>F</w:t>
      </w:r>
      <w:r w:rsidR="007C5FDE">
        <w:rPr>
          <w:rFonts w:ascii="Arial" w:hAnsi="Arial" w:cs="Arial"/>
        </w:rPr>
        <w:t>inancial remodelling</w:t>
      </w:r>
      <w:r w:rsidR="003F7BDB">
        <w:rPr>
          <w:rFonts w:ascii="Arial" w:hAnsi="Arial" w:cs="Arial"/>
        </w:rPr>
        <w:t xml:space="preserve"> of the PRU is ongoing. The High Needs Block is currently funding the cost base of the PRU. However, if financial investment in areas such as outreach is agreed, associated costs would need to be included in the 2021/22 budget requirement.</w:t>
      </w:r>
    </w:p>
    <w:p w14:paraId="7F6A01A7" w14:textId="77777777" w:rsidR="00646A3E" w:rsidRDefault="00646A3E">
      <w:pPr>
        <w:ind w:left="709" w:hanging="709"/>
        <w:rPr>
          <w:rFonts w:ascii="Arial" w:hAnsi="Arial" w:cs="Arial"/>
        </w:rPr>
      </w:pPr>
    </w:p>
    <w:p w14:paraId="25733ADF" w14:textId="77777777" w:rsidR="00FC2304" w:rsidRDefault="006D415F" w:rsidP="00FC2304">
      <w:pPr>
        <w:ind w:left="709" w:hanging="709"/>
        <w:rPr>
          <w:rFonts w:ascii="Arial" w:hAnsi="Arial" w:cs="Arial"/>
          <w:b/>
          <w:u w:val="single"/>
        </w:rPr>
      </w:pPr>
      <w:r>
        <w:rPr>
          <w:rFonts w:ascii="Arial" w:hAnsi="Arial" w:cs="Arial"/>
          <w:b/>
        </w:rPr>
        <w:t>5</w:t>
      </w:r>
      <w:r w:rsidR="00D22808" w:rsidRPr="00D22808">
        <w:rPr>
          <w:rFonts w:ascii="Arial" w:hAnsi="Arial" w:cs="Arial"/>
          <w:b/>
        </w:rPr>
        <w:t>.</w:t>
      </w:r>
      <w:r w:rsidR="00FC2304">
        <w:rPr>
          <w:rFonts w:ascii="Arial" w:hAnsi="Arial" w:cs="Arial"/>
        </w:rPr>
        <w:tab/>
      </w:r>
      <w:r w:rsidR="00F851B9">
        <w:rPr>
          <w:rFonts w:ascii="Arial" w:hAnsi="Arial" w:cs="Arial"/>
          <w:b/>
          <w:u w:val="single"/>
        </w:rPr>
        <w:t>Medium Term Financial Strategy</w:t>
      </w:r>
    </w:p>
    <w:p w14:paraId="50A64518" w14:textId="77777777" w:rsidR="00FC2304" w:rsidRDefault="00FC2304" w:rsidP="00FC2304">
      <w:pPr>
        <w:ind w:left="709" w:hanging="709"/>
        <w:rPr>
          <w:rFonts w:ascii="Arial" w:hAnsi="Arial" w:cs="Arial"/>
          <w:b/>
          <w:u w:val="single"/>
        </w:rPr>
      </w:pPr>
    </w:p>
    <w:p w14:paraId="15B57985" w14:textId="77777777" w:rsidR="00D22808" w:rsidRDefault="006D415F" w:rsidP="00FC2304">
      <w:pPr>
        <w:ind w:left="709" w:hanging="709"/>
        <w:rPr>
          <w:rFonts w:ascii="Arial" w:hAnsi="Arial" w:cs="Arial"/>
        </w:rPr>
      </w:pPr>
      <w:r>
        <w:rPr>
          <w:rFonts w:ascii="Arial" w:hAnsi="Arial" w:cs="Arial"/>
        </w:rPr>
        <w:t>5</w:t>
      </w:r>
      <w:r w:rsidR="00D22808">
        <w:rPr>
          <w:rFonts w:ascii="Arial" w:hAnsi="Arial" w:cs="Arial"/>
        </w:rPr>
        <w:t>.1</w:t>
      </w:r>
      <w:r w:rsidR="00D22808">
        <w:rPr>
          <w:rFonts w:ascii="Arial" w:hAnsi="Arial" w:cs="Arial"/>
        </w:rPr>
        <w:tab/>
      </w:r>
      <w:r w:rsidR="00F851B9">
        <w:rPr>
          <w:rFonts w:ascii="Arial" w:hAnsi="Arial" w:cs="Arial"/>
        </w:rPr>
        <w:t xml:space="preserve">There are a number of key considerations beyond 2021/22 as part of the MTFS. </w:t>
      </w:r>
      <w:r w:rsidR="003F7BDB">
        <w:rPr>
          <w:rFonts w:ascii="Arial" w:hAnsi="Arial" w:cs="Arial"/>
        </w:rPr>
        <w:t>Even if a block transfer does not take place in 2021/22, there may be a need for Schools’ Forum to consider block transfers in future financial years.</w:t>
      </w:r>
    </w:p>
    <w:p w14:paraId="6E03A7F3" w14:textId="77777777" w:rsidR="003F7BDB" w:rsidRDefault="003F7BDB" w:rsidP="00FC2304">
      <w:pPr>
        <w:ind w:left="709" w:hanging="709"/>
        <w:rPr>
          <w:rFonts w:ascii="Arial" w:hAnsi="Arial" w:cs="Arial"/>
        </w:rPr>
      </w:pPr>
    </w:p>
    <w:p w14:paraId="1D4EFDCE" w14:textId="1059C43E" w:rsidR="003F7BDB" w:rsidRDefault="003F7BDB" w:rsidP="00FC2304">
      <w:pPr>
        <w:ind w:left="709" w:hanging="709"/>
        <w:rPr>
          <w:rFonts w:ascii="Arial" w:hAnsi="Arial" w:cs="Arial"/>
        </w:rPr>
      </w:pPr>
      <w:r>
        <w:rPr>
          <w:rFonts w:ascii="Arial" w:hAnsi="Arial" w:cs="Arial"/>
        </w:rPr>
        <w:t>5.2</w:t>
      </w:r>
      <w:r>
        <w:rPr>
          <w:rFonts w:ascii="Arial" w:hAnsi="Arial" w:cs="Arial"/>
        </w:rPr>
        <w:tab/>
      </w:r>
      <w:r w:rsidR="00BC2816">
        <w:rPr>
          <w:rFonts w:ascii="Arial" w:hAnsi="Arial" w:cs="Arial"/>
        </w:rPr>
        <w:t xml:space="preserve">Options to increase capacity at </w:t>
      </w:r>
      <w:proofErr w:type="spellStart"/>
      <w:r w:rsidR="00BC2816">
        <w:rPr>
          <w:rFonts w:ascii="Arial" w:hAnsi="Arial" w:cs="Arial"/>
        </w:rPr>
        <w:t>Catcote</w:t>
      </w:r>
      <w:proofErr w:type="spellEnd"/>
      <w:r w:rsidR="00BC2816">
        <w:rPr>
          <w:rFonts w:ascii="Arial" w:hAnsi="Arial" w:cs="Arial"/>
        </w:rPr>
        <w:t xml:space="preserve"> are being explored. These include use of existing capital funding and opportunities to bid for </w:t>
      </w:r>
      <w:proofErr w:type="spellStart"/>
      <w:r w:rsidR="00BC2816">
        <w:rPr>
          <w:rFonts w:ascii="Arial" w:hAnsi="Arial" w:cs="Arial"/>
        </w:rPr>
        <w:t>DfE</w:t>
      </w:r>
      <w:proofErr w:type="spellEnd"/>
      <w:r w:rsidR="00BC2816">
        <w:rPr>
          <w:rFonts w:ascii="Arial" w:hAnsi="Arial" w:cs="Arial"/>
        </w:rPr>
        <w:t xml:space="preserve"> capital funding. T</w:t>
      </w:r>
      <w:r>
        <w:rPr>
          <w:rFonts w:ascii="Arial" w:hAnsi="Arial" w:cs="Arial"/>
        </w:rPr>
        <w:t xml:space="preserve">here is a known pipeline of pupils from </w:t>
      </w:r>
      <w:proofErr w:type="spellStart"/>
      <w:r>
        <w:rPr>
          <w:rFonts w:ascii="Arial" w:hAnsi="Arial" w:cs="Arial"/>
        </w:rPr>
        <w:t>Springwell</w:t>
      </w:r>
      <w:proofErr w:type="spellEnd"/>
      <w:r>
        <w:rPr>
          <w:rFonts w:ascii="Arial" w:hAnsi="Arial" w:cs="Arial"/>
        </w:rPr>
        <w:t xml:space="preserve"> School over the medium term that could not currently be accommodated within Hartlepool provision. Depending on the timing of </w:t>
      </w:r>
      <w:r w:rsidR="00391979">
        <w:rPr>
          <w:rFonts w:ascii="Arial" w:hAnsi="Arial" w:cs="Arial"/>
        </w:rPr>
        <w:t>any potential capital works</w:t>
      </w:r>
      <w:r>
        <w:rPr>
          <w:rFonts w:ascii="Arial" w:hAnsi="Arial" w:cs="Arial"/>
        </w:rPr>
        <w:t>, costs of independent provision may need to be included beyond 2021/22.</w:t>
      </w:r>
    </w:p>
    <w:p w14:paraId="7A6B8A4B" w14:textId="77777777" w:rsidR="003F7BDB" w:rsidRDefault="003F7BDB" w:rsidP="00FC2304">
      <w:pPr>
        <w:ind w:left="709" w:hanging="709"/>
        <w:rPr>
          <w:rFonts w:ascii="Arial" w:hAnsi="Arial" w:cs="Arial"/>
        </w:rPr>
      </w:pPr>
    </w:p>
    <w:p w14:paraId="0AA563DF" w14:textId="06EE6DCC" w:rsidR="003F7BDB" w:rsidRDefault="003F7BDB" w:rsidP="006C1A27">
      <w:pPr>
        <w:ind w:left="709" w:hanging="709"/>
        <w:rPr>
          <w:rFonts w:ascii="Arial" w:hAnsi="Arial" w:cs="Arial"/>
        </w:rPr>
      </w:pPr>
      <w:r>
        <w:rPr>
          <w:rFonts w:ascii="Arial" w:hAnsi="Arial" w:cs="Arial"/>
        </w:rPr>
        <w:t>5.3</w:t>
      </w:r>
      <w:r>
        <w:rPr>
          <w:rFonts w:ascii="Arial" w:hAnsi="Arial" w:cs="Arial"/>
        </w:rPr>
        <w:tab/>
        <w:t xml:space="preserve">Initial financial modelling for the new SEMH Free School is underway. The school is planned to open in September 2022. A transition period of three years until the school reaches a stable operation is considered a reasonable assumption. During transition, there </w:t>
      </w:r>
      <w:r w:rsidR="00391979">
        <w:rPr>
          <w:rFonts w:ascii="Arial" w:hAnsi="Arial" w:cs="Arial"/>
        </w:rPr>
        <w:t>may be</w:t>
      </w:r>
      <w:r>
        <w:rPr>
          <w:rFonts w:ascii="Arial" w:hAnsi="Arial" w:cs="Arial"/>
        </w:rPr>
        <w:t xml:space="preserve"> additional costs to be funded from the High Needs </w:t>
      </w:r>
      <w:r w:rsidR="006C1A27">
        <w:rPr>
          <w:rFonts w:ascii="Arial" w:hAnsi="Arial" w:cs="Arial"/>
        </w:rPr>
        <w:t>Blo</w:t>
      </w:r>
      <w:r>
        <w:rPr>
          <w:rFonts w:ascii="Arial" w:hAnsi="Arial" w:cs="Arial"/>
        </w:rPr>
        <w:t>ck.</w:t>
      </w:r>
      <w:r w:rsidR="00391979">
        <w:rPr>
          <w:rFonts w:ascii="Arial" w:hAnsi="Arial" w:cs="Arial"/>
        </w:rPr>
        <w:t xml:space="preserve"> Officers are meeting with the new provider and </w:t>
      </w:r>
      <w:proofErr w:type="spellStart"/>
      <w:r w:rsidR="00391979">
        <w:rPr>
          <w:rFonts w:ascii="Arial" w:hAnsi="Arial" w:cs="Arial"/>
        </w:rPr>
        <w:t>DfE</w:t>
      </w:r>
      <w:proofErr w:type="spellEnd"/>
      <w:r w:rsidR="00391979">
        <w:rPr>
          <w:rFonts w:ascii="Arial" w:hAnsi="Arial" w:cs="Arial"/>
        </w:rPr>
        <w:t xml:space="preserve"> in October and financial implications will be discussed at this stage. This informati</w:t>
      </w:r>
      <w:r w:rsidR="00D76D22">
        <w:rPr>
          <w:rFonts w:ascii="Arial" w:hAnsi="Arial" w:cs="Arial"/>
        </w:rPr>
        <w:t>on will be brought to a future S</w:t>
      </w:r>
      <w:r w:rsidR="00391979">
        <w:rPr>
          <w:rFonts w:ascii="Arial" w:hAnsi="Arial" w:cs="Arial"/>
        </w:rPr>
        <w:t>chools</w:t>
      </w:r>
      <w:r w:rsidR="00D76D22">
        <w:rPr>
          <w:rFonts w:ascii="Arial" w:hAnsi="Arial" w:cs="Arial"/>
        </w:rPr>
        <w:t>’ F</w:t>
      </w:r>
      <w:r w:rsidR="00391979">
        <w:rPr>
          <w:rFonts w:ascii="Arial" w:hAnsi="Arial" w:cs="Arial"/>
        </w:rPr>
        <w:t xml:space="preserve">orum. </w:t>
      </w:r>
    </w:p>
    <w:p w14:paraId="05F528F9" w14:textId="77777777" w:rsidR="006C1A27" w:rsidRDefault="006C1A27" w:rsidP="006C1A27">
      <w:pPr>
        <w:ind w:left="709" w:hanging="709"/>
        <w:rPr>
          <w:rFonts w:ascii="Arial" w:hAnsi="Arial" w:cs="Arial"/>
        </w:rPr>
      </w:pPr>
    </w:p>
    <w:p w14:paraId="29318C76" w14:textId="1ABBC078" w:rsidR="006C1A27" w:rsidRPr="00D22808" w:rsidRDefault="006C1A27" w:rsidP="006C1A27">
      <w:pPr>
        <w:ind w:left="709" w:hanging="709"/>
        <w:rPr>
          <w:rFonts w:ascii="Arial" w:hAnsi="Arial" w:cs="Arial"/>
        </w:rPr>
      </w:pPr>
      <w:r>
        <w:rPr>
          <w:rFonts w:ascii="Arial" w:hAnsi="Arial" w:cs="Arial"/>
        </w:rPr>
        <w:t>5.4</w:t>
      </w:r>
      <w:r>
        <w:rPr>
          <w:rFonts w:ascii="Arial" w:hAnsi="Arial" w:cs="Arial"/>
        </w:rPr>
        <w:tab/>
        <w:t xml:space="preserve">A new 12-place MLD provision has been established as a </w:t>
      </w:r>
      <w:r w:rsidR="00391979">
        <w:rPr>
          <w:rFonts w:ascii="Arial" w:hAnsi="Arial" w:cs="Arial"/>
        </w:rPr>
        <w:t xml:space="preserve">pilot </w:t>
      </w:r>
      <w:r>
        <w:rPr>
          <w:rFonts w:ascii="Arial" w:hAnsi="Arial" w:cs="Arial"/>
        </w:rPr>
        <w:t xml:space="preserve">joint arrangement between English Martyrs and </w:t>
      </w:r>
      <w:proofErr w:type="spellStart"/>
      <w:r>
        <w:rPr>
          <w:rFonts w:ascii="Arial" w:hAnsi="Arial" w:cs="Arial"/>
        </w:rPr>
        <w:t>Catcote</w:t>
      </w:r>
      <w:proofErr w:type="spellEnd"/>
      <w:r>
        <w:rPr>
          <w:rFonts w:ascii="Arial" w:hAnsi="Arial" w:cs="Arial"/>
        </w:rPr>
        <w:t xml:space="preserve"> from September 2020</w:t>
      </w:r>
      <w:r w:rsidR="00391979">
        <w:rPr>
          <w:rFonts w:ascii="Arial" w:hAnsi="Arial" w:cs="Arial"/>
        </w:rPr>
        <w:t>. This is being piloted to reduce the number of children needing to be placed out of area.</w:t>
      </w:r>
      <w:r>
        <w:rPr>
          <w:rFonts w:ascii="Arial" w:hAnsi="Arial" w:cs="Arial"/>
        </w:rPr>
        <w:t xml:space="preserve"> The unit is being funded at cost in 2020/21 and 2021/22. The future of the unit and how it will be funded requires consideration as part of the MTFS.</w:t>
      </w:r>
    </w:p>
    <w:p w14:paraId="6CE64097" w14:textId="77777777" w:rsidR="00D22808" w:rsidRDefault="00D22808" w:rsidP="005E2E8A">
      <w:pPr>
        <w:rPr>
          <w:rFonts w:ascii="Arial" w:hAnsi="Arial" w:cs="Arial"/>
        </w:rPr>
      </w:pPr>
    </w:p>
    <w:p w14:paraId="5848C3C2" w14:textId="77777777" w:rsidR="00F851B9" w:rsidRDefault="00F851B9" w:rsidP="00F851B9">
      <w:pPr>
        <w:ind w:left="709" w:hanging="709"/>
        <w:rPr>
          <w:rFonts w:ascii="Arial" w:hAnsi="Arial" w:cs="Arial"/>
          <w:b/>
          <w:u w:val="single"/>
        </w:rPr>
      </w:pPr>
      <w:r>
        <w:rPr>
          <w:rFonts w:ascii="Arial" w:hAnsi="Arial" w:cs="Arial"/>
          <w:b/>
        </w:rPr>
        <w:t>6</w:t>
      </w:r>
      <w:r w:rsidRPr="00D22808">
        <w:rPr>
          <w:rFonts w:ascii="Arial" w:hAnsi="Arial" w:cs="Arial"/>
          <w:b/>
        </w:rPr>
        <w:t>.</w:t>
      </w:r>
      <w:r>
        <w:rPr>
          <w:rFonts w:ascii="Arial" w:hAnsi="Arial" w:cs="Arial"/>
        </w:rPr>
        <w:tab/>
      </w:r>
      <w:r w:rsidRPr="00FC2304">
        <w:rPr>
          <w:rFonts w:ascii="Arial" w:hAnsi="Arial" w:cs="Arial"/>
          <w:b/>
          <w:u w:val="single"/>
        </w:rPr>
        <w:t>Recommendations</w:t>
      </w:r>
    </w:p>
    <w:p w14:paraId="7A8AE0AF" w14:textId="77777777" w:rsidR="00F851B9" w:rsidRDefault="00F851B9" w:rsidP="00F851B9">
      <w:pPr>
        <w:ind w:left="709" w:hanging="709"/>
        <w:rPr>
          <w:rFonts w:ascii="Arial" w:hAnsi="Arial" w:cs="Arial"/>
          <w:b/>
          <w:u w:val="single"/>
        </w:rPr>
      </w:pPr>
    </w:p>
    <w:p w14:paraId="3CDA9967" w14:textId="77777777" w:rsidR="003F7BDB" w:rsidRDefault="00F851B9" w:rsidP="00F851B9">
      <w:pPr>
        <w:ind w:left="709" w:hanging="709"/>
        <w:rPr>
          <w:rFonts w:ascii="Arial" w:hAnsi="Arial" w:cs="Arial"/>
        </w:rPr>
      </w:pPr>
      <w:r>
        <w:rPr>
          <w:rFonts w:ascii="Arial" w:hAnsi="Arial" w:cs="Arial"/>
        </w:rPr>
        <w:t>6.1</w:t>
      </w:r>
      <w:r>
        <w:rPr>
          <w:rFonts w:ascii="Arial" w:hAnsi="Arial" w:cs="Arial"/>
        </w:rPr>
        <w:tab/>
        <w:t>Forum is recommended to</w:t>
      </w:r>
      <w:r w:rsidR="003F7BDB">
        <w:rPr>
          <w:rFonts w:ascii="Arial" w:hAnsi="Arial" w:cs="Arial"/>
        </w:rPr>
        <w:t>:</w:t>
      </w:r>
    </w:p>
    <w:p w14:paraId="293BD9C3" w14:textId="77777777" w:rsidR="00F851B9" w:rsidRDefault="003F7BDB" w:rsidP="003F7BDB">
      <w:pPr>
        <w:ind w:left="709"/>
        <w:rPr>
          <w:rFonts w:ascii="Arial" w:hAnsi="Arial" w:cs="Arial"/>
        </w:rPr>
      </w:pPr>
      <w:r>
        <w:rPr>
          <w:rFonts w:ascii="Arial" w:hAnsi="Arial" w:cs="Arial"/>
        </w:rPr>
        <w:t>a)</w:t>
      </w:r>
      <w:r w:rsidR="00F851B9">
        <w:rPr>
          <w:rFonts w:ascii="Arial" w:hAnsi="Arial" w:cs="Arial"/>
        </w:rPr>
        <w:t xml:space="preserve"> </w:t>
      </w:r>
      <w:proofErr w:type="gramStart"/>
      <w:r>
        <w:rPr>
          <w:rFonts w:ascii="Arial" w:hAnsi="Arial" w:cs="Arial"/>
        </w:rPr>
        <w:t>note</w:t>
      </w:r>
      <w:proofErr w:type="gramEnd"/>
      <w:r>
        <w:rPr>
          <w:rFonts w:ascii="Arial" w:hAnsi="Arial" w:cs="Arial"/>
        </w:rPr>
        <w:t xml:space="preserve"> the contents of the report;</w:t>
      </w:r>
    </w:p>
    <w:p w14:paraId="2DA9F741" w14:textId="38BC1FB4" w:rsidR="00F851B9" w:rsidRDefault="003F7BDB" w:rsidP="001627E9">
      <w:pPr>
        <w:ind w:left="709"/>
        <w:rPr>
          <w:rFonts w:ascii="Arial" w:hAnsi="Arial" w:cs="Arial"/>
        </w:rPr>
      </w:pPr>
      <w:r>
        <w:rPr>
          <w:rFonts w:ascii="Arial" w:hAnsi="Arial" w:cs="Arial"/>
        </w:rPr>
        <w:t xml:space="preserve">b) </w:t>
      </w:r>
      <w:proofErr w:type="gramStart"/>
      <w:r>
        <w:rPr>
          <w:rFonts w:ascii="Arial" w:hAnsi="Arial" w:cs="Arial"/>
        </w:rPr>
        <w:t>consult</w:t>
      </w:r>
      <w:proofErr w:type="gramEnd"/>
      <w:r>
        <w:rPr>
          <w:rFonts w:ascii="Arial" w:hAnsi="Arial" w:cs="Arial"/>
        </w:rPr>
        <w:t xml:space="preserve"> with the schools and sectors they represent on proposals for the 2021/22 budget requirement outlined in </w:t>
      </w:r>
      <w:r w:rsidR="001627E9">
        <w:rPr>
          <w:rFonts w:ascii="Arial" w:hAnsi="Arial" w:cs="Arial"/>
        </w:rPr>
        <w:t xml:space="preserve">paragraphs 4.5 and 4.6 of </w:t>
      </w:r>
      <w:r>
        <w:rPr>
          <w:rFonts w:ascii="Arial" w:hAnsi="Arial" w:cs="Arial"/>
        </w:rPr>
        <w:t>the report.</w:t>
      </w:r>
    </w:p>
    <w:sectPr w:rsidR="00F851B9" w:rsidSect="0075449A">
      <w:headerReference w:type="default" r:id="rId8"/>
      <w:footerReference w:type="default" r:id="rId9"/>
      <w:pgSz w:w="11906" w:h="16838"/>
      <w:pgMar w:top="1134" w:right="851"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6B24C" w14:textId="77777777" w:rsidR="0045093E" w:rsidRDefault="0045093E" w:rsidP="00E471C6">
      <w:r>
        <w:separator/>
      </w:r>
    </w:p>
  </w:endnote>
  <w:endnote w:type="continuationSeparator" w:id="0">
    <w:p w14:paraId="4D4ABF6F" w14:textId="77777777" w:rsidR="0045093E" w:rsidRDefault="0045093E" w:rsidP="00E4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78A23" w14:textId="77777777" w:rsidR="0045093E" w:rsidRPr="00E471C6" w:rsidRDefault="00E57780" w:rsidP="00E471C6">
    <w:pPr>
      <w:pStyle w:val="Footer"/>
      <w:jc w:val="right"/>
      <w:rPr>
        <w:rFonts w:ascii="Arial" w:hAnsi="Arial" w:cs="Arial"/>
        <w:sz w:val="12"/>
        <w:szCs w:val="12"/>
      </w:rPr>
    </w:pPr>
    <w:r>
      <w:rPr>
        <w:rFonts w:ascii="Arial" w:hAnsi="Arial" w:cs="Arial"/>
        <w:noProof/>
        <w:sz w:val="12"/>
        <w:szCs w:val="12"/>
      </w:rPr>
      <w:fldChar w:fldCharType="begin"/>
    </w:r>
    <w:r>
      <w:rPr>
        <w:rFonts w:ascii="Arial" w:hAnsi="Arial" w:cs="Arial"/>
        <w:noProof/>
        <w:sz w:val="12"/>
        <w:szCs w:val="12"/>
      </w:rPr>
      <w:instrText xml:space="preserve"> FILENAME  \* Lower \p  \* MERGEFORMAT </w:instrText>
    </w:r>
    <w:r>
      <w:rPr>
        <w:rFonts w:ascii="Arial" w:hAnsi="Arial" w:cs="Arial"/>
        <w:noProof/>
        <w:sz w:val="12"/>
        <w:szCs w:val="12"/>
      </w:rPr>
      <w:fldChar w:fldCharType="separate"/>
    </w:r>
    <w:r w:rsidR="00D76D22">
      <w:rPr>
        <w:rFonts w:ascii="Arial" w:hAnsi="Arial" w:cs="Arial"/>
        <w:noProof/>
        <w:sz w:val="12"/>
        <w:szCs w:val="12"/>
      </w:rPr>
      <w:t>c:\users\ceacjw\appdata\local\microsoft\windows\inetcache\content.outlook\fh7a9dmo\item x_2020 0924 high needs block budget proposals 202122.docx</w:t>
    </w:r>
    <w:r>
      <w:rPr>
        <w:rFonts w:ascii="Arial" w:hAnsi="Arial" w:cs="Arial"/>
        <w:noProof/>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5D28F" w14:textId="77777777" w:rsidR="0045093E" w:rsidRDefault="0045093E" w:rsidP="00E471C6">
      <w:r>
        <w:separator/>
      </w:r>
    </w:p>
  </w:footnote>
  <w:footnote w:type="continuationSeparator" w:id="0">
    <w:p w14:paraId="45B20FB2" w14:textId="77777777" w:rsidR="0045093E" w:rsidRDefault="0045093E" w:rsidP="00E47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01386"/>
      <w:docPartObj>
        <w:docPartGallery w:val="Page Numbers (Top of Page)"/>
        <w:docPartUnique/>
      </w:docPartObj>
    </w:sdtPr>
    <w:sdtEndPr/>
    <w:sdtContent>
      <w:p w14:paraId="33ADADE6" w14:textId="77777777" w:rsidR="0045093E" w:rsidRDefault="0045093E">
        <w:pPr>
          <w:pStyle w:val="Header"/>
          <w:jc w:val="right"/>
        </w:pPr>
        <w:r w:rsidRPr="004C5FD4">
          <w:rPr>
            <w:rFonts w:ascii="Arial" w:hAnsi="Arial" w:cs="Arial"/>
            <w:sz w:val="16"/>
            <w:szCs w:val="16"/>
          </w:rPr>
          <w:t xml:space="preserve">Page </w:t>
        </w:r>
        <w:r w:rsidRPr="004C5FD4">
          <w:rPr>
            <w:rFonts w:ascii="Arial" w:hAnsi="Arial" w:cs="Arial"/>
            <w:b/>
            <w:sz w:val="16"/>
            <w:szCs w:val="16"/>
          </w:rPr>
          <w:fldChar w:fldCharType="begin"/>
        </w:r>
        <w:r w:rsidRPr="004C5FD4">
          <w:rPr>
            <w:rFonts w:ascii="Arial" w:hAnsi="Arial" w:cs="Arial"/>
            <w:b/>
            <w:sz w:val="16"/>
            <w:szCs w:val="16"/>
          </w:rPr>
          <w:instrText xml:space="preserve"> PAGE </w:instrText>
        </w:r>
        <w:r w:rsidRPr="004C5FD4">
          <w:rPr>
            <w:rFonts w:ascii="Arial" w:hAnsi="Arial" w:cs="Arial"/>
            <w:b/>
            <w:sz w:val="16"/>
            <w:szCs w:val="16"/>
          </w:rPr>
          <w:fldChar w:fldCharType="separate"/>
        </w:r>
        <w:r w:rsidR="00920467">
          <w:rPr>
            <w:rFonts w:ascii="Arial" w:hAnsi="Arial" w:cs="Arial"/>
            <w:b/>
            <w:noProof/>
            <w:sz w:val="16"/>
            <w:szCs w:val="16"/>
          </w:rPr>
          <w:t>3</w:t>
        </w:r>
        <w:r w:rsidRPr="004C5FD4">
          <w:rPr>
            <w:rFonts w:ascii="Arial" w:hAnsi="Arial" w:cs="Arial"/>
            <w:b/>
            <w:sz w:val="16"/>
            <w:szCs w:val="16"/>
          </w:rPr>
          <w:fldChar w:fldCharType="end"/>
        </w:r>
        <w:r w:rsidRPr="004C5FD4">
          <w:rPr>
            <w:rFonts w:ascii="Arial" w:hAnsi="Arial" w:cs="Arial"/>
            <w:sz w:val="16"/>
            <w:szCs w:val="16"/>
          </w:rPr>
          <w:t xml:space="preserve"> of </w:t>
        </w:r>
        <w:r w:rsidRPr="004C5FD4">
          <w:rPr>
            <w:rFonts w:ascii="Arial" w:hAnsi="Arial" w:cs="Arial"/>
            <w:b/>
            <w:sz w:val="16"/>
            <w:szCs w:val="16"/>
          </w:rPr>
          <w:fldChar w:fldCharType="begin"/>
        </w:r>
        <w:r w:rsidRPr="004C5FD4">
          <w:rPr>
            <w:rFonts w:ascii="Arial" w:hAnsi="Arial" w:cs="Arial"/>
            <w:b/>
            <w:sz w:val="16"/>
            <w:szCs w:val="16"/>
          </w:rPr>
          <w:instrText xml:space="preserve"> NUMPAGES  </w:instrText>
        </w:r>
        <w:r w:rsidRPr="004C5FD4">
          <w:rPr>
            <w:rFonts w:ascii="Arial" w:hAnsi="Arial" w:cs="Arial"/>
            <w:b/>
            <w:sz w:val="16"/>
            <w:szCs w:val="16"/>
          </w:rPr>
          <w:fldChar w:fldCharType="separate"/>
        </w:r>
        <w:r w:rsidR="00920467">
          <w:rPr>
            <w:rFonts w:ascii="Arial" w:hAnsi="Arial" w:cs="Arial"/>
            <w:b/>
            <w:noProof/>
            <w:sz w:val="16"/>
            <w:szCs w:val="16"/>
          </w:rPr>
          <w:t>3</w:t>
        </w:r>
        <w:r w:rsidRPr="004C5FD4">
          <w:rPr>
            <w:rFonts w:ascii="Arial" w:hAnsi="Arial" w:cs="Arial"/>
            <w:b/>
            <w:sz w:val="16"/>
            <w:szCs w:val="16"/>
          </w:rPr>
          <w:fldChar w:fldCharType="end"/>
        </w:r>
      </w:p>
    </w:sdtContent>
  </w:sdt>
  <w:p w14:paraId="28F51AA9" w14:textId="77777777" w:rsidR="0045093E" w:rsidRDefault="004509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631A9"/>
    <w:multiLevelType w:val="multilevel"/>
    <w:tmpl w:val="99B4265E"/>
    <w:lvl w:ilvl="0">
      <w:start w:val="4"/>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18D722C9"/>
    <w:multiLevelType w:val="multilevel"/>
    <w:tmpl w:val="411C48D2"/>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F42110"/>
    <w:multiLevelType w:val="multilevel"/>
    <w:tmpl w:val="40CAD6E2"/>
    <w:lvl w:ilvl="0">
      <w:start w:val="4"/>
      <w:numFmt w:val="decimal"/>
      <w:lvlText w:val="%1"/>
      <w:lvlJc w:val="left"/>
      <w:pPr>
        <w:ind w:left="468" w:hanging="468"/>
      </w:pPr>
      <w:rPr>
        <w:rFonts w:hint="default"/>
        <w:color w:val="FF0000"/>
      </w:rPr>
    </w:lvl>
    <w:lvl w:ilvl="1">
      <w:start w:val="11"/>
      <w:numFmt w:val="decimal"/>
      <w:lvlText w:val="%1.%2"/>
      <w:lvlJc w:val="left"/>
      <w:pPr>
        <w:ind w:left="468" w:hanging="468"/>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3" w15:restartNumberingAfterBreak="0">
    <w:nsid w:val="262922EA"/>
    <w:multiLevelType w:val="multilevel"/>
    <w:tmpl w:val="2264B06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F7B030B"/>
    <w:multiLevelType w:val="multilevel"/>
    <w:tmpl w:val="D586F776"/>
    <w:lvl w:ilvl="0">
      <w:start w:val="4"/>
      <w:numFmt w:val="decimal"/>
      <w:lvlText w:val="%1"/>
      <w:lvlJc w:val="left"/>
      <w:pPr>
        <w:ind w:left="468" w:hanging="468"/>
      </w:pPr>
      <w:rPr>
        <w:rFonts w:hint="default"/>
      </w:rPr>
    </w:lvl>
    <w:lvl w:ilvl="1">
      <w:start w:val="1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C77D56"/>
    <w:multiLevelType w:val="hybridMultilevel"/>
    <w:tmpl w:val="5BB6B7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4BFF3467"/>
    <w:multiLevelType w:val="hybridMultilevel"/>
    <w:tmpl w:val="3E4C6490"/>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7" w15:restartNumberingAfterBreak="0">
    <w:nsid w:val="4F63570A"/>
    <w:multiLevelType w:val="hybridMultilevel"/>
    <w:tmpl w:val="D236E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11E22A4"/>
    <w:multiLevelType w:val="multilevel"/>
    <w:tmpl w:val="EE1C39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9" w15:restartNumberingAfterBreak="0">
    <w:nsid w:val="5496584D"/>
    <w:multiLevelType w:val="multilevel"/>
    <w:tmpl w:val="EE1C39D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0" w15:restartNumberingAfterBreak="0">
    <w:nsid w:val="58697234"/>
    <w:multiLevelType w:val="multilevel"/>
    <w:tmpl w:val="079E844E"/>
    <w:lvl w:ilvl="0">
      <w:start w:val="4"/>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CE36E8"/>
    <w:multiLevelType w:val="multilevel"/>
    <w:tmpl w:val="500C434A"/>
    <w:lvl w:ilvl="0">
      <w:start w:val="5"/>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2" w15:restartNumberingAfterBreak="0">
    <w:nsid w:val="6D471DEB"/>
    <w:multiLevelType w:val="multilevel"/>
    <w:tmpl w:val="DAFEC882"/>
    <w:lvl w:ilvl="0">
      <w:start w:val="3"/>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6F9B6804"/>
    <w:multiLevelType w:val="multilevel"/>
    <w:tmpl w:val="7BE44776"/>
    <w:lvl w:ilvl="0">
      <w:start w:val="4"/>
      <w:numFmt w:val="decimal"/>
      <w:lvlText w:val="%1"/>
      <w:lvlJc w:val="left"/>
      <w:pPr>
        <w:ind w:left="360" w:hanging="360"/>
      </w:pPr>
      <w:rPr>
        <w:rFonts w:hint="default"/>
        <w:b w:val="0"/>
        <w:u w:val="none"/>
      </w:rPr>
    </w:lvl>
    <w:lvl w:ilvl="1">
      <w:start w:val="7"/>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4" w15:restartNumberingAfterBreak="0">
    <w:nsid w:val="72D64CC1"/>
    <w:multiLevelType w:val="hybridMultilevel"/>
    <w:tmpl w:val="3F96E7F6"/>
    <w:lvl w:ilvl="0" w:tplc="320667B0">
      <w:start w:val="4"/>
      <w:numFmt w:val="decimal"/>
      <w:lvlText w:val="%1"/>
      <w:lvlJc w:val="left"/>
      <w:pPr>
        <w:ind w:left="720" w:hanging="360"/>
      </w:pPr>
      <w:rPr>
        <w:rFonts w:hint="default"/>
        <w:b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CA58A5"/>
    <w:multiLevelType w:val="hybridMultilevel"/>
    <w:tmpl w:val="0D340058"/>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9"/>
  </w:num>
  <w:num w:numId="2">
    <w:abstractNumId w:val="8"/>
  </w:num>
  <w:num w:numId="3">
    <w:abstractNumId w:val="3"/>
  </w:num>
  <w:num w:numId="4">
    <w:abstractNumId w:val="14"/>
  </w:num>
  <w:num w:numId="5">
    <w:abstractNumId w:val="11"/>
  </w:num>
  <w:num w:numId="6">
    <w:abstractNumId w:val="12"/>
  </w:num>
  <w:num w:numId="7">
    <w:abstractNumId w:val="1"/>
  </w:num>
  <w:num w:numId="8">
    <w:abstractNumId w:val="13"/>
  </w:num>
  <w:num w:numId="9">
    <w:abstractNumId w:val="0"/>
  </w:num>
  <w:num w:numId="10">
    <w:abstractNumId w:val="2"/>
  </w:num>
  <w:num w:numId="11">
    <w:abstractNumId w:val="10"/>
  </w:num>
  <w:num w:numId="12">
    <w:abstractNumId w:val="4"/>
  </w:num>
  <w:num w:numId="13">
    <w:abstractNumId w:val="15"/>
  </w:num>
  <w:num w:numId="14">
    <w:abstractNumId w:val="6"/>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F0"/>
    <w:rsid w:val="000057EB"/>
    <w:rsid w:val="00011F8F"/>
    <w:rsid w:val="00013AF5"/>
    <w:rsid w:val="00015EDE"/>
    <w:rsid w:val="000403CC"/>
    <w:rsid w:val="00062C85"/>
    <w:rsid w:val="000921B9"/>
    <w:rsid w:val="000D59F9"/>
    <w:rsid w:val="000F04A7"/>
    <w:rsid w:val="000F185B"/>
    <w:rsid w:val="0010706F"/>
    <w:rsid w:val="00131B1A"/>
    <w:rsid w:val="001346EA"/>
    <w:rsid w:val="00146A1E"/>
    <w:rsid w:val="0015598A"/>
    <w:rsid w:val="001627E9"/>
    <w:rsid w:val="00172F8F"/>
    <w:rsid w:val="0018543D"/>
    <w:rsid w:val="00187032"/>
    <w:rsid w:val="001A1633"/>
    <w:rsid w:val="001B4E94"/>
    <w:rsid w:val="001C1CEC"/>
    <w:rsid w:val="001D58E7"/>
    <w:rsid w:val="001F2A93"/>
    <w:rsid w:val="001F530F"/>
    <w:rsid w:val="00205AF9"/>
    <w:rsid w:val="0022097E"/>
    <w:rsid w:val="0022639B"/>
    <w:rsid w:val="00243216"/>
    <w:rsid w:val="00246152"/>
    <w:rsid w:val="00250AF1"/>
    <w:rsid w:val="0026631E"/>
    <w:rsid w:val="00266910"/>
    <w:rsid w:val="00270F89"/>
    <w:rsid w:val="00273464"/>
    <w:rsid w:val="00276FC8"/>
    <w:rsid w:val="00282753"/>
    <w:rsid w:val="00287C2A"/>
    <w:rsid w:val="002A5C86"/>
    <w:rsid w:val="002B4790"/>
    <w:rsid w:val="002E08A2"/>
    <w:rsid w:val="002E693C"/>
    <w:rsid w:val="002F069C"/>
    <w:rsid w:val="002F150B"/>
    <w:rsid w:val="003055E8"/>
    <w:rsid w:val="00311B40"/>
    <w:rsid w:val="003204CE"/>
    <w:rsid w:val="0033037F"/>
    <w:rsid w:val="00381270"/>
    <w:rsid w:val="00385AB3"/>
    <w:rsid w:val="003871F0"/>
    <w:rsid w:val="0039065B"/>
    <w:rsid w:val="00391979"/>
    <w:rsid w:val="003A3E4F"/>
    <w:rsid w:val="003B27BE"/>
    <w:rsid w:val="003C21DE"/>
    <w:rsid w:val="003C3884"/>
    <w:rsid w:val="003D45F7"/>
    <w:rsid w:val="003F7BDB"/>
    <w:rsid w:val="00400A90"/>
    <w:rsid w:val="0040116D"/>
    <w:rsid w:val="00414EA3"/>
    <w:rsid w:val="0043458F"/>
    <w:rsid w:val="0045093E"/>
    <w:rsid w:val="00484477"/>
    <w:rsid w:val="004853D7"/>
    <w:rsid w:val="004A3200"/>
    <w:rsid w:val="004C5FD4"/>
    <w:rsid w:val="004E4B4D"/>
    <w:rsid w:val="004E4BFB"/>
    <w:rsid w:val="004E613E"/>
    <w:rsid w:val="00501251"/>
    <w:rsid w:val="00507549"/>
    <w:rsid w:val="0051311E"/>
    <w:rsid w:val="0054743C"/>
    <w:rsid w:val="00561C0D"/>
    <w:rsid w:val="0057428A"/>
    <w:rsid w:val="00590195"/>
    <w:rsid w:val="005962C8"/>
    <w:rsid w:val="005B4F82"/>
    <w:rsid w:val="005C0AB2"/>
    <w:rsid w:val="005C1EF2"/>
    <w:rsid w:val="005D1A77"/>
    <w:rsid w:val="005D205F"/>
    <w:rsid w:val="005E2E8A"/>
    <w:rsid w:val="005E5F47"/>
    <w:rsid w:val="00602F79"/>
    <w:rsid w:val="006266F4"/>
    <w:rsid w:val="006306AD"/>
    <w:rsid w:val="00646A3E"/>
    <w:rsid w:val="00653A1D"/>
    <w:rsid w:val="00663FCF"/>
    <w:rsid w:val="006732F1"/>
    <w:rsid w:val="006A3E9F"/>
    <w:rsid w:val="006B68F2"/>
    <w:rsid w:val="006C1A27"/>
    <w:rsid w:val="006D1BF1"/>
    <w:rsid w:val="006D415F"/>
    <w:rsid w:val="006D4B67"/>
    <w:rsid w:val="006E3489"/>
    <w:rsid w:val="00703A3D"/>
    <w:rsid w:val="00713A5E"/>
    <w:rsid w:val="00714D5F"/>
    <w:rsid w:val="00725E24"/>
    <w:rsid w:val="00727711"/>
    <w:rsid w:val="00732263"/>
    <w:rsid w:val="0073581B"/>
    <w:rsid w:val="007409F8"/>
    <w:rsid w:val="00741D19"/>
    <w:rsid w:val="00744CFF"/>
    <w:rsid w:val="0075449A"/>
    <w:rsid w:val="0075722A"/>
    <w:rsid w:val="007608C2"/>
    <w:rsid w:val="00780177"/>
    <w:rsid w:val="007871FB"/>
    <w:rsid w:val="007A7859"/>
    <w:rsid w:val="007C5FDE"/>
    <w:rsid w:val="007D7C94"/>
    <w:rsid w:val="00822771"/>
    <w:rsid w:val="0086108B"/>
    <w:rsid w:val="008911E4"/>
    <w:rsid w:val="00893A7E"/>
    <w:rsid w:val="008A226A"/>
    <w:rsid w:val="008E7E00"/>
    <w:rsid w:val="00911F8A"/>
    <w:rsid w:val="00920467"/>
    <w:rsid w:val="009357D5"/>
    <w:rsid w:val="00936635"/>
    <w:rsid w:val="00970616"/>
    <w:rsid w:val="00980EB8"/>
    <w:rsid w:val="009856E9"/>
    <w:rsid w:val="0098703B"/>
    <w:rsid w:val="0099785C"/>
    <w:rsid w:val="009C16A3"/>
    <w:rsid w:val="009D0919"/>
    <w:rsid w:val="009D3D8F"/>
    <w:rsid w:val="009D51D6"/>
    <w:rsid w:val="009D7961"/>
    <w:rsid w:val="009E43D5"/>
    <w:rsid w:val="009F26E4"/>
    <w:rsid w:val="009F60F5"/>
    <w:rsid w:val="00A61498"/>
    <w:rsid w:val="00A673B8"/>
    <w:rsid w:val="00A8059B"/>
    <w:rsid w:val="00AB350D"/>
    <w:rsid w:val="00B00997"/>
    <w:rsid w:val="00B120D0"/>
    <w:rsid w:val="00B1548E"/>
    <w:rsid w:val="00B51317"/>
    <w:rsid w:val="00B62D8A"/>
    <w:rsid w:val="00B63511"/>
    <w:rsid w:val="00B72C8B"/>
    <w:rsid w:val="00B97826"/>
    <w:rsid w:val="00BC2816"/>
    <w:rsid w:val="00BD4F0F"/>
    <w:rsid w:val="00BE56CB"/>
    <w:rsid w:val="00BE6D2A"/>
    <w:rsid w:val="00C00559"/>
    <w:rsid w:val="00C026FB"/>
    <w:rsid w:val="00C02934"/>
    <w:rsid w:val="00C10331"/>
    <w:rsid w:val="00C12D6E"/>
    <w:rsid w:val="00C27453"/>
    <w:rsid w:val="00C30CF7"/>
    <w:rsid w:val="00C3215F"/>
    <w:rsid w:val="00C434FA"/>
    <w:rsid w:val="00C601E2"/>
    <w:rsid w:val="00C83C5D"/>
    <w:rsid w:val="00C9166F"/>
    <w:rsid w:val="00C93284"/>
    <w:rsid w:val="00CA3206"/>
    <w:rsid w:val="00CA5477"/>
    <w:rsid w:val="00CB5907"/>
    <w:rsid w:val="00CC75F9"/>
    <w:rsid w:val="00CF45B8"/>
    <w:rsid w:val="00D22808"/>
    <w:rsid w:val="00D64311"/>
    <w:rsid w:val="00D76D22"/>
    <w:rsid w:val="00D87564"/>
    <w:rsid w:val="00D904CF"/>
    <w:rsid w:val="00D91329"/>
    <w:rsid w:val="00DA41FA"/>
    <w:rsid w:val="00DB1989"/>
    <w:rsid w:val="00DB5D4E"/>
    <w:rsid w:val="00DC3355"/>
    <w:rsid w:val="00DD0E20"/>
    <w:rsid w:val="00E0381A"/>
    <w:rsid w:val="00E409C8"/>
    <w:rsid w:val="00E471C6"/>
    <w:rsid w:val="00E57780"/>
    <w:rsid w:val="00E60B25"/>
    <w:rsid w:val="00E62BA1"/>
    <w:rsid w:val="00E744A1"/>
    <w:rsid w:val="00E82800"/>
    <w:rsid w:val="00E90F23"/>
    <w:rsid w:val="00ED4F3E"/>
    <w:rsid w:val="00EF5032"/>
    <w:rsid w:val="00F01A48"/>
    <w:rsid w:val="00F02884"/>
    <w:rsid w:val="00F2265C"/>
    <w:rsid w:val="00F332B6"/>
    <w:rsid w:val="00F35A79"/>
    <w:rsid w:val="00F545DB"/>
    <w:rsid w:val="00F8207A"/>
    <w:rsid w:val="00F851B9"/>
    <w:rsid w:val="00F86583"/>
    <w:rsid w:val="00F94AE0"/>
    <w:rsid w:val="00FA2FC6"/>
    <w:rsid w:val="00FB5F7F"/>
    <w:rsid w:val="00FB6C7E"/>
    <w:rsid w:val="00FC2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9BAC"/>
  <w15:docId w15:val="{C7B609B8-B687-4DCB-A57A-C1D7ABC9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1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1F0"/>
    <w:pPr>
      <w:ind w:left="720"/>
      <w:contextualSpacing/>
    </w:pPr>
  </w:style>
  <w:style w:type="paragraph" w:styleId="BalloonText">
    <w:name w:val="Balloon Text"/>
    <w:basedOn w:val="Normal"/>
    <w:link w:val="BalloonTextChar"/>
    <w:uiPriority w:val="99"/>
    <w:semiHidden/>
    <w:unhideWhenUsed/>
    <w:rsid w:val="0040116D"/>
    <w:rPr>
      <w:rFonts w:ascii="Tahoma" w:hAnsi="Tahoma" w:cs="Tahoma"/>
      <w:sz w:val="16"/>
      <w:szCs w:val="16"/>
    </w:rPr>
  </w:style>
  <w:style w:type="character" w:customStyle="1" w:styleId="BalloonTextChar">
    <w:name w:val="Balloon Text Char"/>
    <w:basedOn w:val="DefaultParagraphFont"/>
    <w:link w:val="BalloonText"/>
    <w:uiPriority w:val="99"/>
    <w:semiHidden/>
    <w:rsid w:val="0040116D"/>
    <w:rPr>
      <w:rFonts w:ascii="Tahoma" w:eastAsia="Times New Roman" w:hAnsi="Tahoma" w:cs="Tahoma"/>
      <w:sz w:val="16"/>
      <w:szCs w:val="16"/>
    </w:rPr>
  </w:style>
  <w:style w:type="paragraph" w:styleId="Header">
    <w:name w:val="header"/>
    <w:basedOn w:val="Normal"/>
    <w:link w:val="HeaderChar"/>
    <w:uiPriority w:val="99"/>
    <w:unhideWhenUsed/>
    <w:rsid w:val="00E471C6"/>
    <w:pPr>
      <w:tabs>
        <w:tab w:val="center" w:pos="4513"/>
        <w:tab w:val="right" w:pos="9026"/>
      </w:tabs>
    </w:pPr>
  </w:style>
  <w:style w:type="character" w:customStyle="1" w:styleId="HeaderChar">
    <w:name w:val="Header Char"/>
    <w:basedOn w:val="DefaultParagraphFont"/>
    <w:link w:val="Header"/>
    <w:uiPriority w:val="99"/>
    <w:rsid w:val="00E471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1C6"/>
    <w:pPr>
      <w:tabs>
        <w:tab w:val="center" w:pos="4513"/>
        <w:tab w:val="right" w:pos="9026"/>
      </w:tabs>
    </w:pPr>
  </w:style>
  <w:style w:type="character" w:customStyle="1" w:styleId="FooterChar">
    <w:name w:val="Footer Char"/>
    <w:basedOn w:val="DefaultParagraphFont"/>
    <w:link w:val="Footer"/>
    <w:uiPriority w:val="99"/>
    <w:rsid w:val="00E471C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E4BFB"/>
    <w:rPr>
      <w:sz w:val="16"/>
      <w:szCs w:val="16"/>
    </w:rPr>
  </w:style>
  <w:style w:type="paragraph" w:styleId="CommentText">
    <w:name w:val="annotation text"/>
    <w:basedOn w:val="Normal"/>
    <w:link w:val="CommentTextChar"/>
    <w:uiPriority w:val="99"/>
    <w:semiHidden/>
    <w:unhideWhenUsed/>
    <w:rsid w:val="004E4BFB"/>
    <w:rPr>
      <w:sz w:val="20"/>
      <w:szCs w:val="20"/>
    </w:rPr>
  </w:style>
  <w:style w:type="character" w:customStyle="1" w:styleId="CommentTextChar">
    <w:name w:val="Comment Text Char"/>
    <w:basedOn w:val="DefaultParagraphFont"/>
    <w:link w:val="CommentText"/>
    <w:uiPriority w:val="99"/>
    <w:semiHidden/>
    <w:rsid w:val="004E4B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BFB"/>
    <w:rPr>
      <w:b/>
      <w:bCs/>
    </w:rPr>
  </w:style>
  <w:style w:type="character" w:customStyle="1" w:styleId="CommentSubjectChar">
    <w:name w:val="Comment Subject Char"/>
    <w:basedOn w:val="CommentTextChar"/>
    <w:link w:val="CommentSubject"/>
    <w:uiPriority w:val="99"/>
    <w:semiHidden/>
    <w:rsid w:val="004E4BFB"/>
    <w:rPr>
      <w:rFonts w:ascii="Times New Roman" w:eastAsia="Times New Roman" w:hAnsi="Times New Roman" w:cs="Times New Roman"/>
      <w:b/>
      <w:bCs/>
      <w:sz w:val="20"/>
      <w:szCs w:val="20"/>
    </w:rPr>
  </w:style>
  <w:style w:type="paragraph" w:styleId="Revision">
    <w:name w:val="Revision"/>
    <w:hidden/>
    <w:uiPriority w:val="99"/>
    <w:semiHidden/>
    <w:rsid w:val="004E4BFB"/>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B3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007">
      <w:bodyDiv w:val="1"/>
      <w:marLeft w:val="0"/>
      <w:marRight w:val="0"/>
      <w:marTop w:val="0"/>
      <w:marBottom w:val="0"/>
      <w:divBdr>
        <w:top w:val="none" w:sz="0" w:space="0" w:color="auto"/>
        <w:left w:val="none" w:sz="0" w:space="0" w:color="auto"/>
        <w:bottom w:val="none" w:sz="0" w:space="0" w:color="auto"/>
        <w:right w:val="none" w:sz="0" w:space="0" w:color="auto"/>
      </w:divBdr>
    </w:div>
    <w:div w:id="679938723">
      <w:bodyDiv w:val="1"/>
      <w:marLeft w:val="0"/>
      <w:marRight w:val="0"/>
      <w:marTop w:val="0"/>
      <w:marBottom w:val="0"/>
      <w:divBdr>
        <w:top w:val="none" w:sz="0" w:space="0" w:color="auto"/>
        <w:left w:val="none" w:sz="0" w:space="0" w:color="auto"/>
        <w:bottom w:val="none" w:sz="0" w:space="0" w:color="auto"/>
        <w:right w:val="none" w:sz="0" w:space="0" w:color="auto"/>
      </w:divBdr>
    </w:div>
    <w:div w:id="95374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1FB53-19B8-4F98-AA53-C19A4E89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6613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Patton</dc:creator>
  <cp:lastModifiedBy>Wendy Bruce</cp:lastModifiedBy>
  <cp:revision>2</cp:revision>
  <cp:lastPrinted>2020-07-13T16:12:00Z</cp:lastPrinted>
  <dcterms:created xsi:type="dcterms:W3CDTF">2020-09-22T08:46:00Z</dcterms:created>
  <dcterms:modified xsi:type="dcterms:W3CDTF">2020-09-22T08:46:00Z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-613027784</vt:i4>
  </property>
  <property fmtid="{D5CDD505-2E9C-101B-9397-08002B2CF9AE}" pid="3" name="_NewReviewCycle">
    <vt:lpwstr/>
  </property>
  <property fmtid="{D5CDD505-2E9C-101B-9397-08002B2CF9AE}" pid="4" name="_EmailSubject">
    <vt:lpwstr>Schools Forum to print</vt:lpwstr>
  </property>
  <property fmtid="{D5CDD505-2E9C-101B-9397-08002B2CF9AE}" pid="5" name="_AuthorEmail">
    <vt:lpwstr>Jo.Stubbs@hartlepool.gov.uk</vt:lpwstr>
  </property>
  <property fmtid="{D5CDD505-2E9C-101B-9397-08002B2CF9AE}" pid="6" name="_AuthorEmailDisplayName">
    <vt:lpwstr>Jo Stubbs</vt:lpwstr>
  </property>
  <property fmtid="{D5CDD505-2E9C-101B-9397-08002B2CF9AE}" pid="7" name="_PreviousAdHocReviewCycleID">
    <vt:i4>-956957291</vt:i4>
  </property>
  <property fmtid="{D5CDD505-2E9C-101B-9397-08002B2CF9AE}" pid="8" name="_ReviewingToolsShownOnce">
    <vt:lpwstr/>
  </property>
</Properties>
</file>