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7B455" w14:textId="77777777"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bookmarkStart w:id="0" w:name="_GoBack"/>
      <w:bookmarkEnd w:id="0"/>
      <w:r w:rsidRPr="00107F84">
        <w:rPr>
          <w:rFonts w:ascii="Arial" w:hAnsi="Arial" w:cs="Arial"/>
          <w:b/>
          <w:bCs/>
        </w:rPr>
        <w:t xml:space="preserve">Report to Hartlepool Schools’ Forum </w:t>
      </w:r>
      <w:r w:rsidR="00610A6B">
        <w:rPr>
          <w:rFonts w:ascii="Arial" w:hAnsi="Arial" w:cs="Arial"/>
          <w:b/>
          <w:bCs/>
        </w:rPr>
        <w:t>24 September 2020</w:t>
      </w:r>
    </w:p>
    <w:p w14:paraId="768E031B" w14:textId="77777777"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9877BD">
        <w:rPr>
          <w:rFonts w:ascii="Arial" w:hAnsi="Arial" w:cs="Arial"/>
          <w:b/>
          <w:bCs/>
        </w:rPr>
        <w:t>Amanda Whitehead</w:t>
      </w:r>
      <w:r>
        <w:rPr>
          <w:rFonts w:ascii="Arial" w:hAnsi="Arial" w:cs="Arial"/>
          <w:b/>
          <w:bCs/>
        </w:rPr>
        <w:t xml:space="preserve"> – Assistant Director Education</w:t>
      </w:r>
    </w:p>
    <w:p w14:paraId="411A2808" w14:textId="77777777" w:rsidR="001F2A93" w:rsidRDefault="001F2A93"/>
    <w:p w14:paraId="237E9340" w14:textId="5B72476F" w:rsidR="003871F0" w:rsidRDefault="00E471C6" w:rsidP="003871F0">
      <w:pPr>
        <w:jc w:val="center"/>
        <w:rPr>
          <w:rFonts w:ascii="Arial" w:hAnsi="Arial" w:cs="Arial"/>
          <w:b/>
          <w:u w:val="single"/>
        </w:rPr>
      </w:pPr>
      <w:r w:rsidRPr="005D373C">
        <w:rPr>
          <w:rFonts w:ascii="Arial" w:hAnsi="Arial" w:cs="Arial"/>
          <w:b/>
          <w:u w:val="single"/>
        </w:rPr>
        <w:t xml:space="preserve">Item </w:t>
      </w:r>
      <w:r w:rsidR="00747793">
        <w:rPr>
          <w:rFonts w:ascii="Arial" w:hAnsi="Arial" w:cs="Arial"/>
          <w:b/>
          <w:u w:val="single"/>
        </w:rPr>
        <w:t>9</w:t>
      </w:r>
      <w:r w:rsidRPr="005D373C">
        <w:rPr>
          <w:rFonts w:ascii="Arial" w:hAnsi="Arial" w:cs="Arial"/>
          <w:b/>
          <w:u w:val="single"/>
        </w:rPr>
        <w:t>:</w:t>
      </w:r>
      <w:r>
        <w:rPr>
          <w:rFonts w:ascii="Arial" w:hAnsi="Arial" w:cs="Arial"/>
          <w:b/>
          <w:u w:val="single"/>
        </w:rPr>
        <w:t xml:space="preserve"> </w:t>
      </w:r>
      <w:r w:rsidR="006F0BCB">
        <w:rPr>
          <w:rFonts w:ascii="Arial" w:hAnsi="Arial" w:cs="Arial"/>
          <w:b/>
          <w:u w:val="single"/>
        </w:rPr>
        <w:t>Indic</w:t>
      </w:r>
      <w:r w:rsidR="00610A6B">
        <w:rPr>
          <w:rFonts w:ascii="Arial" w:hAnsi="Arial" w:cs="Arial"/>
          <w:b/>
          <w:u w:val="single"/>
        </w:rPr>
        <w:t>ative Schools Block Budgets 2021/22</w:t>
      </w:r>
    </w:p>
    <w:p w14:paraId="49E3B7A5" w14:textId="77777777" w:rsidR="003871F0" w:rsidRDefault="003871F0" w:rsidP="003871F0">
      <w:pPr>
        <w:jc w:val="center"/>
        <w:rPr>
          <w:rFonts w:ascii="Arial" w:hAnsi="Arial" w:cs="Arial"/>
          <w:b/>
          <w:u w:val="single"/>
        </w:rPr>
      </w:pPr>
    </w:p>
    <w:p w14:paraId="40091407" w14:textId="77777777" w:rsidR="00730D1F" w:rsidRDefault="00730D1F" w:rsidP="003871F0">
      <w:pPr>
        <w:jc w:val="center"/>
        <w:rPr>
          <w:rFonts w:ascii="Arial" w:hAnsi="Arial" w:cs="Arial"/>
          <w:b/>
          <w:u w:val="single"/>
        </w:rPr>
      </w:pPr>
    </w:p>
    <w:p w14:paraId="37521747" w14:textId="77777777"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14:paraId="6353C440" w14:textId="77777777" w:rsidR="009357D5" w:rsidRDefault="009357D5" w:rsidP="003871F0">
      <w:pPr>
        <w:ind w:left="360"/>
        <w:rPr>
          <w:rFonts w:ascii="Arial" w:hAnsi="Arial" w:cs="Arial"/>
        </w:rPr>
      </w:pPr>
    </w:p>
    <w:p w14:paraId="1F9CB3B4" w14:textId="77777777" w:rsidR="003871F0" w:rsidRDefault="003871F0" w:rsidP="006722AB">
      <w:pPr>
        <w:pStyle w:val="ListParagraph"/>
        <w:numPr>
          <w:ilvl w:val="1"/>
          <w:numId w:val="1"/>
        </w:numPr>
        <w:spacing w:after="240"/>
        <w:ind w:hanging="786"/>
        <w:rPr>
          <w:rFonts w:ascii="Arial" w:hAnsi="Arial" w:cs="Arial"/>
        </w:rPr>
      </w:pPr>
      <w:r w:rsidRPr="00732263">
        <w:rPr>
          <w:rFonts w:ascii="Arial" w:hAnsi="Arial" w:cs="Arial"/>
        </w:rPr>
        <w:t>The purpose of the rep</w:t>
      </w:r>
      <w:r w:rsidR="00B72C8B">
        <w:rPr>
          <w:rFonts w:ascii="Arial" w:hAnsi="Arial" w:cs="Arial"/>
        </w:rPr>
        <w:t xml:space="preserve">ort is to provide </w:t>
      </w:r>
      <w:r w:rsidR="006F0BCB">
        <w:rPr>
          <w:rFonts w:ascii="Arial" w:hAnsi="Arial" w:cs="Arial"/>
        </w:rPr>
        <w:t xml:space="preserve">information on </w:t>
      </w:r>
      <w:r w:rsidR="007D4460">
        <w:rPr>
          <w:rFonts w:ascii="Arial" w:hAnsi="Arial" w:cs="Arial"/>
        </w:rPr>
        <w:t xml:space="preserve">the </w:t>
      </w:r>
      <w:r w:rsidR="00610A6B">
        <w:rPr>
          <w:rFonts w:ascii="Arial" w:hAnsi="Arial" w:cs="Arial"/>
        </w:rPr>
        <w:t>2021/22</w:t>
      </w:r>
      <w:r w:rsidR="006F0BCB">
        <w:rPr>
          <w:rFonts w:ascii="Arial" w:hAnsi="Arial" w:cs="Arial"/>
        </w:rPr>
        <w:t xml:space="preserve"> Schools Block indicative funding issued by the Education and Skills Funding Agency (ESFA)</w:t>
      </w:r>
      <w:r w:rsidR="00610A6B">
        <w:rPr>
          <w:rFonts w:ascii="Arial" w:hAnsi="Arial" w:cs="Arial"/>
        </w:rPr>
        <w:t xml:space="preserve"> on 20 July 2020</w:t>
      </w:r>
      <w:r w:rsidR="006F0BCB">
        <w:rPr>
          <w:rFonts w:ascii="Arial" w:hAnsi="Arial" w:cs="Arial"/>
        </w:rPr>
        <w:t xml:space="preserve">, along with options </w:t>
      </w:r>
      <w:r w:rsidR="00424395">
        <w:rPr>
          <w:rFonts w:ascii="Arial" w:hAnsi="Arial" w:cs="Arial"/>
        </w:rPr>
        <w:t xml:space="preserve">to be considered </w:t>
      </w:r>
      <w:r w:rsidR="006F0BCB">
        <w:rPr>
          <w:rFonts w:ascii="Arial" w:hAnsi="Arial" w:cs="Arial"/>
        </w:rPr>
        <w:t>for setting Individual School Budgets (ISB</w:t>
      </w:r>
      <w:r w:rsidR="007D4460">
        <w:rPr>
          <w:rFonts w:ascii="Arial" w:hAnsi="Arial" w:cs="Arial"/>
        </w:rPr>
        <w:t>s</w:t>
      </w:r>
      <w:r w:rsidR="006F0BCB">
        <w:rPr>
          <w:rFonts w:ascii="Arial" w:hAnsi="Arial" w:cs="Arial"/>
        </w:rPr>
        <w:t>).</w:t>
      </w:r>
    </w:p>
    <w:p w14:paraId="59A6BBCF" w14:textId="77777777" w:rsidR="006722AB" w:rsidRDefault="006722AB" w:rsidP="006722AB">
      <w:pPr>
        <w:pStyle w:val="ListParagraph"/>
        <w:spacing w:after="240"/>
        <w:ind w:left="786"/>
        <w:rPr>
          <w:rFonts w:ascii="Arial" w:hAnsi="Arial" w:cs="Arial"/>
        </w:rPr>
      </w:pPr>
    </w:p>
    <w:p w14:paraId="6C7FCF9C" w14:textId="77777777" w:rsidR="006722AB" w:rsidRDefault="006722AB" w:rsidP="006732F1">
      <w:pPr>
        <w:pStyle w:val="ListParagraph"/>
        <w:numPr>
          <w:ilvl w:val="1"/>
          <w:numId w:val="1"/>
        </w:numPr>
        <w:ind w:hanging="786"/>
        <w:rPr>
          <w:rFonts w:ascii="Arial" w:hAnsi="Arial" w:cs="Arial"/>
        </w:rPr>
      </w:pPr>
      <w:r>
        <w:rPr>
          <w:rFonts w:ascii="Arial" w:hAnsi="Arial" w:cs="Arial"/>
        </w:rPr>
        <w:t>Information on the key</w:t>
      </w:r>
      <w:r w:rsidR="00424395">
        <w:rPr>
          <w:rFonts w:ascii="Arial" w:hAnsi="Arial" w:cs="Arial"/>
        </w:rPr>
        <w:t xml:space="preserve"> </w:t>
      </w:r>
      <w:r w:rsidR="00932AE5">
        <w:rPr>
          <w:rFonts w:ascii="Arial" w:hAnsi="Arial" w:cs="Arial"/>
        </w:rPr>
        <w:t>ESFA</w:t>
      </w:r>
      <w:r>
        <w:rPr>
          <w:rFonts w:ascii="Arial" w:hAnsi="Arial" w:cs="Arial"/>
        </w:rPr>
        <w:t xml:space="preserve"> funding and policy changes for </w:t>
      </w:r>
      <w:r w:rsidR="00EE4D56">
        <w:rPr>
          <w:rFonts w:ascii="Arial" w:hAnsi="Arial" w:cs="Arial"/>
        </w:rPr>
        <w:t>schools is</w:t>
      </w:r>
      <w:r w:rsidR="003B651C">
        <w:rPr>
          <w:rFonts w:ascii="Arial" w:hAnsi="Arial" w:cs="Arial"/>
        </w:rPr>
        <w:t xml:space="preserve"> also </w:t>
      </w:r>
      <w:r>
        <w:rPr>
          <w:rFonts w:ascii="Arial" w:hAnsi="Arial" w:cs="Arial"/>
        </w:rPr>
        <w:t xml:space="preserve">presented in this report. </w:t>
      </w:r>
    </w:p>
    <w:p w14:paraId="7E4C8496" w14:textId="77777777" w:rsidR="006722AB" w:rsidRPr="006722AB" w:rsidRDefault="006722AB" w:rsidP="006722AB">
      <w:pPr>
        <w:rPr>
          <w:rFonts w:ascii="Arial" w:hAnsi="Arial" w:cs="Arial"/>
        </w:rPr>
      </w:pPr>
    </w:p>
    <w:p w14:paraId="58876481" w14:textId="77777777" w:rsidR="007608C2" w:rsidRDefault="007608C2" w:rsidP="003871F0">
      <w:pPr>
        <w:ind w:left="360"/>
        <w:rPr>
          <w:rFonts w:ascii="Arial" w:hAnsi="Arial" w:cs="Arial"/>
        </w:rPr>
      </w:pPr>
    </w:p>
    <w:p w14:paraId="5D2785FF" w14:textId="77777777" w:rsidR="003871F0" w:rsidRDefault="003871F0" w:rsidP="002F069C">
      <w:pPr>
        <w:pStyle w:val="ListParagraph"/>
        <w:numPr>
          <w:ilvl w:val="0"/>
          <w:numId w:val="1"/>
        </w:numPr>
        <w:ind w:hanging="720"/>
        <w:rPr>
          <w:rFonts w:ascii="Arial" w:hAnsi="Arial" w:cs="Arial"/>
          <w:b/>
          <w:u w:val="single"/>
        </w:rPr>
      </w:pPr>
      <w:r w:rsidRPr="003871F0">
        <w:rPr>
          <w:rFonts w:ascii="Arial" w:hAnsi="Arial" w:cs="Arial"/>
          <w:b/>
          <w:u w:val="single"/>
        </w:rPr>
        <w:t>Background</w:t>
      </w:r>
    </w:p>
    <w:p w14:paraId="504C7F5F" w14:textId="77777777" w:rsidR="009357D5" w:rsidRDefault="009357D5" w:rsidP="009357D5">
      <w:pPr>
        <w:pStyle w:val="ListParagraph"/>
        <w:rPr>
          <w:rFonts w:ascii="Arial" w:hAnsi="Arial" w:cs="Arial"/>
          <w:b/>
          <w:u w:val="single"/>
        </w:rPr>
      </w:pPr>
    </w:p>
    <w:p w14:paraId="21BF4365" w14:textId="77777777" w:rsidR="002F069C" w:rsidRPr="0040116D" w:rsidRDefault="006F0BCB" w:rsidP="0040116D">
      <w:pPr>
        <w:pStyle w:val="ListParagraph"/>
        <w:numPr>
          <w:ilvl w:val="1"/>
          <w:numId w:val="1"/>
        </w:numPr>
        <w:ind w:hanging="720"/>
        <w:rPr>
          <w:rFonts w:ascii="Arial" w:hAnsi="Arial" w:cs="Arial"/>
          <w:color w:val="FF0000"/>
        </w:rPr>
      </w:pPr>
      <w:r>
        <w:rPr>
          <w:rFonts w:ascii="Arial" w:hAnsi="Arial" w:cs="Arial"/>
        </w:rPr>
        <w:t>ESFA have published indicative National Funding Fo</w:t>
      </w:r>
      <w:r w:rsidR="00610A6B">
        <w:rPr>
          <w:rFonts w:ascii="Arial" w:hAnsi="Arial" w:cs="Arial"/>
        </w:rPr>
        <w:t>rmula (NFF) allocations for 2021/22</w:t>
      </w:r>
      <w:r>
        <w:rPr>
          <w:rFonts w:ascii="Arial" w:hAnsi="Arial" w:cs="Arial"/>
        </w:rPr>
        <w:t>. These allocations are</w:t>
      </w:r>
      <w:r w:rsidR="00D0059B">
        <w:rPr>
          <w:rFonts w:ascii="Arial" w:hAnsi="Arial" w:cs="Arial"/>
        </w:rPr>
        <w:t xml:space="preserve"> </w:t>
      </w:r>
      <w:r>
        <w:rPr>
          <w:rFonts w:ascii="Arial" w:hAnsi="Arial" w:cs="Arial"/>
        </w:rPr>
        <w:t>based on pupil numbers and chara</w:t>
      </w:r>
      <w:r w:rsidR="00610A6B">
        <w:rPr>
          <w:rFonts w:ascii="Arial" w:hAnsi="Arial" w:cs="Arial"/>
        </w:rPr>
        <w:t>cteristics from the October 2019</w:t>
      </w:r>
      <w:r>
        <w:rPr>
          <w:rFonts w:ascii="Arial" w:hAnsi="Arial" w:cs="Arial"/>
        </w:rPr>
        <w:t xml:space="preserve"> census.</w:t>
      </w:r>
    </w:p>
    <w:p w14:paraId="4189320A" w14:textId="77777777" w:rsidR="0040116D" w:rsidRPr="002F069C" w:rsidRDefault="0040116D" w:rsidP="0040116D">
      <w:pPr>
        <w:pStyle w:val="ListParagraph"/>
        <w:rPr>
          <w:rFonts w:ascii="Arial" w:hAnsi="Arial" w:cs="Arial"/>
          <w:color w:val="FF0000"/>
        </w:rPr>
      </w:pPr>
    </w:p>
    <w:p w14:paraId="475173E3" w14:textId="77777777" w:rsidR="00FE198E" w:rsidRPr="00D112A8" w:rsidRDefault="00FE198E" w:rsidP="00876D91">
      <w:pPr>
        <w:pStyle w:val="ListParagraph"/>
        <w:numPr>
          <w:ilvl w:val="1"/>
          <w:numId w:val="1"/>
        </w:numPr>
        <w:ind w:hanging="720"/>
        <w:rPr>
          <w:rFonts w:ascii="Arial" w:hAnsi="Arial" w:cs="Arial"/>
          <w:color w:val="FF0000"/>
        </w:rPr>
      </w:pPr>
      <w:r>
        <w:rPr>
          <w:rFonts w:ascii="Arial" w:hAnsi="Arial" w:cs="Arial"/>
        </w:rPr>
        <w:t>In consultation with their Schools</w:t>
      </w:r>
      <w:r w:rsidR="00EE4D56">
        <w:rPr>
          <w:rFonts w:ascii="Arial" w:hAnsi="Arial" w:cs="Arial"/>
        </w:rPr>
        <w:t>’</w:t>
      </w:r>
      <w:r>
        <w:rPr>
          <w:rFonts w:ascii="Arial" w:hAnsi="Arial" w:cs="Arial"/>
        </w:rPr>
        <w:t xml:space="preserve"> Forum, </w:t>
      </w:r>
      <w:r w:rsidR="00EE4D56">
        <w:rPr>
          <w:rFonts w:ascii="Arial" w:hAnsi="Arial" w:cs="Arial"/>
        </w:rPr>
        <w:t xml:space="preserve">local authorities </w:t>
      </w:r>
      <w:r>
        <w:rPr>
          <w:rFonts w:ascii="Arial" w:hAnsi="Arial" w:cs="Arial"/>
        </w:rPr>
        <w:t>are required to con</w:t>
      </w:r>
      <w:r w:rsidR="00610A6B">
        <w:rPr>
          <w:rFonts w:ascii="Arial" w:hAnsi="Arial" w:cs="Arial"/>
        </w:rPr>
        <w:t xml:space="preserve">sider </w:t>
      </w:r>
      <w:r w:rsidR="00610A6B" w:rsidRPr="00D112A8">
        <w:rPr>
          <w:rFonts w:ascii="Arial" w:hAnsi="Arial" w:cs="Arial"/>
        </w:rPr>
        <w:t>how they set ISBs for 2021/22</w:t>
      </w:r>
      <w:r w:rsidRPr="00D112A8">
        <w:rPr>
          <w:rFonts w:ascii="Arial" w:hAnsi="Arial" w:cs="Arial"/>
        </w:rPr>
        <w:t>.</w:t>
      </w:r>
    </w:p>
    <w:p w14:paraId="1AD7A588" w14:textId="77777777" w:rsidR="00FE198E" w:rsidRPr="00D112A8" w:rsidRDefault="00FE198E" w:rsidP="00FE198E">
      <w:pPr>
        <w:pStyle w:val="ListParagraph"/>
        <w:rPr>
          <w:rFonts w:ascii="Arial" w:hAnsi="Arial" w:cs="Arial"/>
        </w:rPr>
      </w:pPr>
    </w:p>
    <w:p w14:paraId="5DF6129E" w14:textId="2C85F97D" w:rsidR="00FE198E" w:rsidRPr="00D112A8" w:rsidRDefault="00FE198E" w:rsidP="00876D91">
      <w:pPr>
        <w:pStyle w:val="ListParagraph"/>
        <w:numPr>
          <w:ilvl w:val="1"/>
          <w:numId w:val="1"/>
        </w:numPr>
        <w:ind w:hanging="720"/>
        <w:rPr>
          <w:rFonts w:ascii="Arial" w:hAnsi="Arial" w:cs="Arial"/>
          <w:color w:val="FF0000"/>
        </w:rPr>
      </w:pPr>
      <w:r w:rsidRPr="00D112A8">
        <w:rPr>
          <w:rFonts w:ascii="Arial" w:hAnsi="Arial" w:cs="Arial"/>
        </w:rPr>
        <w:t>Any transfers to and from the Schools Bloc</w:t>
      </w:r>
      <w:r w:rsidR="00D112A8" w:rsidRPr="00D112A8">
        <w:rPr>
          <w:rFonts w:ascii="Arial" w:hAnsi="Arial" w:cs="Arial"/>
        </w:rPr>
        <w:t>k should be considered. For 2021/22</w:t>
      </w:r>
      <w:r w:rsidR="009877BD" w:rsidRPr="00D112A8">
        <w:rPr>
          <w:rFonts w:ascii="Arial" w:hAnsi="Arial" w:cs="Arial"/>
        </w:rPr>
        <w:t>,</w:t>
      </w:r>
      <w:r w:rsidR="00D112A8" w:rsidRPr="00D112A8">
        <w:rPr>
          <w:rFonts w:ascii="Arial" w:hAnsi="Arial" w:cs="Arial"/>
        </w:rPr>
        <w:t xml:space="preserve"> there is a planned</w:t>
      </w:r>
      <w:r w:rsidR="009877BD" w:rsidRPr="00D112A8">
        <w:rPr>
          <w:rFonts w:ascii="Arial" w:hAnsi="Arial" w:cs="Arial"/>
        </w:rPr>
        <w:t xml:space="preserve"> transfer-in of residual funding after meeting commitments against the Central School Services Block (CSSB)</w:t>
      </w:r>
      <w:r w:rsidR="005E4E4B">
        <w:rPr>
          <w:rFonts w:ascii="Arial" w:hAnsi="Arial" w:cs="Arial"/>
        </w:rPr>
        <w:t xml:space="preserve">. </w:t>
      </w:r>
    </w:p>
    <w:p w14:paraId="44352ACA" w14:textId="77777777" w:rsidR="00730D1F" w:rsidRPr="00730D1F" w:rsidRDefault="00730D1F" w:rsidP="00730D1F">
      <w:pPr>
        <w:pStyle w:val="ListParagraph"/>
        <w:rPr>
          <w:rFonts w:ascii="Arial" w:hAnsi="Arial" w:cs="Arial"/>
          <w:color w:val="FF0000"/>
        </w:rPr>
      </w:pPr>
    </w:p>
    <w:p w14:paraId="46B756BB" w14:textId="77777777" w:rsidR="00730D1F" w:rsidRPr="00FE198E" w:rsidRDefault="009877BD" w:rsidP="00876D91">
      <w:pPr>
        <w:pStyle w:val="ListParagraph"/>
        <w:numPr>
          <w:ilvl w:val="1"/>
          <w:numId w:val="1"/>
        </w:numPr>
        <w:ind w:hanging="720"/>
        <w:rPr>
          <w:rFonts w:ascii="Arial" w:hAnsi="Arial" w:cs="Arial"/>
          <w:color w:val="FF0000"/>
        </w:rPr>
      </w:pPr>
      <w:r>
        <w:rPr>
          <w:rFonts w:ascii="Arial" w:hAnsi="Arial" w:cs="Arial"/>
        </w:rPr>
        <w:t>Finally, a</w:t>
      </w:r>
      <w:r w:rsidR="00730D1F" w:rsidRPr="00730D1F">
        <w:rPr>
          <w:rFonts w:ascii="Arial" w:hAnsi="Arial" w:cs="Arial"/>
        </w:rPr>
        <w:t xml:space="preserve"> local</w:t>
      </w:r>
      <w:r w:rsidR="00730D1F" w:rsidRPr="007D4460">
        <w:rPr>
          <w:rFonts w:ascii="Arial" w:hAnsi="Arial" w:cs="Arial"/>
        </w:rPr>
        <w:t xml:space="preserve"> approach to setting both a Minimum Funding Guarantee (MFG) and Capping must be </w:t>
      </w:r>
      <w:r w:rsidR="00730D1F">
        <w:rPr>
          <w:rFonts w:ascii="Arial" w:hAnsi="Arial" w:cs="Arial"/>
        </w:rPr>
        <w:t>considered and implemented</w:t>
      </w:r>
      <w:r w:rsidR="00730D1F" w:rsidRPr="007D4460">
        <w:rPr>
          <w:rFonts w:ascii="Arial" w:hAnsi="Arial" w:cs="Arial"/>
        </w:rPr>
        <w:t>.</w:t>
      </w:r>
    </w:p>
    <w:p w14:paraId="02872B7D" w14:textId="77777777" w:rsidR="00730D1F" w:rsidRPr="00730D1F" w:rsidRDefault="00730D1F" w:rsidP="00730D1F">
      <w:pPr>
        <w:rPr>
          <w:rFonts w:ascii="Arial" w:hAnsi="Arial" w:cs="Arial"/>
          <w:b/>
          <w:u w:val="single"/>
        </w:rPr>
      </w:pPr>
    </w:p>
    <w:p w14:paraId="169C0EF0" w14:textId="77777777" w:rsidR="00730D1F" w:rsidRPr="007D4460" w:rsidRDefault="00730D1F" w:rsidP="00730D1F">
      <w:pPr>
        <w:pStyle w:val="ListParagraph"/>
        <w:spacing w:after="200" w:line="276" w:lineRule="auto"/>
        <w:ind w:left="360"/>
        <w:rPr>
          <w:rFonts w:ascii="Arial" w:hAnsi="Arial" w:cs="Arial"/>
          <w:b/>
          <w:u w:val="single"/>
        </w:rPr>
      </w:pPr>
    </w:p>
    <w:p w14:paraId="7BF5CD53" w14:textId="77777777" w:rsidR="002F069C" w:rsidRDefault="00876D91" w:rsidP="0040116D">
      <w:pPr>
        <w:pStyle w:val="ListParagraph"/>
        <w:numPr>
          <w:ilvl w:val="0"/>
          <w:numId w:val="1"/>
        </w:numPr>
        <w:ind w:hanging="720"/>
        <w:rPr>
          <w:rFonts w:ascii="Arial" w:hAnsi="Arial" w:cs="Arial"/>
          <w:b/>
        </w:rPr>
      </w:pPr>
      <w:r>
        <w:rPr>
          <w:rFonts w:ascii="Arial" w:hAnsi="Arial" w:cs="Arial"/>
          <w:b/>
          <w:u w:val="single"/>
        </w:rPr>
        <w:t xml:space="preserve">Key </w:t>
      </w:r>
      <w:r w:rsidR="00E13956">
        <w:rPr>
          <w:rFonts w:ascii="Arial" w:hAnsi="Arial" w:cs="Arial"/>
          <w:b/>
          <w:u w:val="single"/>
        </w:rPr>
        <w:t xml:space="preserve">National </w:t>
      </w:r>
      <w:r w:rsidR="006722AB">
        <w:rPr>
          <w:rFonts w:ascii="Arial" w:hAnsi="Arial" w:cs="Arial"/>
          <w:b/>
          <w:u w:val="single"/>
        </w:rPr>
        <w:t>Funding</w:t>
      </w:r>
      <w:r w:rsidR="00E13956">
        <w:rPr>
          <w:rFonts w:ascii="Arial" w:hAnsi="Arial" w:cs="Arial"/>
          <w:b/>
          <w:u w:val="single"/>
        </w:rPr>
        <w:t xml:space="preserve"> Formula (NFF)</w:t>
      </w:r>
      <w:r w:rsidR="006722AB">
        <w:rPr>
          <w:rFonts w:ascii="Arial" w:hAnsi="Arial" w:cs="Arial"/>
          <w:b/>
          <w:u w:val="single"/>
        </w:rPr>
        <w:t xml:space="preserve"> </w:t>
      </w:r>
      <w:r w:rsidR="009877BD">
        <w:rPr>
          <w:rFonts w:ascii="Arial" w:hAnsi="Arial" w:cs="Arial"/>
          <w:b/>
          <w:u w:val="single"/>
        </w:rPr>
        <w:t xml:space="preserve">Changes </w:t>
      </w:r>
      <w:r w:rsidR="00610A6B">
        <w:rPr>
          <w:rFonts w:ascii="Arial" w:hAnsi="Arial" w:cs="Arial"/>
          <w:b/>
          <w:u w:val="single"/>
        </w:rPr>
        <w:t>in 2021/22</w:t>
      </w:r>
    </w:p>
    <w:p w14:paraId="1FD2EC94" w14:textId="77777777" w:rsidR="002F069C" w:rsidRDefault="002F069C" w:rsidP="002F069C">
      <w:pPr>
        <w:rPr>
          <w:rFonts w:ascii="Arial" w:hAnsi="Arial" w:cs="Arial"/>
          <w:b/>
        </w:rPr>
      </w:pPr>
    </w:p>
    <w:p w14:paraId="79CAB451" w14:textId="4FA37B97" w:rsidR="00B43CFC" w:rsidRPr="00B43CFC" w:rsidRDefault="00B43CFC" w:rsidP="00876D91">
      <w:pPr>
        <w:pStyle w:val="ListParagraph"/>
        <w:numPr>
          <w:ilvl w:val="1"/>
          <w:numId w:val="1"/>
        </w:numPr>
        <w:ind w:hanging="720"/>
        <w:rPr>
          <w:rFonts w:ascii="Arial" w:hAnsi="Arial" w:cs="Arial"/>
          <w:color w:val="FF0000"/>
        </w:rPr>
      </w:pPr>
      <w:r>
        <w:rPr>
          <w:rFonts w:ascii="Arial" w:hAnsi="Arial" w:cs="Arial"/>
        </w:rPr>
        <w:t xml:space="preserve">Perhaps the most significant change for 2021/22 is migration of the currently separate Teachers Pay Grant (TPG) and Teachers Pension Employer Contribution Grant (TPECG) into the </w:t>
      </w:r>
      <w:r w:rsidR="00EF3EBE">
        <w:rPr>
          <w:rFonts w:ascii="Arial" w:hAnsi="Arial" w:cs="Arial"/>
        </w:rPr>
        <w:t xml:space="preserve">Schools Block </w:t>
      </w:r>
      <w:r w:rsidR="00B14776">
        <w:rPr>
          <w:rFonts w:ascii="Arial" w:hAnsi="Arial" w:cs="Arial"/>
        </w:rPr>
        <w:t xml:space="preserve">NFF </w:t>
      </w:r>
      <w:r w:rsidR="00EF3EBE">
        <w:rPr>
          <w:rFonts w:ascii="Arial" w:hAnsi="Arial" w:cs="Arial"/>
        </w:rPr>
        <w:t>for mainstream schools</w:t>
      </w:r>
      <w:r>
        <w:rPr>
          <w:rFonts w:ascii="Arial" w:hAnsi="Arial" w:cs="Arial"/>
        </w:rPr>
        <w:t>.</w:t>
      </w:r>
    </w:p>
    <w:p w14:paraId="70747D5C" w14:textId="77777777" w:rsidR="00B43CFC" w:rsidRPr="00B43CFC" w:rsidRDefault="00B43CFC" w:rsidP="00B43CFC">
      <w:pPr>
        <w:pStyle w:val="ListParagraph"/>
        <w:ind w:left="786"/>
        <w:rPr>
          <w:rFonts w:ascii="Arial" w:hAnsi="Arial" w:cs="Arial"/>
          <w:color w:val="FF0000"/>
        </w:rPr>
      </w:pPr>
    </w:p>
    <w:p w14:paraId="3FFA2F07" w14:textId="77777777" w:rsidR="00C12996" w:rsidRPr="00C12996" w:rsidRDefault="00EB5D98" w:rsidP="00876D91">
      <w:pPr>
        <w:pStyle w:val="ListParagraph"/>
        <w:numPr>
          <w:ilvl w:val="1"/>
          <w:numId w:val="1"/>
        </w:numPr>
        <w:ind w:hanging="720"/>
        <w:rPr>
          <w:rFonts w:ascii="Arial" w:hAnsi="Arial" w:cs="Arial"/>
          <w:color w:val="FF0000"/>
        </w:rPr>
      </w:pPr>
      <w:r>
        <w:rPr>
          <w:rFonts w:ascii="Arial" w:hAnsi="Arial" w:cs="Arial"/>
        </w:rPr>
        <w:t xml:space="preserve">Unit values for basic per pupil funding (known as AWPU) have been increased by 3% from the current financial year. </w:t>
      </w:r>
      <w:r w:rsidR="00B43CFC">
        <w:rPr>
          <w:rFonts w:ascii="Arial" w:hAnsi="Arial" w:cs="Arial"/>
        </w:rPr>
        <w:t xml:space="preserve">In addition, the per-pupil rate has been increased to reflect funding of the TPG and TPECG via the NFF instead of separate grants by £180 for primary pupils and £265 for secondary pupils. </w:t>
      </w:r>
      <w:r>
        <w:rPr>
          <w:rFonts w:ascii="Arial" w:hAnsi="Arial" w:cs="Arial"/>
        </w:rPr>
        <w:t>For 2021/22, the rate per pupil is set at £3,123 for primary; £4,404 for KS3 and £4,963 for KS4.</w:t>
      </w:r>
    </w:p>
    <w:p w14:paraId="7BEAFC13" w14:textId="77777777" w:rsidR="00C12996" w:rsidRPr="00C12996" w:rsidRDefault="00C12996" w:rsidP="00C12996">
      <w:pPr>
        <w:pStyle w:val="ListParagraph"/>
        <w:ind w:left="786"/>
        <w:rPr>
          <w:rFonts w:ascii="Arial" w:hAnsi="Arial" w:cs="Arial"/>
          <w:color w:val="FF0000"/>
        </w:rPr>
      </w:pPr>
    </w:p>
    <w:p w14:paraId="00D5719F" w14:textId="77777777" w:rsidR="00876D91" w:rsidRPr="00EF3EBE" w:rsidRDefault="00EB5D98" w:rsidP="00876D91">
      <w:pPr>
        <w:pStyle w:val="ListParagraph"/>
        <w:numPr>
          <w:ilvl w:val="1"/>
          <w:numId w:val="1"/>
        </w:numPr>
        <w:ind w:hanging="720"/>
        <w:rPr>
          <w:rFonts w:ascii="Arial" w:hAnsi="Arial" w:cs="Arial"/>
        </w:rPr>
      </w:pPr>
      <w:r>
        <w:rPr>
          <w:rFonts w:ascii="Arial" w:hAnsi="Arial" w:cs="Arial"/>
        </w:rPr>
        <w:t>Other pupil-led formula factors have al</w:t>
      </w:r>
      <w:r w:rsidR="00F17A5F">
        <w:rPr>
          <w:rFonts w:ascii="Arial" w:hAnsi="Arial" w:cs="Arial"/>
        </w:rPr>
        <w:t>so increased</w:t>
      </w:r>
      <w:r w:rsidR="00EF3EBE">
        <w:rPr>
          <w:rFonts w:ascii="Arial" w:hAnsi="Arial" w:cs="Arial"/>
        </w:rPr>
        <w:t xml:space="preserve"> and are listed at appendix A to </w:t>
      </w:r>
      <w:r w:rsidR="00EF3EBE" w:rsidRPr="00EF3EBE">
        <w:rPr>
          <w:rFonts w:ascii="Arial" w:hAnsi="Arial" w:cs="Arial"/>
        </w:rPr>
        <w:t>this report for reference.</w:t>
      </w:r>
      <w:r w:rsidR="0046225E">
        <w:rPr>
          <w:rFonts w:ascii="Arial" w:hAnsi="Arial" w:cs="Arial"/>
        </w:rPr>
        <w:t xml:space="preserve"> The lump sum has increased from £114,400 to £117,800.</w:t>
      </w:r>
    </w:p>
    <w:p w14:paraId="17749909" w14:textId="77777777" w:rsidR="00876D91" w:rsidRPr="00EF3EBE" w:rsidRDefault="00876D91" w:rsidP="00876D91">
      <w:pPr>
        <w:pStyle w:val="ListParagraph"/>
        <w:rPr>
          <w:rFonts w:ascii="Arial" w:hAnsi="Arial" w:cs="Arial"/>
        </w:rPr>
      </w:pPr>
    </w:p>
    <w:p w14:paraId="6F1FB18E" w14:textId="77777777" w:rsidR="00EF3EBE" w:rsidRPr="00EF3EBE" w:rsidRDefault="00EF3EBE" w:rsidP="007D4460">
      <w:pPr>
        <w:pStyle w:val="ListParagraph"/>
        <w:numPr>
          <w:ilvl w:val="1"/>
          <w:numId w:val="1"/>
        </w:numPr>
        <w:ind w:hanging="720"/>
        <w:rPr>
          <w:rFonts w:ascii="Arial" w:hAnsi="Arial" w:cs="Arial"/>
        </w:rPr>
      </w:pPr>
      <w:r w:rsidRPr="00EF3EBE">
        <w:rPr>
          <w:rFonts w:ascii="Arial" w:hAnsi="Arial" w:cs="Arial"/>
        </w:rPr>
        <w:t xml:space="preserve">There has been a change to the allocation of pupils to IDACI ranges to represent deprivation and assign relevant funding. Instead of using an IDACI score, the allocation of pupils is based on rank. For example, IDACI Band </w:t>
      </w:r>
      <w:proofErr w:type="gramStart"/>
      <w:r w:rsidRPr="00EF3EBE">
        <w:rPr>
          <w:rFonts w:ascii="Arial" w:hAnsi="Arial" w:cs="Arial"/>
        </w:rPr>
        <w:t>A</w:t>
      </w:r>
      <w:proofErr w:type="gramEnd"/>
      <w:r w:rsidRPr="00EF3EBE">
        <w:rPr>
          <w:rFonts w:ascii="Arial" w:hAnsi="Arial" w:cs="Arial"/>
        </w:rPr>
        <w:t xml:space="preserve"> pupils represent the </w:t>
      </w:r>
      <w:r w:rsidRPr="00EF3EBE">
        <w:rPr>
          <w:rFonts w:ascii="Arial" w:hAnsi="Arial" w:cs="Arial"/>
        </w:rPr>
        <w:lastRenderedPageBreak/>
        <w:t>2.5% most deprived as opposed to those pupils with an IDACI score of greater than 0.5.</w:t>
      </w:r>
    </w:p>
    <w:p w14:paraId="2DEB7E46" w14:textId="77777777" w:rsidR="00EF3EBE" w:rsidRPr="00EF3EBE" w:rsidRDefault="00EF3EBE" w:rsidP="00EF3EBE">
      <w:pPr>
        <w:pStyle w:val="ListParagraph"/>
        <w:rPr>
          <w:rFonts w:ascii="Arial" w:hAnsi="Arial" w:cs="Arial"/>
        </w:rPr>
      </w:pPr>
    </w:p>
    <w:p w14:paraId="3E581208" w14:textId="77777777" w:rsidR="007D4460" w:rsidRPr="007D4460" w:rsidRDefault="00EF3EBE" w:rsidP="007D4460">
      <w:pPr>
        <w:pStyle w:val="ListParagraph"/>
        <w:numPr>
          <w:ilvl w:val="1"/>
          <w:numId w:val="1"/>
        </w:numPr>
        <w:ind w:hanging="720"/>
        <w:rPr>
          <w:rFonts w:ascii="Arial" w:hAnsi="Arial" w:cs="Arial"/>
          <w:color w:val="FF0000"/>
        </w:rPr>
      </w:pPr>
      <w:r>
        <w:rPr>
          <w:rFonts w:ascii="Arial" w:hAnsi="Arial" w:cs="Arial"/>
        </w:rPr>
        <w:t xml:space="preserve">The guarantee of a minimum per-pupil funded amount per school remains within the NFF for 2021/22. </w:t>
      </w:r>
      <w:r w:rsidR="00876D91">
        <w:rPr>
          <w:rFonts w:ascii="Arial" w:hAnsi="Arial" w:cs="Arial"/>
        </w:rPr>
        <w:t xml:space="preserve">The minimum </w:t>
      </w:r>
      <w:r w:rsidR="00C12996">
        <w:rPr>
          <w:rFonts w:ascii="Arial" w:hAnsi="Arial" w:cs="Arial"/>
        </w:rPr>
        <w:t>per pupil funding lev</w:t>
      </w:r>
      <w:r w:rsidR="00F17A5F">
        <w:rPr>
          <w:rFonts w:ascii="Arial" w:hAnsi="Arial" w:cs="Arial"/>
        </w:rPr>
        <w:t>els in 2021/22</w:t>
      </w:r>
      <w:r w:rsidR="00876D91">
        <w:rPr>
          <w:rFonts w:ascii="Arial" w:hAnsi="Arial" w:cs="Arial"/>
        </w:rPr>
        <w:t xml:space="preserve"> have increased to </w:t>
      </w:r>
      <w:r w:rsidR="00F17A5F">
        <w:rPr>
          <w:rFonts w:ascii="Arial" w:hAnsi="Arial" w:cs="Arial"/>
        </w:rPr>
        <w:t>£4,180</w:t>
      </w:r>
      <w:r w:rsidR="00C12996">
        <w:rPr>
          <w:rFonts w:ascii="Arial" w:hAnsi="Arial" w:cs="Arial"/>
        </w:rPr>
        <w:t xml:space="preserve"> (from </w:t>
      </w:r>
      <w:r w:rsidR="00F17A5F">
        <w:rPr>
          <w:rFonts w:ascii="Arial" w:hAnsi="Arial" w:cs="Arial"/>
        </w:rPr>
        <w:t>£3,750</w:t>
      </w:r>
      <w:r w:rsidR="00C12996">
        <w:rPr>
          <w:rFonts w:ascii="Arial" w:hAnsi="Arial" w:cs="Arial"/>
        </w:rPr>
        <w:t>)</w:t>
      </w:r>
      <w:r w:rsidR="00876D91">
        <w:rPr>
          <w:rFonts w:ascii="Arial" w:hAnsi="Arial" w:cs="Arial"/>
        </w:rPr>
        <w:t xml:space="preserve"> for all </w:t>
      </w:r>
      <w:r w:rsidR="00C03685">
        <w:rPr>
          <w:rFonts w:ascii="Arial" w:hAnsi="Arial" w:cs="Arial"/>
        </w:rPr>
        <w:t xml:space="preserve">primary schools </w:t>
      </w:r>
      <w:r w:rsidR="00876D91">
        <w:rPr>
          <w:rFonts w:ascii="Arial" w:hAnsi="Arial" w:cs="Arial"/>
        </w:rPr>
        <w:t xml:space="preserve">and </w:t>
      </w:r>
      <w:r w:rsidR="00F17A5F">
        <w:rPr>
          <w:rFonts w:ascii="Arial" w:hAnsi="Arial" w:cs="Arial"/>
        </w:rPr>
        <w:t>£5,415</w:t>
      </w:r>
      <w:r w:rsidR="00C12996">
        <w:rPr>
          <w:rFonts w:ascii="Arial" w:hAnsi="Arial" w:cs="Arial"/>
        </w:rPr>
        <w:t xml:space="preserve"> (from </w:t>
      </w:r>
      <w:r w:rsidR="00F17A5F">
        <w:rPr>
          <w:rFonts w:ascii="Arial" w:hAnsi="Arial" w:cs="Arial"/>
        </w:rPr>
        <w:t>£5,0</w:t>
      </w:r>
      <w:r w:rsidR="00876D91">
        <w:rPr>
          <w:rFonts w:ascii="Arial" w:hAnsi="Arial" w:cs="Arial"/>
        </w:rPr>
        <w:t>00</w:t>
      </w:r>
      <w:r w:rsidR="00C12996">
        <w:rPr>
          <w:rFonts w:ascii="Arial" w:hAnsi="Arial" w:cs="Arial"/>
        </w:rPr>
        <w:t>)</w:t>
      </w:r>
      <w:r w:rsidR="00876D91">
        <w:rPr>
          <w:rFonts w:ascii="Arial" w:hAnsi="Arial" w:cs="Arial"/>
        </w:rPr>
        <w:t xml:space="preserve"> for all </w:t>
      </w:r>
      <w:r w:rsidR="00C12996">
        <w:rPr>
          <w:rFonts w:ascii="Arial" w:hAnsi="Arial" w:cs="Arial"/>
        </w:rPr>
        <w:t>secondary schools</w:t>
      </w:r>
      <w:r w:rsidR="00876D91">
        <w:rPr>
          <w:rFonts w:ascii="Arial" w:hAnsi="Arial" w:cs="Arial"/>
        </w:rPr>
        <w:t>.</w:t>
      </w:r>
      <w:r w:rsidR="002D22FD">
        <w:rPr>
          <w:rFonts w:ascii="Arial" w:hAnsi="Arial" w:cs="Arial"/>
        </w:rPr>
        <w:t xml:space="preserve"> </w:t>
      </w:r>
      <w:r w:rsidR="00F17A5F">
        <w:rPr>
          <w:rFonts w:ascii="Arial" w:hAnsi="Arial" w:cs="Arial"/>
        </w:rPr>
        <w:t xml:space="preserve">However, </w:t>
      </w:r>
      <w:r>
        <w:rPr>
          <w:rFonts w:ascii="Arial" w:hAnsi="Arial" w:cs="Arial"/>
        </w:rPr>
        <w:t xml:space="preserve">as with the increases included in the basic per pupil funding rate, </w:t>
      </w:r>
      <w:r w:rsidR="00F17A5F">
        <w:rPr>
          <w:rFonts w:ascii="Arial" w:hAnsi="Arial" w:cs="Arial"/>
        </w:rPr>
        <w:t xml:space="preserve">these increases </w:t>
      </w:r>
      <w:r>
        <w:rPr>
          <w:rFonts w:ascii="Arial" w:hAnsi="Arial" w:cs="Arial"/>
        </w:rPr>
        <w:t xml:space="preserve">in the minimum per-pupil funding </w:t>
      </w:r>
      <w:r w:rsidR="00AE7E99">
        <w:rPr>
          <w:rFonts w:ascii="Arial" w:hAnsi="Arial" w:cs="Arial"/>
        </w:rPr>
        <w:t xml:space="preserve">guarantee </w:t>
      </w:r>
      <w:r w:rsidR="00F17A5F">
        <w:rPr>
          <w:rFonts w:ascii="Arial" w:hAnsi="Arial" w:cs="Arial"/>
        </w:rPr>
        <w:t>include</w:t>
      </w:r>
      <w:r w:rsidR="00AE7E99">
        <w:rPr>
          <w:rFonts w:ascii="Arial" w:hAnsi="Arial" w:cs="Arial"/>
        </w:rPr>
        <w:t xml:space="preserve"> the</w:t>
      </w:r>
      <w:r w:rsidR="00F17A5F">
        <w:rPr>
          <w:rFonts w:ascii="Arial" w:hAnsi="Arial" w:cs="Arial"/>
        </w:rPr>
        <w:t xml:space="preserve"> £180</w:t>
      </w:r>
      <w:r w:rsidR="00AE7E99">
        <w:rPr>
          <w:rFonts w:ascii="Arial" w:hAnsi="Arial" w:cs="Arial"/>
        </w:rPr>
        <w:t xml:space="preserve"> (primary) and £265 (secondary) for TPG and TPECG.</w:t>
      </w:r>
      <w:r w:rsidR="00F17A5F">
        <w:rPr>
          <w:rFonts w:ascii="Arial" w:hAnsi="Arial" w:cs="Arial"/>
        </w:rPr>
        <w:t xml:space="preserve"> </w:t>
      </w:r>
      <w:r w:rsidR="002D2E9D">
        <w:rPr>
          <w:rFonts w:ascii="Arial" w:hAnsi="Arial" w:cs="Arial"/>
        </w:rPr>
        <w:t xml:space="preserve"> </w:t>
      </w:r>
    </w:p>
    <w:p w14:paraId="53B88523" w14:textId="77777777" w:rsidR="00876D91" w:rsidRPr="00822771" w:rsidRDefault="00876D91" w:rsidP="00876D91">
      <w:pPr>
        <w:ind w:hanging="720"/>
        <w:rPr>
          <w:rFonts w:ascii="Arial" w:hAnsi="Arial" w:cs="Arial"/>
          <w:b/>
          <w:u w:val="single"/>
        </w:rPr>
      </w:pPr>
    </w:p>
    <w:p w14:paraId="68D86D73" w14:textId="77777777" w:rsidR="00876D91" w:rsidRPr="00A925A1" w:rsidRDefault="00AE7E99" w:rsidP="00876D91">
      <w:pPr>
        <w:pStyle w:val="ListParagraph"/>
        <w:numPr>
          <w:ilvl w:val="1"/>
          <w:numId w:val="1"/>
        </w:numPr>
        <w:ind w:hanging="720"/>
        <w:rPr>
          <w:rFonts w:ascii="Arial" w:hAnsi="Arial" w:cs="Arial"/>
          <w:color w:val="FF0000"/>
        </w:rPr>
      </w:pPr>
      <w:r>
        <w:rPr>
          <w:rFonts w:ascii="Arial" w:hAnsi="Arial" w:cs="Arial"/>
        </w:rPr>
        <w:t>As with the 2020/21 NFF, in addition to the guarantee of a minimum per-pupil funded amount, the funding floor calculation will ensure that all schools receive a minimum 2% increase compared to their 2020/21 baseline pupil-led funding per pupil in 2021/22.</w:t>
      </w:r>
    </w:p>
    <w:p w14:paraId="51EBB788" w14:textId="77777777" w:rsidR="00A925A1" w:rsidRPr="00A925A1" w:rsidRDefault="00A925A1" w:rsidP="00A925A1">
      <w:pPr>
        <w:pStyle w:val="ListParagraph"/>
        <w:rPr>
          <w:rFonts w:ascii="Arial" w:hAnsi="Arial" w:cs="Arial"/>
          <w:color w:val="FF0000"/>
        </w:rPr>
      </w:pPr>
    </w:p>
    <w:p w14:paraId="5AECC5AE" w14:textId="187572A4" w:rsidR="00A925A1" w:rsidRPr="00F72B4F" w:rsidRDefault="00A925A1" w:rsidP="00876D91">
      <w:pPr>
        <w:pStyle w:val="ListParagraph"/>
        <w:numPr>
          <w:ilvl w:val="1"/>
          <w:numId w:val="1"/>
        </w:numPr>
        <w:ind w:hanging="720"/>
        <w:rPr>
          <w:rFonts w:ascii="Arial" w:hAnsi="Arial" w:cs="Arial"/>
          <w:color w:val="FF0000"/>
        </w:rPr>
      </w:pPr>
      <w:r w:rsidRPr="00A925A1">
        <w:rPr>
          <w:rFonts w:ascii="Arial" w:hAnsi="Arial" w:cs="Arial"/>
        </w:rPr>
        <w:t>It is important to remember that both the minimum per-pupil funding guarantee and the funding floor calculation are based on NFF pupil-led factors and do not include school-led factors such as the lump sum.</w:t>
      </w:r>
      <w:r w:rsidR="00E123EA">
        <w:rPr>
          <w:rFonts w:ascii="Arial" w:hAnsi="Arial" w:cs="Arial"/>
        </w:rPr>
        <w:t xml:space="preserve"> The calculations also exclude the TPG and TPECG amounts.</w:t>
      </w:r>
      <w:r>
        <w:rPr>
          <w:rFonts w:ascii="Arial" w:hAnsi="Arial" w:cs="Arial"/>
          <w:color w:val="FF0000"/>
        </w:rPr>
        <w:t xml:space="preserve"> </w:t>
      </w:r>
    </w:p>
    <w:p w14:paraId="486885EB" w14:textId="77777777" w:rsidR="00F72B4F" w:rsidRPr="00F72B4F" w:rsidRDefault="00F72B4F" w:rsidP="00F72B4F">
      <w:pPr>
        <w:pStyle w:val="ListParagraph"/>
        <w:rPr>
          <w:rFonts w:ascii="Arial" w:hAnsi="Arial" w:cs="Arial"/>
          <w:color w:val="FF0000"/>
        </w:rPr>
      </w:pPr>
    </w:p>
    <w:p w14:paraId="6CE65CD0" w14:textId="6CEABE66" w:rsidR="00273DDA" w:rsidRDefault="005B43ED" w:rsidP="00716F93">
      <w:pPr>
        <w:pStyle w:val="ListParagraph"/>
        <w:numPr>
          <w:ilvl w:val="1"/>
          <w:numId w:val="1"/>
        </w:numPr>
        <w:ind w:hanging="720"/>
        <w:rPr>
          <w:rFonts w:ascii="Arial" w:hAnsi="Arial" w:cs="Arial"/>
        </w:rPr>
      </w:pPr>
      <w:r>
        <w:rPr>
          <w:rFonts w:ascii="Arial" w:hAnsi="Arial" w:cs="Arial"/>
        </w:rPr>
        <w:t xml:space="preserve">Schools will be funded for a minimum of 100 pupils for the TPG and TPECG. The relevant rates per pupil are shown in the following table. </w:t>
      </w:r>
    </w:p>
    <w:p w14:paraId="5C838C99" w14:textId="77777777" w:rsidR="005B43ED" w:rsidRPr="005B43ED" w:rsidRDefault="005B43ED" w:rsidP="005B43ED">
      <w:pPr>
        <w:pStyle w:val="ListParagraph"/>
        <w:rPr>
          <w:rFonts w:ascii="Arial" w:hAnsi="Arial" w:cs="Arial"/>
        </w:rPr>
      </w:pPr>
    </w:p>
    <w:tbl>
      <w:tblPr>
        <w:tblStyle w:val="TableGrid"/>
        <w:tblW w:w="0" w:type="auto"/>
        <w:tblInd w:w="786" w:type="dxa"/>
        <w:tblLook w:val="04A0" w:firstRow="1" w:lastRow="0" w:firstColumn="1" w:lastColumn="0" w:noHBand="0" w:noVBand="1"/>
      </w:tblPr>
      <w:tblGrid>
        <w:gridCol w:w="1903"/>
        <w:gridCol w:w="2551"/>
        <w:gridCol w:w="2410"/>
      </w:tblGrid>
      <w:tr w:rsidR="005B43ED" w14:paraId="7F4E5823" w14:textId="77777777" w:rsidTr="005B43ED">
        <w:tc>
          <w:tcPr>
            <w:tcW w:w="1903" w:type="dxa"/>
            <w:shd w:val="clear" w:color="auto" w:fill="000000" w:themeFill="text1"/>
          </w:tcPr>
          <w:p w14:paraId="3DB5BF4B" w14:textId="77777777" w:rsidR="005B43ED" w:rsidRPr="005B43ED" w:rsidRDefault="005B43ED" w:rsidP="005B43ED">
            <w:pPr>
              <w:pStyle w:val="ListParagraph"/>
              <w:ind w:left="0"/>
              <w:rPr>
                <w:rFonts w:ascii="Arial" w:hAnsi="Arial" w:cs="Arial"/>
                <w:color w:val="FFFFFF" w:themeColor="background1"/>
              </w:rPr>
            </w:pPr>
            <w:r w:rsidRPr="005B43ED">
              <w:rPr>
                <w:rFonts w:ascii="Arial" w:hAnsi="Arial" w:cs="Arial"/>
                <w:color w:val="FFFFFF" w:themeColor="background1"/>
              </w:rPr>
              <w:t>Grant</w:t>
            </w:r>
          </w:p>
        </w:tc>
        <w:tc>
          <w:tcPr>
            <w:tcW w:w="2551" w:type="dxa"/>
            <w:shd w:val="clear" w:color="auto" w:fill="000000" w:themeFill="text1"/>
          </w:tcPr>
          <w:p w14:paraId="007887CD" w14:textId="77777777" w:rsidR="005B43ED" w:rsidRPr="005B43ED" w:rsidRDefault="005B43ED" w:rsidP="005B43ED">
            <w:pPr>
              <w:pStyle w:val="ListParagraph"/>
              <w:ind w:left="0"/>
              <w:rPr>
                <w:rFonts w:ascii="Arial" w:hAnsi="Arial" w:cs="Arial"/>
                <w:color w:val="FFFFFF" w:themeColor="background1"/>
              </w:rPr>
            </w:pPr>
            <w:r w:rsidRPr="005B43ED">
              <w:rPr>
                <w:rFonts w:ascii="Arial" w:hAnsi="Arial" w:cs="Arial"/>
                <w:color w:val="FFFFFF" w:themeColor="background1"/>
              </w:rPr>
              <w:t>Primary per Pupil</w:t>
            </w:r>
          </w:p>
        </w:tc>
        <w:tc>
          <w:tcPr>
            <w:tcW w:w="2410" w:type="dxa"/>
            <w:shd w:val="clear" w:color="auto" w:fill="000000" w:themeFill="text1"/>
          </w:tcPr>
          <w:p w14:paraId="2AFE7800" w14:textId="77777777" w:rsidR="005B43ED" w:rsidRPr="005B43ED" w:rsidRDefault="005B43ED" w:rsidP="005B43ED">
            <w:pPr>
              <w:pStyle w:val="ListParagraph"/>
              <w:ind w:left="0"/>
              <w:rPr>
                <w:rFonts w:ascii="Arial" w:hAnsi="Arial" w:cs="Arial"/>
                <w:color w:val="FFFFFF" w:themeColor="background1"/>
              </w:rPr>
            </w:pPr>
            <w:r w:rsidRPr="005B43ED">
              <w:rPr>
                <w:rFonts w:ascii="Arial" w:hAnsi="Arial" w:cs="Arial"/>
                <w:color w:val="FFFFFF" w:themeColor="background1"/>
              </w:rPr>
              <w:t>Secondary per Pupil</w:t>
            </w:r>
          </w:p>
        </w:tc>
      </w:tr>
      <w:tr w:rsidR="005B43ED" w14:paraId="6BBAC67D" w14:textId="77777777" w:rsidTr="005B43ED">
        <w:tc>
          <w:tcPr>
            <w:tcW w:w="1903" w:type="dxa"/>
          </w:tcPr>
          <w:p w14:paraId="7B982EA2" w14:textId="77777777" w:rsidR="005B43ED" w:rsidRDefault="005B43ED" w:rsidP="005B43ED">
            <w:pPr>
              <w:pStyle w:val="ListParagraph"/>
              <w:ind w:left="0"/>
              <w:rPr>
                <w:rFonts w:ascii="Arial" w:hAnsi="Arial" w:cs="Arial"/>
              </w:rPr>
            </w:pPr>
            <w:r>
              <w:rPr>
                <w:rFonts w:ascii="Arial" w:hAnsi="Arial" w:cs="Arial"/>
              </w:rPr>
              <w:t>TPG</w:t>
            </w:r>
          </w:p>
        </w:tc>
        <w:tc>
          <w:tcPr>
            <w:tcW w:w="2551" w:type="dxa"/>
          </w:tcPr>
          <w:p w14:paraId="18420573" w14:textId="77777777" w:rsidR="005B43ED" w:rsidRDefault="005B43ED" w:rsidP="005B43ED">
            <w:pPr>
              <w:pStyle w:val="ListParagraph"/>
              <w:ind w:left="0"/>
              <w:jc w:val="right"/>
              <w:rPr>
                <w:rFonts w:ascii="Arial" w:hAnsi="Arial" w:cs="Arial"/>
              </w:rPr>
            </w:pPr>
            <w:r>
              <w:rPr>
                <w:rFonts w:ascii="Arial" w:hAnsi="Arial" w:cs="Arial"/>
              </w:rPr>
              <w:t>£47.02</w:t>
            </w:r>
          </w:p>
        </w:tc>
        <w:tc>
          <w:tcPr>
            <w:tcW w:w="2410" w:type="dxa"/>
          </w:tcPr>
          <w:p w14:paraId="37D7C559" w14:textId="77777777" w:rsidR="005B43ED" w:rsidRDefault="005B43ED" w:rsidP="005B43ED">
            <w:pPr>
              <w:pStyle w:val="ListParagraph"/>
              <w:ind w:left="0"/>
              <w:jc w:val="right"/>
              <w:rPr>
                <w:rFonts w:ascii="Arial" w:hAnsi="Arial" w:cs="Arial"/>
              </w:rPr>
            </w:pPr>
            <w:r>
              <w:rPr>
                <w:rFonts w:ascii="Arial" w:hAnsi="Arial" w:cs="Arial"/>
              </w:rPr>
              <w:t>£69.21</w:t>
            </w:r>
          </w:p>
        </w:tc>
      </w:tr>
      <w:tr w:rsidR="005B43ED" w14:paraId="57E9BC94" w14:textId="77777777" w:rsidTr="005B43ED">
        <w:tc>
          <w:tcPr>
            <w:tcW w:w="1903" w:type="dxa"/>
          </w:tcPr>
          <w:p w14:paraId="775D9D79" w14:textId="77777777" w:rsidR="005B43ED" w:rsidRDefault="005B43ED" w:rsidP="005B43ED">
            <w:pPr>
              <w:pStyle w:val="ListParagraph"/>
              <w:ind w:left="0"/>
              <w:rPr>
                <w:rFonts w:ascii="Arial" w:hAnsi="Arial" w:cs="Arial"/>
              </w:rPr>
            </w:pPr>
            <w:r>
              <w:rPr>
                <w:rFonts w:ascii="Arial" w:hAnsi="Arial" w:cs="Arial"/>
              </w:rPr>
              <w:t>TPECG</w:t>
            </w:r>
          </w:p>
        </w:tc>
        <w:tc>
          <w:tcPr>
            <w:tcW w:w="2551" w:type="dxa"/>
          </w:tcPr>
          <w:p w14:paraId="5D6F12BB" w14:textId="77777777" w:rsidR="005B43ED" w:rsidRDefault="005B43ED" w:rsidP="005B43ED">
            <w:pPr>
              <w:pStyle w:val="ListParagraph"/>
              <w:ind w:left="0"/>
              <w:jc w:val="right"/>
              <w:rPr>
                <w:rFonts w:ascii="Arial" w:hAnsi="Arial" w:cs="Arial"/>
              </w:rPr>
            </w:pPr>
            <w:r>
              <w:rPr>
                <w:rFonts w:ascii="Arial" w:hAnsi="Arial" w:cs="Arial"/>
              </w:rPr>
              <w:t>£132.86</w:t>
            </w:r>
          </w:p>
        </w:tc>
        <w:tc>
          <w:tcPr>
            <w:tcW w:w="2410" w:type="dxa"/>
          </w:tcPr>
          <w:p w14:paraId="092E7FCE" w14:textId="77777777" w:rsidR="005B43ED" w:rsidRDefault="005B43ED" w:rsidP="005B43ED">
            <w:pPr>
              <w:pStyle w:val="ListParagraph"/>
              <w:ind w:left="0"/>
              <w:jc w:val="right"/>
              <w:rPr>
                <w:rFonts w:ascii="Arial" w:hAnsi="Arial" w:cs="Arial"/>
              </w:rPr>
            </w:pPr>
            <w:r>
              <w:rPr>
                <w:rFonts w:ascii="Arial" w:hAnsi="Arial" w:cs="Arial"/>
              </w:rPr>
              <w:t>£195.57</w:t>
            </w:r>
          </w:p>
        </w:tc>
      </w:tr>
    </w:tbl>
    <w:p w14:paraId="3CF46331" w14:textId="77777777" w:rsidR="005B43ED" w:rsidRDefault="005B43ED" w:rsidP="005B43ED">
      <w:pPr>
        <w:pStyle w:val="ListParagraph"/>
        <w:ind w:left="786"/>
        <w:rPr>
          <w:rFonts w:ascii="Arial" w:hAnsi="Arial" w:cs="Arial"/>
        </w:rPr>
      </w:pPr>
    </w:p>
    <w:p w14:paraId="068E1816" w14:textId="77777777" w:rsidR="005B43ED" w:rsidRPr="005B43ED" w:rsidRDefault="005B43ED" w:rsidP="005B43ED">
      <w:pPr>
        <w:pStyle w:val="ListParagraph"/>
        <w:ind w:left="786"/>
        <w:rPr>
          <w:rFonts w:ascii="Arial" w:hAnsi="Arial" w:cs="Arial"/>
        </w:rPr>
      </w:pPr>
    </w:p>
    <w:p w14:paraId="143EA9D5" w14:textId="77777777" w:rsidR="00BA64C3" w:rsidRPr="00396E47" w:rsidRDefault="00A925A1" w:rsidP="00BA64C3">
      <w:pPr>
        <w:pStyle w:val="ListParagraph"/>
        <w:numPr>
          <w:ilvl w:val="0"/>
          <w:numId w:val="1"/>
        </w:numPr>
        <w:ind w:hanging="720"/>
        <w:rPr>
          <w:rFonts w:ascii="Arial" w:hAnsi="Arial" w:cs="Arial"/>
          <w:b/>
          <w:u w:val="single"/>
        </w:rPr>
      </w:pPr>
      <w:r>
        <w:rPr>
          <w:rFonts w:ascii="Arial" w:hAnsi="Arial" w:cs="Arial"/>
          <w:b/>
          <w:u w:val="single"/>
        </w:rPr>
        <w:t>Indicative NFF 2021/22</w:t>
      </w:r>
    </w:p>
    <w:p w14:paraId="43061FCE" w14:textId="77777777" w:rsidR="00BA64C3" w:rsidRDefault="00BA64C3" w:rsidP="00BA64C3">
      <w:pPr>
        <w:rPr>
          <w:rFonts w:ascii="Arial" w:hAnsi="Arial" w:cs="Arial"/>
          <w:b/>
        </w:rPr>
      </w:pPr>
    </w:p>
    <w:p w14:paraId="5CFEE9FE" w14:textId="77777777" w:rsidR="00BA64C3" w:rsidRDefault="00D14F98" w:rsidP="00BA64C3">
      <w:pPr>
        <w:pStyle w:val="ListParagraph"/>
        <w:numPr>
          <w:ilvl w:val="1"/>
          <w:numId w:val="1"/>
        </w:numPr>
        <w:ind w:hanging="720"/>
        <w:rPr>
          <w:rFonts w:ascii="Arial" w:hAnsi="Arial" w:cs="Arial"/>
        </w:rPr>
      </w:pPr>
      <w:r>
        <w:rPr>
          <w:rFonts w:ascii="Arial" w:hAnsi="Arial" w:cs="Arial"/>
        </w:rPr>
        <w:t>Indicative 2021/22</w:t>
      </w:r>
      <w:r w:rsidR="00BA64C3" w:rsidRPr="00736143">
        <w:rPr>
          <w:rFonts w:ascii="Arial" w:hAnsi="Arial" w:cs="Arial"/>
        </w:rPr>
        <w:t xml:space="preserve"> figures iss</w:t>
      </w:r>
      <w:r w:rsidR="00736143" w:rsidRPr="00736143">
        <w:rPr>
          <w:rFonts w:ascii="Arial" w:hAnsi="Arial" w:cs="Arial"/>
        </w:rPr>
        <w:t xml:space="preserve">ued by </w:t>
      </w:r>
      <w:r w:rsidR="00932AE5">
        <w:rPr>
          <w:rFonts w:ascii="Arial" w:hAnsi="Arial" w:cs="Arial"/>
        </w:rPr>
        <w:t>ESFA</w:t>
      </w:r>
      <w:r w:rsidR="00736143" w:rsidRPr="00736143">
        <w:rPr>
          <w:rFonts w:ascii="Arial" w:hAnsi="Arial" w:cs="Arial"/>
        </w:rPr>
        <w:t xml:space="preserve"> are currently based on pupil numbers and chara</w:t>
      </w:r>
      <w:r>
        <w:rPr>
          <w:rFonts w:ascii="Arial" w:hAnsi="Arial" w:cs="Arial"/>
        </w:rPr>
        <w:t>cteristics from the October 2019</w:t>
      </w:r>
      <w:r w:rsidR="00736143" w:rsidRPr="00736143">
        <w:rPr>
          <w:rFonts w:ascii="Arial" w:hAnsi="Arial" w:cs="Arial"/>
        </w:rPr>
        <w:t xml:space="preserve"> census. Allocations will</w:t>
      </w:r>
      <w:r>
        <w:rPr>
          <w:rFonts w:ascii="Arial" w:hAnsi="Arial" w:cs="Arial"/>
        </w:rPr>
        <w:t xml:space="preserve"> be updated for the October 2020</w:t>
      </w:r>
      <w:r w:rsidR="00736143" w:rsidRPr="00736143">
        <w:rPr>
          <w:rFonts w:ascii="Arial" w:hAnsi="Arial" w:cs="Arial"/>
        </w:rPr>
        <w:t xml:space="preserve"> census and reissued during December</w:t>
      </w:r>
      <w:r>
        <w:rPr>
          <w:rFonts w:ascii="Arial" w:hAnsi="Arial" w:cs="Arial"/>
        </w:rPr>
        <w:t xml:space="preserve"> 2020</w:t>
      </w:r>
      <w:r w:rsidR="00736143" w:rsidRPr="00736143">
        <w:rPr>
          <w:rFonts w:ascii="Arial" w:hAnsi="Arial" w:cs="Arial"/>
        </w:rPr>
        <w:t xml:space="preserve">. </w:t>
      </w:r>
    </w:p>
    <w:p w14:paraId="3A638C0B" w14:textId="77777777" w:rsidR="00736143" w:rsidRPr="00736143" w:rsidRDefault="00736143" w:rsidP="00736143">
      <w:pPr>
        <w:pStyle w:val="ListParagraph"/>
        <w:ind w:left="786"/>
        <w:rPr>
          <w:rFonts w:ascii="Arial" w:hAnsi="Arial" w:cs="Arial"/>
        </w:rPr>
      </w:pPr>
    </w:p>
    <w:p w14:paraId="18004283" w14:textId="2C00E4EE" w:rsidR="00736143" w:rsidRDefault="00736143" w:rsidP="00BA64C3">
      <w:pPr>
        <w:pStyle w:val="ListParagraph"/>
        <w:numPr>
          <w:ilvl w:val="1"/>
          <w:numId w:val="1"/>
        </w:numPr>
        <w:ind w:hanging="720"/>
        <w:rPr>
          <w:rFonts w:ascii="Arial" w:hAnsi="Arial" w:cs="Arial"/>
        </w:rPr>
      </w:pPr>
      <w:r>
        <w:rPr>
          <w:rFonts w:ascii="Arial" w:hAnsi="Arial" w:cs="Arial"/>
        </w:rPr>
        <w:t xml:space="preserve">The following table shows the </w:t>
      </w:r>
      <w:r w:rsidR="00973CB9">
        <w:rPr>
          <w:rFonts w:ascii="Arial" w:hAnsi="Arial" w:cs="Arial"/>
        </w:rPr>
        <w:t>authority-</w:t>
      </w:r>
      <w:r>
        <w:rPr>
          <w:rFonts w:ascii="Arial" w:hAnsi="Arial" w:cs="Arial"/>
        </w:rPr>
        <w:t xml:space="preserve">level NFF </w:t>
      </w:r>
      <w:r w:rsidR="0035130A">
        <w:rPr>
          <w:rFonts w:ascii="Arial" w:hAnsi="Arial" w:cs="Arial"/>
        </w:rPr>
        <w:t xml:space="preserve">Schools Block </w:t>
      </w:r>
      <w:r>
        <w:rPr>
          <w:rFonts w:ascii="Arial" w:hAnsi="Arial" w:cs="Arial"/>
        </w:rPr>
        <w:t xml:space="preserve">indicative </w:t>
      </w:r>
      <w:r w:rsidR="00D14F98">
        <w:rPr>
          <w:rFonts w:ascii="Arial" w:hAnsi="Arial" w:cs="Arial"/>
        </w:rPr>
        <w:t>allocation for 2021/22</w:t>
      </w:r>
      <w:r w:rsidR="00F87248">
        <w:rPr>
          <w:rFonts w:ascii="Arial" w:hAnsi="Arial" w:cs="Arial"/>
        </w:rPr>
        <w:t>.</w:t>
      </w:r>
      <w:r w:rsidR="00D14F98">
        <w:rPr>
          <w:rFonts w:ascii="Arial" w:hAnsi="Arial" w:cs="Arial"/>
        </w:rPr>
        <w:t xml:space="preserve"> The growth allocation for 2021/22</w:t>
      </w:r>
      <w:r w:rsidR="00E32CB2">
        <w:rPr>
          <w:rFonts w:ascii="Arial" w:hAnsi="Arial" w:cs="Arial"/>
        </w:rPr>
        <w:t xml:space="preserve"> </w:t>
      </w:r>
      <w:r w:rsidR="009A3EFB">
        <w:rPr>
          <w:rFonts w:ascii="Arial" w:hAnsi="Arial" w:cs="Arial"/>
        </w:rPr>
        <w:t>has</w:t>
      </w:r>
      <w:r w:rsidR="00362A51">
        <w:rPr>
          <w:rFonts w:ascii="Arial" w:hAnsi="Arial" w:cs="Arial"/>
        </w:rPr>
        <w:t xml:space="preserve"> not yet been announced so is excluded from the table below (and excluded f</w:t>
      </w:r>
      <w:r w:rsidR="00D14F98">
        <w:rPr>
          <w:rFonts w:ascii="Arial" w:hAnsi="Arial" w:cs="Arial"/>
        </w:rPr>
        <w:t>rom the 2020/21</w:t>
      </w:r>
      <w:r w:rsidR="00362A51">
        <w:rPr>
          <w:rFonts w:ascii="Arial" w:hAnsi="Arial" w:cs="Arial"/>
        </w:rPr>
        <w:t xml:space="preserve"> comparison).</w:t>
      </w:r>
      <w:r w:rsidR="00AF02B3">
        <w:rPr>
          <w:rFonts w:ascii="Arial" w:hAnsi="Arial" w:cs="Arial"/>
        </w:rPr>
        <w:t xml:space="preserve"> The 2021/22 NFF is shown net of TPG and TPECG in the final column to allow a meaningful comparison.</w:t>
      </w:r>
    </w:p>
    <w:p w14:paraId="5D045E20" w14:textId="77777777" w:rsidR="003B651C" w:rsidRPr="003B651C" w:rsidRDefault="003B651C" w:rsidP="003B651C">
      <w:pPr>
        <w:pStyle w:val="ListParagraph"/>
        <w:rPr>
          <w:rFonts w:ascii="Arial" w:hAnsi="Arial" w:cs="Arial"/>
        </w:rPr>
      </w:pPr>
    </w:p>
    <w:tbl>
      <w:tblPr>
        <w:tblStyle w:val="TableGrid"/>
        <w:tblW w:w="0" w:type="auto"/>
        <w:tblInd w:w="846" w:type="dxa"/>
        <w:tblLook w:val="04A0" w:firstRow="1" w:lastRow="0" w:firstColumn="1" w:lastColumn="0" w:noHBand="0" w:noVBand="1"/>
      </w:tblPr>
      <w:tblGrid>
        <w:gridCol w:w="2083"/>
        <w:gridCol w:w="2072"/>
        <w:gridCol w:w="1515"/>
        <w:gridCol w:w="1417"/>
        <w:gridCol w:w="1560"/>
      </w:tblGrid>
      <w:tr w:rsidR="00AF02B3" w:rsidRPr="00F87248" w14:paraId="72E2D9D7" w14:textId="58BB33A3" w:rsidTr="005F61E4">
        <w:tc>
          <w:tcPr>
            <w:tcW w:w="2083" w:type="dxa"/>
            <w:shd w:val="clear" w:color="auto" w:fill="000000" w:themeFill="text1"/>
          </w:tcPr>
          <w:p w14:paraId="0B9BD6DB" w14:textId="77777777" w:rsidR="00AF02B3" w:rsidRPr="00F87248" w:rsidRDefault="00AF02B3" w:rsidP="003B651C">
            <w:pPr>
              <w:pStyle w:val="ListParagraph"/>
              <w:ind w:left="0"/>
              <w:jc w:val="center"/>
              <w:rPr>
                <w:rFonts w:ascii="Arial" w:hAnsi="Arial" w:cs="Arial"/>
                <w:color w:val="FFFFFF" w:themeColor="background1"/>
              </w:rPr>
            </w:pPr>
            <w:r>
              <w:rPr>
                <w:rFonts w:ascii="Arial" w:hAnsi="Arial" w:cs="Arial"/>
                <w:color w:val="FFFFFF" w:themeColor="background1"/>
              </w:rPr>
              <w:t>Schools Block</w:t>
            </w:r>
          </w:p>
        </w:tc>
        <w:tc>
          <w:tcPr>
            <w:tcW w:w="2072" w:type="dxa"/>
            <w:shd w:val="clear" w:color="auto" w:fill="000000" w:themeFill="text1"/>
          </w:tcPr>
          <w:p w14:paraId="748E523E" w14:textId="77777777" w:rsidR="00AF02B3" w:rsidRPr="00F87248" w:rsidRDefault="00AF02B3" w:rsidP="003B651C">
            <w:pPr>
              <w:pStyle w:val="ListParagraph"/>
              <w:ind w:left="0"/>
              <w:jc w:val="center"/>
              <w:rPr>
                <w:rFonts w:ascii="Arial" w:hAnsi="Arial" w:cs="Arial"/>
                <w:color w:val="FFFFFF" w:themeColor="background1"/>
              </w:rPr>
            </w:pPr>
            <w:r>
              <w:rPr>
                <w:rFonts w:ascii="Arial" w:hAnsi="Arial" w:cs="Arial"/>
                <w:color w:val="FFFFFF" w:themeColor="background1"/>
              </w:rPr>
              <w:t>Pupil Numbers (Oct 2019)</w:t>
            </w:r>
          </w:p>
        </w:tc>
        <w:tc>
          <w:tcPr>
            <w:tcW w:w="1515" w:type="dxa"/>
            <w:shd w:val="clear" w:color="auto" w:fill="000000" w:themeFill="text1"/>
          </w:tcPr>
          <w:p w14:paraId="12F607B1" w14:textId="77777777" w:rsidR="00AF02B3" w:rsidRDefault="00AF02B3" w:rsidP="003B651C">
            <w:pPr>
              <w:pStyle w:val="ListParagraph"/>
              <w:ind w:left="0"/>
              <w:jc w:val="center"/>
              <w:rPr>
                <w:rFonts w:ascii="Arial" w:hAnsi="Arial" w:cs="Arial"/>
                <w:color w:val="FFFFFF" w:themeColor="background1"/>
              </w:rPr>
            </w:pPr>
            <w:r>
              <w:rPr>
                <w:rFonts w:ascii="Arial" w:hAnsi="Arial" w:cs="Arial"/>
                <w:color w:val="FFFFFF" w:themeColor="background1"/>
              </w:rPr>
              <w:t>2021/22</w:t>
            </w:r>
          </w:p>
          <w:p w14:paraId="0391CBD3" w14:textId="1AFD7244" w:rsidR="00AF02B3" w:rsidRPr="00F87248" w:rsidRDefault="00AF02B3" w:rsidP="003B651C">
            <w:pPr>
              <w:pStyle w:val="ListParagraph"/>
              <w:ind w:left="0"/>
              <w:jc w:val="center"/>
              <w:rPr>
                <w:rFonts w:ascii="Arial" w:hAnsi="Arial" w:cs="Arial"/>
                <w:color w:val="FFFFFF" w:themeColor="background1"/>
              </w:rPr>
            </w:pPr>
            <w:r>
              <w:rPr>
                <w:rFonts w:ascii="Arial" w:hAnsi="Arial" w:cs="Arial"/>
                <w:color w:val="FFFFFF" w:themeColor="background1"/>
              </w:rPr>
              <w:t>NFF</w:t>
            </w:r>
          </w:p>
          <w:p w14:paraId="0B450BD0" w14:textId="77777777" w:rsidR="00AF02B3" w:rsidRPr="00F87248" w:rsidRDefault="00AF02B3" w:rsidP="003B651C">
            <w:pPr>
              <w:pStyle w:val="ListParagraph"/>
              <w:ind w:left="0"/>
              <w:jc w:val="center"/>
              <w:rPr>
                <w:rFonts w:ascii="Arial" w:hAnsi="Arial" w:cs="Arial"/>
                <w:color w:val="FFFFFF" w:themeColor="background1"/>
              </w:rPr>
            </w:pPr>
            <w:r w:rsidRPr="00F87248">
              <w:rPr>
                <w:rFonts w:ascii="Arial" w:hAnsi="Arial" w:cs="Arial"/>
                <w:color w:val="FFFFFF" w:themeColor="background1"/>
              </w:rPr>
              <w:t>£m</w:t>
            </w:r>
          </w:p>
        </w:tc>
        <w:tc>
          <w:tcPr>
            <w:tcW w:w="1417" w:type="dxa"/>
            <w:shd w:val="clear" w:color="auto" w:fill="000000" w:themeFill="text1"/>
          </w:tcPr>
          <w:p w14:paraId="582DACC6" w14:textId="77777777" w:rsidR="00AF02B3" w:rsidRDefault="00AF02B3" w:rsidP="003B651C">
            <w:pPr>
              <w:pStyle w:val="ListParagraph"/>
              <w:ind w:left="0"/>
              <w:jc w:val="center"/>
              <w:rPr>
                <w:rFonts w:ascii="Arial" w:hAnsi="Arial" w:cs="Arial"/>
                <w:color w:val="FFFFFF" w:themeColor="background1"/>
              </w:rPr>
            </w:pPr>
            <w:r>
              <w:rPr>
                <w:rFonts w:ascii="Arial" w:hAnsi="Arial" w:cs="Arial"/>
                <w:color w:val="FFFFFF" w:themeColor="background1"/>
              </w:rPr>
              <w:t xml:space="preserve">Grants </w:t>
            </w:r>
          </w:p>
          <w:p w14:paraId="158B2231" w14:textId="77777777" w:rsidR="00AF02B3" w:rsidRDefault="00AF02B3" w:rsidP="003B651C">
            <w:pPr>
              <w:pStyle w:val="ListParagraph"/>
              <w:ind w:left="0"/>
              <w:jc w:val="center"/>
              <w:rPr>
                <w:rFonts w:ascii="Arial" w:hAnsi="Arial" w:cs="Arial"/>
                <w:color w:val="FFFFFF" w:themeColor="background1"/>
              </w:rPr>
            </w:pPr>
          </w:p>
          <w:p w14:paraId="694FA4C6" w14:textId="6B4A1EC3" w:rsidR="00AF02B3" w:rsidRDefault="00AF02B3" w:rsidP="003B651C">
            <w:pPr>
              <w:pStyle w:val="ListParagraph"/>
              <w:ind w:left="0"/>
              <w:jc w:val="center"/>
              <w:rPr>
                <w:rFonts w:ascii="Arial" w:hAnsi="Arial" w:cs="Arial"/>
                <w:color w:val="FFFFFF" w:themeColor="background1"/>
              </w:rPr>
            </w:pPr>
            <w:r>
              <w:rPr>
                <w:rFonts w:ascii="Arial" w:hAnsi="Arial" w:cs="Arial"/>
                <w:color w:val="FFFFFF" w:themeColor="background1"/>
              </w:rPr>
              <w:t>£m</w:t>
            </w:r>
          </w:p>
        </w:tc>
        <w:tc>
          <w:tcPr>
            <w:tcW w:w="1560" w:type="dxa"/>
            <w:shd w:val="clear" w:color="auto" w:fill="000000" w:themeFill="text1"/>
          </w:tcPr>
          <w:p w14:paraId="6E52B2B0" w14:textId="77777777" w:rsidR="00AF02B3" w:rsidRDefault="00AF02B3" w:rsidP="003B651C">
            <w:pPr>
              <w:pStyle w:val="ListParagraph"/>
              <w:ind w:left="0"/>
              <w:jc w:val="center"/>
              <w:rPr>
                <w:rFonts w:ascii="Arial" w:hAnsi="Arial" w:cs="Arial"/>
                <w:color w:val="FFFFFF" w:themeColor="background1"/>
              </w:rPr>
            </w:pPr>
            <w:r>
              <w:rPr>
                <w:rFonts w:ascii="Arial" w:hAnsi="Arial" w:cs="Arial"/>
                <w:color w:val="FFFFFF" w:themeColor="background1"/>
              </w:rPr>
              <w:t>2021/22</w:t>
            </w:r>
          </w:p>
          <w:p w14:paraId="759E0498" w14:textId="77777777" w:rsidR="00AF02B3" w:rsidRDefault="00AF02B3" w:rsidP="003B651C">
            <w:pPr>
              <w:pStyle w:val="ListParagraph"/>
              <w:ind w:left="0"/>
              <w:jc w:val="center"/>
              <w:rPr>
                <w:rFonts w:ascii="Arial" w:hAnsi="Arial" w:cs="Arial"/>
                <w:color w:val="FFFFFF" w:themeColor="background1"/>
              </w:rPr>
            </w:pPr>
            <w:r>
              <w:rPr>
                <w:rFonts w:ascii="Arial" w:hAnsi="Arial" w:cs="Arial"/>
                <w:color w:val="FFFFFF" w:themeColor="background1"/>
              </w:rPr>
              <w:t>Net</w:t>
            </w:r>
          </w:p>
          <w:p w14:paraId="20B8E9C8" w14:textId="40EB5B2D" w:rsidR="00AF02B3" w:rsidRDefault="00AF02B3" w:rsidP="003B651C">
            <w:pPr>
              <w:pStyle w:val="ListParagraph"/>
              <w:ind w:left="0"/>
              <w:jc w:val="center"/>
              <w:rPr>
                <w:rFonts w:ascii="Arial" w:hAnsi="Arial" w:cs="Arial"/>
                <w:color w:val="FFFFFF" w:themeColor="background1"/>
              </w:rPr>
            </w:pPr>
            <w:r>
              <w:rPr>
                <w:rFonts w:ascii="Arial" w:hAnsi="Arial" w:cs="Arial"/>
                <w:color w:val="FFFFFF" w:themeColor="background1"/>
              </w:rPr>
              <w:t>£m</w:t>
            </w:r>
          </w:p>
        </w:tc>
      </w:tr>
      <w:tr w:rsidR="00AF02B3" w14:paraId="527F51FB" w14:textId="70ED50E8" w:rsidTr="005F61E4">
        <w:tc>
          <w:tcPr>
            <w:tcW w:w="2083" w:type="dxa"/>
          </w:tcPr>
          <w:p w14:paraId="03CBFE8D" w14:textId="4A232265" w:rsidR="00AF02B3" w:rsidRDefault="00AF02B3" w:rsidP="003B651C">
            <w:pPr>
              <w:pStyle w:val="ListParagraph"/>
              <w:ind w:left="0"/>
              <w:rPr>
                <w:rFonts w:ascii="Arial" w:hAnsi="Arial" w:cs="Arial"/>
              </w:rPr>
            </w:pPr>
            <w:r>
              <w:rPr>
                <w:rFonts w:ascii="Arial" w:hAnsi="Arial" w:cs="Arial"/>
              </w:rPr>
              <w:t>Primary</w:t>
            </w:r>
          </w:p>
        </w:tc>
        <w:tc>
          <w:tcPr>
            <w:tcW w:w="2072" w:type="dxa"/>
          </w:tcPr>
          <w:p w14:paraId="43F11B00" w14:textId="77777777" w:rsidR="00AF02B3" w:rsidRDefault="00AF02B3" w:rsidP="003B651C">
            <w:pPr>
              <w:pStyle w:val="ListParagraph"/>
              <w:ind w:left="0"/>
              <w:jc w:val="right"/>
              <w:rPr>
                <w:rFonts w:ascii="Arial" w:hAnsi="Arial" w:cs="Arial"/>
              </w:rPr>
            </w:pPr>
            <w:r>
              <w:rPr>
                <w:rFonts w:ascii="Arial" w:hAnsi="Arial" w:cs="Arial"/>
              </w:rPr>
              <w:t>7,952</w:t>
            </w:r>
          </w:p>
        </w:tc>
        <w:tc>
          <w:tcPr>
            <w:tcW w:w="1515" w:type="dxa"/>
          </w:tcPr>
          <w:p w14:paraId="13A5962F" w14:textId="77777777" w:rsidR="00AF02B3" w:rsidRDefault="00AF02B3" w:rsidP="003B651C">
            <w:pPr>
              <w:pStyle w:val="ListParagraph"/>
              <w:ind w:left="0"/>
              <w:jc w:val="right"/>
              <w:rPr>
                <w:rFonts w:ascii="Arial" w:hAnsi="Arial" w:cs="Arial"/>
              </w:rPr>
            </w:pPr>
            <w:r>
              <w:rPr>
                <w:rFonts w:ascii="Arial" w:hAnsi="Arial" w:cs="Arial"/>
              </w:rPr>
              <w:t>37.565</w:t>
            </w:r>
          </w:p>
        </w:tc>
        <w:tc>
          <w:tcPr>
            <w:tcW w:w="1417" w:type="dxa"/>
          </w:tcPr>
          <w:p w14:paraId="25463A94" w14:textId="1DBDE621" w:rsidR="00AF02B3" w:rsidRDefault="00AF02B3" w:rsidP="003B651C">
            <w:pPr>
              <w:pStyle w:val="ListParagraph"/>
              <w:ind w:left="0"/>
              <w:jc w:val="right"/>
              <w:rPr>
                <w:rFonts w:ascii="Arial" w:hAnsi="Arial" w:cs="Arial"/>
              </w:rPr>
            </w:pPr>
            <w:r>
              <w:rPr>
                <w:rFonts w:ascii="Arial" w:hAnsi="Arial" w:cs="Arial"/>
              </w:rPr>
              <w:t>(1.431)</w:t>
            </w:r>
          </w:p>
        </w:tc>
        <w:tc>
          <w:tcPr>
            <w:tcW w:w="1560" w:type="dxa"/>
          </w:tcPr>
          <w:p w14:paraId="5B45B769" w14:textId="0467F905" w:rsidR="00AF02B3" w:rsidRDefault="00AF02B3" w:rsidP="003B651C">
            <w:pPr>
              <w:pStyle w:val="ListParagraph"/>
              <w:ind w:left="0"/>
              <w:jc w:val="right"/>
              <w:rPr>
                <w:rFonts w:ascii="Arial" w:hAnsi="Arial" w:cs="Arial"/>
              </w:rPr>
            </w:pPr>
            <w:r>
              <w:rPr>
                <w:rFonts w:ascii="Arial" w:hAnsi="Arial" w:cs="Arial"/>
              </w:rPr>
              <w:t>36.134</w:t>
            </w:r>
          </w:p>
        </w:tc>
      </w:tr>
      <w:tr w:rsidR="00AF02B3" w14:paraId="2364F437" w14:textId="1C9A1CF9" w:rsidTr="005F61E4">
        <w:tc>
          <w:tcPr>
            <w:tcW w:w="2083" w:type="dxa"/>
          </w:tcPr>
          <w:p w14:paraId="7978D9E7" w14:textId="77777777" w:rsidR="00AF02B3" w:rsidRDefault="00AF02B3" w:rsidP="003B651C">
            <w:pPr>
              <w:pStyle w:val="ListParagraph"/>
              <w:ind w:left="0"/>
              <w:rPr>
                <w:rFonts w:ascii="Arial" w:hAnsi="Arial" w:cs="Arial"/>
              </w:rPr>
            </w:pPr>
            <w:r>
              <w:rPr>
                <w:rFonts w:ascii="Arial" w:hAnsi="Arial" w:cs="Arial"/>
              </w:rPr>
              <w:t>Secondary</w:t>
            </w:r>
          </w:p>
        </w:tc>
        <w:tc>
          <w:tcPr>
            <w:tcW w:w="2072" w:type="dxa"/>
          </w:tcPr>
          <w:p w14:paraId="2C4C7D50" w14:textId="77777777" w:rsidR="00AF02B3" w:rsidRDefault="00AF02B3" w:rsidP="00B555A3">
            <w:pPr>
              <w:pStyle w:val="ListParagraph"/>
              <w:ind w:left="0"/>
              <w:jc w:val="right"/>
              <w:rPr>
                <w:rFonts w:ascii="Arial" w:hAnsi="Arial" w:cs="Arial"/>
              </w:rPr>
            </w:pPr>
            <w:r>
              <w:rPr>
                <w:rFonts w:ascii="Arial" w:hAnsi="Arial" w:cs="Arial"/>
              </w:rPr>
              <w:t>5,439</w:t>
            </w:r>
          </w:p>
        </w:tc>
        <w:tc>
          <w:tcPr>
            <w:tcW w:w="1515" w:type="dxa"/>
          </w:tcPr>
          <w:p w14:paraId="0D702C6C" w14:textId="77777777" w:rsidR="00AF02B3" w:rsidRDefault="00AF02B3" w:rsidP="003B651C">
            <w:pPr>
              <w:pStyle w:val="ListParagraph"/>
              <w:ind w:left="0"/>
              <w:jc w:val="right"/>
              <w:rPr>
                <w:rFonts w:ascii="Arial" w:hAnsi="Arial" w:cs="Arial"/>
              </w:rPr>
            </w:pPr>
            <w:r>
              <w:rPr>
                <w:rFonts w:ascii="Arial" w:hAnsi="Arial" w:cs="Arial"/>
              </w:rPr>
              <w:t>32.643</w:t>
            </w:r>
          </w:p>
        </w:tc>
        <w:tc>
          <w:tcPr>
            <w:tcW w:w="1417" w:type="dxa"/>
          </w:tcPr>
          <w:p w14:paraId="0B5BF250" w14:textId="193239D6" w:rsidR="00AF02B3" w:rsidRDefault="00AF02B3" w:rsidP="003B651C">
            <w:pPr>
              <w:pStyle w:val="ListParagraph"/>
              <w:ind w:left="0"/>
              <w:jc w:val="right"/>
              <w:rPr>
                <w:rFonts w:ascii="Arial" w:hAnsi="Arial" w:cs="Arial"/>
              </w:rPr>
            </w:pPr>
            <w:r>
              <w:rPr>
                <w:rFonts w:ascii="Arial" w:hAnsi="Arial" w:cs="Arial"/>
              </w:rPr>
              <w:t>(1.441)</w:t>
            </w:r>
          </w:p>
        </w:tc>
        <w:tc>
          <w:tcPr>
            <w:tcW w:w="1560" w:type="dxa"/>
          </w:tcPr>
          <w:p w14:paraId="5F565086" w14:textId="23C8D629" w:rsidR="00AF02B3" w:rsidRDefault="00AF02B3" w:rsidP="003B651C">
            <w:pPr>
              <w:pStyle w:val="ListParagraph"/>
              <w:ind w:left="0"/>
              <w:jc w:val="right"/>
              <w:rPr>
                <w:rFonts w:ascii="Arial" w:hAnsi="Arial" w:cs="Arial"/>
              </w:rPr>
            </w:pPr>
            <w:r>
              <w:rPr>
                <w:rFonts w:ascii="Arial" w:hAnsi="Arial" w:cs="Arial"/>
              </w:rPr>
              <w:t>31.233</w:t>
            </w:r>
          </w:p>
        </w:tc>
      </w:tr>
      <w:tr w:rsidR="00AF02B3" w14:paraId="4B5ACE43" w14:textId="0D5C1D3E" w:rsidTr="005F61E4">
        <w:tc>
          <w:tcPr>
            <w:tcW w:w="2083" w:type="dxa"/>
          </w:tcPr>
          <w:p w14:paraId="72F9B8AB" w14:textId="77777777" w:rsidR="00AF02B3" w:rsidRDefault="00AF02B3" w:rsidP="003B651C">
            <w:pPr>
              <w:pStyle w:val="ListParagraph"/>
              <w:ind w:left="0"/>
              <w:rPr>
                <w:rFonts w:ascii="Arial" w:hAnsi="Arial" w:cs="Arial"/>
              </w:rPr>
            </w:pPr>
            <w:r>
              <w:rPr>
                <w:rFonts w:ascii="Arial" w:hAnsi="Arial" w:cs="Arial"/>
              </w:rPr>
              <w:t>Premises</w:t>
            </w:r>
          </w:p>
        </w:tc>
        <w:tc>
          <w:tcPr>
            <w:tcW w:w="2072" w:type="dxa"/>
          </w:tcPr>
          <w:p w14:paraId="712E7E64" w14:textId="77777777" w:rsidR="00AF02B3" w:rsidRDefault="00AF02B3" w:rsidP="003B651C">
            <w:pPr>
              <w:pStyle w:val="ListParagraph"/>
              <w:ind w:left="0"/>
              <w:jc w:val="right"/>
              <w:rPr>
                <w:rFonts w:ascii="Arial" w:hAnsi="Arial" w:cs="Arial"/>
              </w:rPr>
            </w:pPr>
          </w:p>
        </w:tc>
        <w:tc>
          <w:tcPr>
            <w:tcW w:w="1515" w:type="dxa"/>
          </w:tcPr>
          <w:p w14:paraId="1FB3AF5A" w14:textId="77777777" w:rsidR="00AF02B3" w:rsidRDefault="00AF02B3" w:rsidP="003B651C">
            <w:pPr>
              <w:pStyle w:val="ListParagraph"/>
              <w:ind w:left="0"/>
              <w:jc w:val="right"/>
              <w:rPr>
                <w:rFonts w:ascii="Arial" w:hAnsi="Arial" w:cs="Arial"/>
              </w:rPr>
            </w:pPr>
            <w:r>
              <w:rPr>
                <w:rFonts w:ascii="Arial" w:hAnsi="Arial" w:cs="Arial"/>
              </w:rPr>
              <w:t>0.604</w:t>
            </w:r>
          </w:p>
        </w:tc>
        <w:tc>
          <w:tcPr>
            <w:tcW w:w="1417" w:type="dxa"/>
          </w:tcPr>
          <w:p w14:paraId="7A47D874" w14:textId="77777777" w:rsidR="00AF02B3" w:rsidRDefault="00AF02B3" w:rsidP="003B651C">
            <w:pPr>
              <w:pStyle w:val="ListParagraph"/>
              <w:ind w:left="0"/>
              <w:jc w:val="right"/>
              <w:rPr>
                <w:rFonts w:ascii="Arial" w:hAnsi="Arial" w:cs="Arial"/>
              </w:rPr>
            </w:pPr>
          </w:p>
        </w:tc>
        <w:tc>
          <w:tcPr>
            <w:tcW w:w="1560" w:type="dxa"/>
          </w:tcPr>
          <w:p w14:paraId="21DA90F8" w14:textId="6ACCB636" w:rsidR="00AF02B3" w:rsidRDefault="00AF02B3" w:rsidP="003B651C">
            <w:pPr>
              <w:pStyle w:val="ListParagraph"/>
              <w:ind w:left="0"/>
              <w:jc w:val="right"/>
              <w:rPr>
                <w:rFonts w:ascii="Arial" w:hAnsi="Arial" w:cs="Arial"/>
              </w:rPr>
            </w:pPr>
            <w:r>
              <w:rPr>
                <w:rFonts w:ascii="Arial" w:hAnsi="Arial" w:cs="Arial"/>
              </w:rPr>
              <w:t>0.604</w:t>
            </w:r>
          </w:p>
        </w:tc>
      </w:tr>
      <w:tr w:rsidR="00AF02B3" w:rsidRPr="00F87248" w14:paraId="1A73BC1B" w14:textId="58F82B78" w:rsidTr="005F61E4">
        <w:tc>
          <w:tcPr>
            <w:tcW w:w="2083" w:type="dxa"/>
            <w:shd w:val="clear" w:color="auto" w:fill="000000" w:themeFill="text1"/>
          </w:tcPr>
          <w:p w14:paraId="75A7AD83" w14:textId="77777777" w:rsidR="00AF02B3" w:rsidRPr="00F87248" w:rsidRDefault="00AF02B3" w:rsidP="003B651C">
            <w:pPr>
              <w:pStyle w:val="ListParagraph"/>
              <w:ind w:left="0"/>
              <w:rPr>
                <w:rFonts w:ascii="Arial" w:hAnsi="Arial" w:cs="Arial"/>
                <w:color w:val="FFFFFF" w:themeColor="background1"/>
              </w:rPr>
            </w:pPr>
            <w:r w:rsidRPr="00F87248">
              <w:rPr>
                <w:rFonts w:ascii="Arial" w:hAnsi="Arial" w:cs="Arial"/>
                <w:color w:val="FFFFFF" w:themeColor="background1"/>
              </w:rPr>
              <w:t>TOTAL</w:t>
            </w:r>
            <w:r>
              <w:rPr>
                <w:rFonts w:ascii="Arial" w:hAnsi="Arial" w:cs="Arial"/>
                <w:color w:val="FFFFFF" w:themeColor="background1"/>
              </w:rPr>
              <w:t xml:space="preserve">  2021/22</w:t>
            </w:r>
          </w:p>
        </w:tc>
        <w:tc>
          <w:tcPr>
            <w:tcW w:w="2072" w:type="dxa"/>
            <w:shd w:val="clear" w:color="auto" w:fill="000000" w:themeFill="text1"/>
          </w:tcPr>
          <w:p w14:paraId="3CB87E3D" w14:textId="77777777" w:rsidR="00AF02B3" w:rsidRPr="00F87248" w:rsidRDefault="00AF02B3" w:rsidP="003B651C">
            <w:pPr>
              <w:pStyle w:val="ListParagraph"/>
              <w:ind w:left="0"/>
              <w:jc w:val="right"/>
              <w:rPr>
                <w:rFonts w:ascii="Arial" w:hAnsi="Arial" w:cs="Arial"/>
                <w:color w:val="FFFFFF" w:themeColor="background1"/>
              </w:rPr>
            </w:pPr>
          </w:p>
        </w:tc>
        <w:tc>
          <w:tcPr>
            <w:tcW w:w="1515" w:type="dxa"/>
            <w:shd w:val="clear" w:color="auto" w:fill="000000" w:themeFill="text1"/>
          </w:tcPr>
          <w:p w14:paraId="0CCFC98C" w14:textId="77777777" w:rsidR="00AF02B3" w:rsidRPr="00F87248" w:rsidRDefault="00AF02B3" w:rsidP="003B651C">
            <w:pPr>
              <w:pStyle w:val="ListParagraph"/>
              <w:ind w:left="0"/>
              <w:jc w:val="right"/>
              <w:rPr>
                <w:rFonts w:ascii="Arial" w:hAnsi="Arial" w:cs="Arial"/>
                <w:color w:val="FFFFFF" w:themeColor="background1"/>
              </w:rPr>
            </w:pPr>
            <w:r>
              <w:rPr>
                <w:rFonts w:ascii="Arial" w:hAnsi="Arial" w:cs="Arial"/>
                <w:color w:val="FFFFFF" w:themeColor="background1"/>
              </w:rPr>
              <w:t>70.812</w:t>
            </w:r>
          </w:p>
        </w:tc>
        <w:tc>
          <w:tcPr>
            <w:tcW w:w="1417" w:type="dxa"/>
            <w:shd w:val="clear" w:color="auto" w:fill="000000" w:themeFill="text1"/>
          </w:tcPr>
          <w:p w14:paraId="2C2E781D" w14:textId="36E182E9" w:rsidR="00AF02B3" w:rsidRDefault="00AF02B3" w:rsidP="003B651C">
            <w:pPr>
              <w:pStyle w:val="ListParagraph"/>
              <w:ind w:left="0"/>
              <w:jc w:val="right"/>
              <w:rPr>
                <w:rFonts w:ascii="Arial" w:hAnsi="Arial" w:cs="Arial"/>
                <w:color w:val="FFFFFF" w:themeColor="background1"/>
              </w:rPr>
            </w:pPr>
            <w:r>
              <w:rPr>
                <w:rFonts w:ascii="Arial" w:hAnsi="Arial" w:cs="Arial"/>
                <w:color w:val="FFFFFF" w:themeColor="background1"/>
              </w:rPr>
              <w:t>(2.872)</w:t>
            </w:r>
          </w:p>
        </w:tc>
        <w:tc>
          <w:tcPr>
            <w:tcW w:w="1560" w:type="dxa"/>
            <w:shd w:val="clear" w:color="auto" w:fill="000000" w:themeFill="text1"/>
          </w:tcPr>
          <w:p w14:paraId="43A88F55" w14:textId="4A773538" w:rsidR="00AF02B3" w:rsidRDefault="00AF02B3" w:rsidP="003B651C">
            <w:pPr>
              <w:pStyle w:val="ListParagraph"/>
              <w:ind w:left="0"/>
              <w:jc w:val="right"/>
              <w:rPr>
                <w:rFonts w:ascii="Arial" w:hAnsi="Arial" w:cs="Arial"/>
                <w:color w:val="FFFFFF" w:themeColor="background1"/>
              </w:rPr>
            </w:pPr>
            <w:r>
              <w:rPr>
                <w:rFonts w:ascii="Arial" w:hAnsi="Arial" w:cs="Arial"/>
                <w:color w:val="FFFFFF" w:themeColor="background1"/>
              </w:rPr>
              <w:t>67.971</w:t>
            </w:r>
          </w:p>
        </w:tc>
      </w:tr>
    </w:tbl>
    <w:p w14:paraId="65040CC8" w14:textId="77777777" w:rsidR="003B651C" w:rsidRDefault="003B651C" w:rsidP="003B651C">
      <w:pPr>
        <w:pStyle w:val="ListParagraph"/>
        <w:ind w:left="786"/>
        <w:rPr>
          <w:rFonts w:ascii="Arial" w:hAnsi="Arial" w:cs="Arial"/>
        </w:rPr>
      </w:pPr>
    </w:p>
    <w:p w14:paraId="676B3E9A" w14:textId="1FA76981" w:rsidR="00973CB9" w:rsidRPr="00362A51" w:rsidRDefault="00973CB9" w:rsidP="00362A51">
      <w:pPr>
        <w:pStyle w:val="ListParagraph"/>
        <w:ind w:left="786"/>
        <w:rPr>
          <w:rFonts w:ascii="Arial" w:hAnsi="Arial" w:cs="Arial"/>
        </w:rPr>
      </w:pPr>
      <w:r w:rsidRPr="00AF02B3">
        <w:rPr>
          <w:rFonts w:ascii="Arial" w:hAnsi="Arial" w:cs="Arial"/>
        </w:rPr>
        <w:t>Th</w:t>
      </w:r>
      <w:r w:rsidR="00AF02B3" w:rsidRPr="00AF02B3">
        <w:rPr>
          <w:rFonts w:ascii="Arial" w:hAnsi="Arial" w:cs="Arial"/>
        </w:rPr>
        <w:t xml:space="preserve">e </w:t>
      </w:r>
      <w:r w:rsidR="00AF02B3" w:rsidRPr="00AF02B3">
        <w:rPr>
          <w:rFonts w:ascii="Arial" w:hAnsi="Arial" w:cs="Arial"/>
          <w:b/>
        </w:rPr>
        <w:t>£67.971m</w:t>
      </w:r>
      <w:r w:rsidRPr="00AF02B3">
        <w:rPr>
          <w:rFonts w:ascii="Arial" w:hAnsi="Arial" w:cs="Arial"/>
        </w:rPr>
        <w:t xml:space="preserve"> compares</w:t>
      </w:r>
      <w:r>
        <w:rPr>
          <w:rFonts w:ascii="Arial" w:hAnsi="Arial" w:cs="Arial"/>
        </w:rPr>
        <w:t xml:space="preserve"> with the </w:t>
      </w:r>
      <w:r w:rsidR="00F662F7">
        <w:rPr>
          <w:rFonts w:ascii="Arial" w:hAnsi="Arial" w:cs="Arial"/>
        </w:rPr>
        <w:t>equivalent</w:t>
      </w:r>
      <w:r>
        <w:rPr>
          <w:rFonts w:ascii="Arial" w:hAnsi="Arial" w:cs="Arial"/>
        </w:rPr>
        <w:t xml:space="preserve"> figure </w:t>
      </w:r>
      <w:r w:rsidRPr="00B555A3">
        <w:rPr>
          <w:rFonts w:ascii="Arial" w:hAnsi="Arial" w:cs="Arial"/>
        </w:rPr>
        <w:t xml:space="preserve">of </w:t>
      </w:r>
      <w:r w:rsidRPr="00B555A3">
        <w:rPr>
          <w:rFonts w:ascii="Arial" w:hAnsi="Arial" w:cs="Arial"/>
          <w:b/>
        </w:rPr>
        <w:t>£</w:t>
      </w:r>
      <w:r w:rsidR="00B555A3" w:rsidRPr="00B555A3">
        <w:rPr>
          <w:rFonts w:ascii="Arial" w:hAnsi="Arial" w:cs="Arial"/>
          <w:b/>
        </w:rPr>
        <w:t>65.536</w:t>
      </w:r>
      <w:r w:rsidR="00E37FE2" w:rsidRPr="00B555A3">
        <w:rPr>
          <w:rFonts w:ascii="Arial" w:hAnsi="Arial" w:cs="Arial"/>
          <w:b/>
        </w:rPr>
        <w:t>m</w:t>
      </w:r>
      <w:r w:rsidR="00AF02B3">
        <w:rPr>
          <w:rFonts w:ascii="Arial" w:hAnsi="Arial" w:cs="Arial"/>
          <w:b/>
        </w:rPr>
        <w:t xml:space="preserve"> </w:t>
      </w:r>
      <w:r w:rsidR="00D14F98" w:rsidRPr="00B555A3">
        <w:rPr>
          <w:rFonts w:ascii="Arial" w:hAnsi="Arial" w:cs="Arial"/>
        </w:rPr>
        <w:t>for 2020</w:t>
      </w:r>
      <w:r w:rsidR="00D14F98">
        <w:rPr>
          <w:rFonts w:ascii="Arial" w:hAnsi="Arial" w:cs="Arial"/>
        </w:rPr>
        <w:t>/21</w:t>
      </w:r>
      <w:r w:rsidRPr="00362A51">
        <w:rPr>
          <w:rFonts w:ascii="Arial" w:hAnsi="Arial" w:cs="Arial"/>
        </w:rPr>
        <w:t>.</w:t>
      </w:r>
    </w:p>
    <w:p w14:paraId="184D9402" w14:textId="77777777" w:rsidR="0075449A" w:rsidRDefault="0075449A" w:rsidP="00D22808">
      <w:pPr>
        <w:rPr>
          <w:rFonts w:ascii="Arial" w:hAnsi="Arial" w:cs="Arial"/>
        </w:rPr>
      </w:pPr>
    </w:p>
    <w:p w14:paraId="07FD5BF8" w14:textId="77777777" w:rsidR="00AF02B3" w:rsidRDefault="00AF02B3" w:rsidP="00D22808">
      <w:pPr>
        <w:rPr>
          <w:rFonts w:ascii="Arial" w:hAnsi="Arial" w:cs="Arial"/>
        </w:rPr>
      </w:pPr>
    </w:p>
    <w:p w14:paraId="5A4EA806" w14:textId="77777777" w:rsidR="005F61E4" w:rsidRDefault="005F61E4" w:rsidP="00D22808">
      <w:pPr>
        <w:rPr>
          <w:rFonts w:ascii="Arial" w:hAnsi="Arial" w:cs="Arial"/>
        </w:rPr>
      </w:pPr>
    </w:p>
    <w:p w14:paraId="1690DAC1" w14:textId="77777777" w:rsidR="005F61E4" w:rsidRDefault="005F61E4" w:rsidP="00D22808">
      <w:pPr>
        <w:rPr>
          <w:rFonts w:ascii="Arial" w:hAnsi="Arial" w:cs="Arial"/>
        </w:rPr>
      </w:pPr>
    </w:p>
    <w:p w14:paraId="7333C014" w14:textId="77777777" w:rsidR="00E32CB2" w:rsidRPr="004E4BFB" w:rsidRDefault="00E32CB2" w:rsidP="00E32CB2">
      <w:pPr>
        <w:ind w:left="360" w:hanging="360"/>
        <w:rPr>
          <w:rFonts w:ascii="Arial" w:hAnsi="Arial" w:cs="Arial"/>
          <w:b/>
          <w:u w:val="single"/>
        </w:rPr>
      </w:pPr>
      <w:r>
        <w:rPr>
          <w:rFonts w:ascii="Arial" w:hAnsi="Arial" w:cs="Arial"/>
          <w:b/>
        </w:rPr>
        <w:lastRenderedPageBreak/>
        <w:t>5</w:t>
      </w:r>
      <w:r w:rsidRPr="00741D19">
        <w:rPr>
          <w:rFonts w:ascii="Arial" w:hAnsi="Arial" w:cs="Arial"/>
          <w:b/>
        </w:rPr>
        <w:t xml:space="preserve">. </w:t>
      </w:r>
      <w:r w:rsidRPr="00741D19">
        <w:rPr>
          <w:rFonts w:ascii="Arial" w:hAnsi="Arial" w:cs="Arial"/>
          <w:b/>
        </w:rPr>
        <w:tab/>
      </w:r>
      <w:r w:rsidRPr="00741D19">
        <w:rPr>
          <w:rFonts w:ascii="Arial" w:hAnsi="Arial" w:cs="Arial"/>
          <w:b/>
        </w:rPr>
        <w:tab/>
      </w:r>
      <w:r>
        <w:rPr>
          <w:rFonts w:ascii="Arial" w:hAnsi="Arial" w:cs="Arial"/>
          <w:b/>
          <w:u w:val="single"/>
        </w:rPr>
        <w:t>Proposed Block Transfers</w:t>
      </w:r>
    </w:p>
    <w:p w14:paraId="235CB7AD" w14:textId="77777777" w:rsidR="00E32CB2" w:rsidRPr="00D22808" w:rsidRDefault="00E32CB2" w:rsidP="00E32CB2">
      <w:pPr>
        <w:rPr>
          <w:rFonts w:ascii="Arial" w:hAnsi="Arial" w:cs="Arial"/>
        </w:rPr>
      </w:pPr>
    </w:p>
    <w:p w14:paraId="36FF3DCB" w14:textId="77777777" w:rsidR="00E32CB2" w:rsidRDefault="00E32CB2" w:rsidP="00E32CB2">
      <w:pPr>
        <w:ind w:left="720" w:hanging="720"/>
        <w:rPr>
          <w:rFonts w:ascii="Arial" w:hAnsi="Arial" w:cs="Arial"/>
        </w:rPr>
      </w:pPr>
      <w:r>
        <w:rPr>
          <w:rFonts w:ascii="Arial" w:hAnsi="Arial" w:cs="Arial"/>
        </w:rPr>
        <w:t>5.1</w:t>
      </w:r>
      <w:r>
        <w:rPr>
          <w:rFonts w:ascii="Arial" w:hAnsi="Arial" w:cs="Arial"/>
        </w:rPr>
        <w:tab/>
      </w:r>
      <w:r w:rsidR="00A44CFE">
        <w:rPr>
          <w:rFonts w:ascii="Arial" w:hAnsi="Arial" w:cs="Arial"/>
        </w:rPr>
        <w:t>Schools’ Forum will recall that a transfer-in to the Schools Block from the Central School Services Block (CSSB) has become usual practice in recent years.</w:t>
      </w:r>
      <w:r w:rsidR="004D4A45">
        <w:rPr>
          <w:rFonts w:ascii="Arial" w:hAnsi="Arial" w:cs="Arial"/>
        </w:rPr>
        <w:t xml:space="preserve"> The CSSB is made up of two elements – funding for ongoing commitments and funding for historic commitments. Since 2020/21, funding of historic commitments is being cut at 20% per year on the assumption that historic costs should reduce over time. </w:t>
      </w:r>
    </w:p>
    <w:p w14:paraId="78F25555" w14:textId="77777777" w:rsidR="004D4A45" w:rsidRDefault="004D4A45" w:rsidP="00E32CB2">
      <w:pPr>
        <w:ind w:left="720" w:hanging="720"/>
        <w:rPr>
          <w:rFonts w:ascii="Arial" w:hAnsi="Arial" w:cs="Arial"/>
        </w:rPr>
      </w:pPr>
    </w:p>
    <w:p w14:paraId="03C08DC0" w14:textId="77777777" w:rsidR="004D4A45" w:rsidRDefault="004D4A45" w:rsidP="00E32CB2">
      <w:pPr>
        <w:ind w:left="720" w:hanging="720"/>
        <w:rPr>
          <w:rFonts w:ascii="Arial" w:hAnsi="Arial" w:cs="Arial"/>
        </w:rPr>
      </w:pPr>
      <w:r>
        <w:rPr>
          <w:rFonts w:ascii="Arial" w:hAnsi="Arial" w:cs="Arial"/>
        </w:rPr>
        <w:t>5.2</w:t>
      </w:r>
      <w:r>
        <w:rPr>
          <w:rFonts w:ascii="Arial" w:hAnsi="Arial" w:cs="Arial"/>
        </w:rPr>
        <w:tab/>
        <w:t xml:space="preserve">Although not the case for 2021/22, overall CSSB funding will become insufficient over the next 3 year period as the historic costs relating to pensions linked to the closure of </w:t>
      </w:r>
      <w:proofErr w:type="spellStart"/>
      <w:r>
        <w:rPr>
          <w:rFonts w:ascii="Arial" w:hAnsi="Arial" w:cs="Arial"/>
        </w:rPr>
        <w:t>Brierton</w:t>
      </w:r>
      <w:proofErr w:type="spellEnd"/>
      <w:r>
        <w:rPr>
          <w:rFonts w:ascii="Arial" w:hAnsi="Arial" w:cs="Arial"/>
        </w:rPr>
        <w:t xml:space="preserve"> School will not reduce over the short-term.</w:t>
      </w:r>
    </w:p>
    <w:p w14:paraId="0D0AB992" w14:textId="77777777" w:rsidR="00F662F7" w:rsidRDefault="00F662F7" w:rsidP="00E32CB2">
      <w:pPr>
        <w:ind w:left="720" w:hanging="720"/>
        <w:rPr>
          <w:rFonts w:ascii="Arial" w:hAnsi="Arial" w:cs="Arial"/>
        </w:rPr>
      </w:pPr>
    </w:p>
    <w:p w14:paraId="6F7DE011" w14:textId="345C2784" w:rsidR="00F662F7" w:rsidRDefault="000B18C6" w:rsidP="00E32CB2">
      <w:pPr>
        <w:ind w:left="720" w:hanging="720"/>
        <w:rPr>
          <w:rFonts w:ascii="Arial" w:hAnsi="Arial" w:cs="Arial"/>
        </w:rPr>
      </w:pPr>
      <w:r>
        <w:rPr>
          <w:rFonts w:ascii="Arial" w:hAnsi="Arial" w:cs="Arial"/>
        </w:rPr>
        <w:t>5.3</w:t>
      </w:r>
      <w:r w:rsidR="00F662F7">
        <w:rPr>
          <w:rFonts w:ascii="Arial" w:hAnsi="Arial" w:cs="Arial"/>
        </w:rPr>
        <w:tab/>
        <w:t>The indicative NFF allocation for Central Services Block in 2020/21 is £0.</w:t>
      </w:r>
      <w:r w:rsidR="004D4A45">
        <w:rPr>
          <w:rFonts w:ascii="Arial" w:hAnsi="Arial" w:cs="Arial"/>
        </w:rPr>
        <w:t>769</w:t>
      </w:r>
      <w:r w:rsidR="00F662F7">
        <w:rPr>
          <w:rFonts w:ascii="Arial" w:hAnsi="Arial" w:cs="Arial"/>
        </w:rPr>
        <w:t>m</w:t>
      </w:r>
      <w:r w:rsidR="004D4A45">
        <w:rPr>
          <w:rFonts w:ascii="Arial" w:hAnsi="Arial" w:cs="Arial"/>
        </w:rPr>
        <w:t xml:space="preserve"> (£0.828m in 2020/21)</w:t>
      </w:r>
      <w:r w:rsidR="00F662F7">
        <w:rPr>
          <w:rFonts w:ascii="Arial" w:hAnsi="Arial" w:cs="Arial"/>
        </w:rPr>
        <w:t xml:space="preserve">. Schools’ Forum </w:t>
      </w:r>
      <w:r w:rsidR="004D4A45">
        <w:rPr>
          <w:rFonts w:ascii="Arial" w:hAnsi="Arial" w:cs="Arial"/>
        </w:rPr>
        <w:t>are considering a separate report on this meeting agenda for the CSSB budget requirement in 2021/22. If approved, the budget requirement of £0.554m would leave £0.</w:t>
      </w:r>
      <w:r>
        <w:rPr>
          <w:rFonts w:ascii="Arial" w:hAnsi="Arial" w:cs="Arial"/>
        </w:rPr>
        <w:t>199</w:t>
      </w:r>
      <w:r w:rsidR="004D4A45">
        <w:rPr>
          <w:rFonts w:ascii="Arial" w:hAnsi="Arial" w:cs="Arial"/>
        </w:rPr>
        <w:t xml:space="preserve">m of residual funding to transfer in to the Schools Block to support ISBs in 2021/22. </w:t>
      </w:r>
    </w:p>
    <w:p w14:paraId="4B09D7B3" w14:textId="77777777" w:rsidR="005637BF" w:rsidRDefault="005637BF" w:rsidP="00E32CB2">
      <w:pPr>
        <w:ind w:left="720" w:hanging="720"/>
        <w:rPr>
          <w:rFonts w:ascii="Arial" w:hAnsi="Arial" w:cs="Arial"/>
        </w:rPr>
      </w:pPr>
    </w:p>
    <w:p w14:paraId="53A4BAAE" w14:textId="08120776" w:rsidR="005637BF" w:rsidRDefault="000B18C6" w:rsidP="001B3D3B">
      <w:pPr>
        <w:ind w:left="720" w:hanging="720"/>
        <w:rPr>
          <w:rFonts w:ascii="Arial" w:hAnsi="Arial" w:cs="Arial"/>
        </w:rPr>
      </w:pPr>
      <w:r>
        <w:rPr>
          <w:rFonts w:ascii="Arial" w:hAnsi="Arial" w:cs="Arial"/>
        </w:rPr>
        <w:t>5.4</w:t>
      </w:r>
      <w:r w:rsidR="005637BF">
        <w:rPr>
          <w:rFonts w:ascii="Arial" w:hAnsi="Arial" w:cs="Arial"/>
        </w:rPr>
        <w:tab/>
      </w:r>
      <w:r w:rsidR="001B3D3B">
        <w:rPr>
          <w:rFonts w:ascii="Arial" w:hAnsi="Arial" w:cs="Arial"/>
        </w:rPr>
        <w:t>Schools’ Forum are considering a separate report on this same agenda relating to the High Needs Block budget requirement for 2021/22. At this stage, nil transfer from the Schools Block to the High Needs Block has been assumed for 2021/22.</w:t>
      </w:r>
    </w:p>
    <w:p w14:paraId="719A7814" w14:textId="77777777" w:rsidR="00CC13BE" w:rsidRDefault="00CC13BE" w:rsidP="00E32CB2">
      <w:pPr>
        <w:ind w:left="720" w:hanging="720"/>
        <w:rPr>
          <w:rFonts w:ascii="Arial" w:hAnsi="Arial" w:cs="Arial"/>
        </w:rPr>
      </w:pPr>
    </w:p>
    <w:p w14:paraId="4DFD936C" w14:textId="57554B61" w:rsidR="00CC13BE" w:rsidRDefault="000B18C6" w:rsidP="00B66C3B">
      <w:pPr>
        <w:ind w:left="720" w:hanging="720"/>
        <w:rPr>
          <w:rFonts w:ascii="Arial" w:hAnsi="Arial" w:cs="Arial"/>
        </w:rPr>
      </w:pPr>
      <w:r>
        <w:rPr>
          <w:rFonts w:ascii="Arial" w:hAnsi="Arial" w:cs="Arial"/>
        </w:rPr>
        <w:t>5.5</w:t>
      </w:r>
      <w:r w:rsidR="00CC13BE">
        <w:rPr>
          <w:rFonts w:ascii="Arial" w:hAnsi="Arial" w:cs="Arial"/>
        </w:rPr>
        <w:t xml:space="preserve"> </w:t>
      </w:r>
      <w:r w:rsidR="00CC13BE">
        <w:rPr>
          <w:rFonts w:ascii="Arial" w:hAnsi="Arial" w:cs="Arial"/>
        </w:rPr>
        <w:tab/>
      </w:r>
      <w:r w:rsidR="001B3D3B">
        <w:rPr>
          <w:rFonts w:ascii="Arial" w:hAnsi="Arial" w:cs="Arial"/>
        </w:rPr>
        <w:t>The Schools Revenue Funding 2021 to 2022</w:t>
      </w:r>
      <w:r w:rsidR="00CC13BE">
        <w:rPr>
          <w:rFonts w:ascii="Arial" w:hAnsi="Arial" w:cs="Arial"/>
        </w:rPr>
        <w:t xml:space="preserve"> Operational Guide allows for block transfers of </w:t>
      </w:r>
      <w:r w:rsidR="007B2BA5">
        <w:rPr>
          <w:rFonts w:ascii="Arial" w:hAnsi="Arial" w:cs="Arial"/>
        </w:rPr>
        <w:t xml:space="preserve">up to 0.5% from schools block to another block, with approval from Schools’ Forum. The </w:t>
      </w:r>
      <w:r w:rsidR="001B3D3B">
        <w:rPr>
          <w:rFonts w:ascii="Arial" w:hAnsi="Arial" w:cs="Arial"/>
        </w:rPr>
        <w:t>0.5% would equate to a transfer of £0.354m.</w:t>
      </w:r>
    </w:p>
    <w:p w14:paraId="140D6F54" w14:textId="77777777" w:rsidR="00E32CB2" w:rsidRDefault="00E32CB2" w:rsidP="00D22808">
      <w:pPr>
        <w:rPr>
          <w:rFonts w:ascii="Arial" w:hAnsi="Arial" w:cs="Arial"/>
        </w:rPr>
      </w:pPr>
    </w:p>
    <w:p w14:paraId="62749BDE" w14:textId="77777777" w:rsidR="00973CB9" w:rsidRDefault="00973CB9" w:rsidP="00D22808">
      <w:pPr>
        <w:rPr>
          <w:rFonts w:ascii="Arial" w:hAnsi="Arial" w:cs="Arial"/>
        </w:rPr>
      </w:pPr>
    </w:p>
    <w:p w14:paraId="2E8C6FE3" w14:textId="77777777" w:rsidR="00D22808" w:rsidRPr="004E4BFB" w:rsidRDefault="0035130A" w:rsidP="00D22808">
      <w:pPr>
        <w:ind w:left="360" w:hanging="360"/>
        <w:rPr>
          <w:rFonts w:ascii="Arial" w:hAnsi="Arial" w:cs="Arial"/>
          <w:b/>
          <w:u w:val="single"/>
        </w:rPr>
      </w:pPr>
      <w:r>
        <w:rPr>
          <w:rFonts w:ascii="Arial" w:hAnsi="Arial" w:cs="Arial"/>
          <w:b/>
        </w:rPr>
        <w:t>6</w:t>
      </w:r>
      <w:r w:rsidR="00D22808" w:rsidRPr="00741D19">
        <w:rPr>
          <w:rFonts w:ascii="Arial" w:hAnsi="Arial" w:cs="Arial"/>
          <w:b/>
        </w:rPr>
        <w:t xml:space="preserve">. </w:t>
      </w:r>
      <w:r w:rsidR="00D22808" w:rsidRPr="00741D19">
        <w:rPr>
          <w:rFonts w:ascii="Arial" w:hAnsi="Arial" w:cs="Arial"/>
          <w:b/>
        </w:rPr>
        <w:tab/>
      </w:r>
      <w:r w:rsidR="00D22808" w:rsidRPr="00741D19">
        <w:rPr>
          <w:rFonts w:ascii="Arial" w:hAnsi="Arial" w:cs="Arial"/>
          <w:b/>
        </w:rPr>
        <w:tab/>
      </w:r>
      <w:r w:rsidR="00766A24">
        <w:rPr>
          <w:rFonts w:ascii="Arial" w:hAnsi="Arial" w:cs="Arial"/>
          <w:b/>
          <w:u w:val="single"/>
        </w:rPr>
        <w:t xml:space="preserve">Setting a Local Policy </w:t>
      </w:r>
      <w:r w:rsidR="00454EDB">
        <w:rPr>
          <w:rFonts w:ascii="Arial" w:hAnsi="Arial" w:cs="Arial"/>
          <w:b/>
          <w:u w:val="single"/>
        </w:rPr>
        <w:t>for MFG and Capping</w:t>
      </w:r>
    </w:p>
    <w:p w14:paraId="5CAD21F1" w14:textId="77777777" w:rsidR="00D22808" w:rsidRPr="00D22808" w:rsidRDefault="00D22808" w:rsidP="00D22808">
      <w:pPr>
        <w:rPr>
          <w:rFonts w:ascii="Arial" w:hAnsi="Arial" w:cs="Arial"/>
        </w:rPr>
      </w:pPr>
    </w:p>
    <w:p w14:paraId="78FC0984" w14:textId="77777777" w:rsidR="00744CFF" w:rsidRDefault="0035130A" w:rsidP="00744CFF">
      <w:pPr>
        <w:ind w:left="720" w:hanging="720"/>
        <w:rPr>
          <w:rFonts w:ascii="Arial" w:hAnsi="Arial" w:cs="Arial"/>
        </w:rPr>
      </w:pPr>
      <w:r>
        <w:rPr>
          <w:rFonts w:ascii="Arial" w:hAnsi="Arial" w:cs="Arial"/>
        </w:rPr>
        <w:t>6</w:t>
      </w:r>
      <w:r w:rsidR="00744CFF">
        <w:rPr>
          <w:rFonts w:ascii="Arial" w:hAnsi="Arial" w:cs="Arial"/>
        </w:rPr>
        <w:t>.1</w:t>
      </w:r>
      <w:r w:rsidR="00744CFF">
        <w:rPr>
          <w:rFonts w:ascii="Arial" w:hAnsi="Arial" w:cs="Arial"/>
        </w:rPr>
        <w:tab/>
      </w:r>
      <w:r w:rsidR="000E2752">
        <w:rPr>
          <w:rFonts w:ascii="Arial" w:hAnsi="Arial" w:cs="Arial"/>
        </w:rPr>
        <w:t>The regulations continue to allow a local policy for a minimum funding guarantee (MFG) and cap so that any excessive year-on year changes can be protected against.</w:t>
      </w:r>
    </w:p>
    <w:p w14:paraId="78060D87" w14:textId="77777777" w:rsidR="001A0974" w:rsidRDefault="001A0974" w:rsidP="00744CFF">
      <w:pPr>
        <w:ind w:left="720" w:hanging="720"/>
        <w:rPr>
          <w:rFonts w:ascii="Arial" w:hAnsi="Arial" w:cs="Arial"/>
        </w:rPr>
      </w:pPr>
    </w:p>
    <w:p w14:paraId="1B41E88F" w14:textId="77777777" w:rsidR="001A0974" w:rsidRDefault="001B3D3B" w:rsidP="00744CFF">
      <w:pPr>
        <w:ind w:left="720" w:hanging="720"/>
        <w:rPr>
          <w:rFonts w:ascii="Arial" w:hAnsi="Arial" w:cs="Arial"/>
        </w:rPr>
      </w:pPr>
      <w:r>
        <w:rPr>
          <w:rFonts w:ascii="Arial" w:hAnsi="Arial" w:cs="Arial"/>
        </w:rPr>
        <w:t>6.2</w:t>
      </w:r>
      <w:r>
        <w:rPr>
          <w:rFonts w:ascii="Arial" w:hAnsi="Arial" w:cs="Arial"/>
        </w:rPr>
        <w:tab/>
        <w:t>For 2021/22</w:t>
      </w:r>
      <w:r w:rsidR="001A0974">
        <w:rPr>
          <w:rFonts w:ascii="Arial" w:hAnsi="Arial" w:cs="Arial"/>
        </w:rPr>
        <w:t xml:space="preserve">, a local MFG can be applied in </w:t>
      </w:r>
      <w:r w:rsidR="00B5095E">
        <w:rPr>
          <w:rFonts w:ascii="Arial" w:hAnsi="Arial" w:cs="Arial"/>
        </w:rPr>
        <w:t>the range of +0.5% to +2.00</w:t>
      </w:r>
      <w:r w:rsidR="001A0974">
        <w:rPr>
          <w:rFonts w:ascii="Arial" w:hAnsi="Arial" w:cs="Arial"/>
        </w:rPr>
        <w:t>%.</w:t>
      </w:r>
    </w:p>
    <w:p w14:paraId="4A837ACF" w14:textId="77777777" w:rsidR="00744CFF" w:rsidRDefault="00744CFF" w:rsidP="00744CFF">
      <w:pPr>
        <w:ind w:left="720" w:hanging="720"/>
        <w:rPr>
          <w:rFonts w:ascii="Arial" w:hAnsi="Arial" w:cs="Arial"/>
        </w:rPr>
      </w:pPr>
    </w:p>
    <w:p w14:paraId="310B2E44" w14:textId="77777777" w:rsidR="00386059" w:rsidRDefault="0035130A" w:rsidP="000E2752">
      <w:pPr>
        <w:ind w:left="720" w:hanging="720"/>
        <w:rPr>
          <w:rFonts w:ascii="Arial" w:hAnsi="Arial" w:cs="Arial"/>
        </w:rPr>
      </w:pPr>
      <w:r>
        <w:rPr>
          <w:rFonts w:ascii="Arial" w:hAnsi="Arial" w:cs="Arial"/>
        </w:rPr>
        <w:t>6</w:t>
      </w:r>
      <w:r w:rsidR="001A0974">
        <w:rPr>
          <w:rFonts w:ascii="Arial" w:hAnsi="Arial" w:cs="Arial"/>
        </w:rPr>
        <w:t>.3</w:t>
      </w:r>
      <w:r w:rsidR="00744CFF">
        <w:rPr>
          <w:rFonts w:ascii="Arial" w:hAnsi="Arial" w:cs="Arial"/>
        </w:rPr>
        <w:tab/>
      </w:r>
      <w:r w:rsidR="00730D1F">
        <w:rPr>
          <w:rFonts w:ascii="Arial" w:hAnsi="Arial" w:cs="Arial"/>
        </w:rPr>
        <w:t>F</w:t>
      </w:r>
      <w:r w:rsidR="00B5095E">
        <w:rPr>
          <w:rFonts w:ascii="Arial" w:hAnsi="Arial" w:cs="Arial"/>
        </w:rPr>
        <w:t>or 2020/21</w:t>
      </w:r>
      <w:r w:rsidR="00B469B0">
        <w:rPr>
          <w:rFonts w:ascii="Arial" w:hAnsi="Arial" w:cs="Arial"/>
        </w:rPr>
        <w:t xml:space="preserve">, </w:t>
      </w:r>
      <w:r w:rsidR="000E2752">
        <w:rPr>
          <w:rFonts w:ascii="Arial" w:hAnsi="Arial" w:cs="Arial"/>
        </w:rPr>
        <w:t xml:space="preserve">a local policy was applied on the basis of </w:t>
      </w:r>
      <w:r w:rsidR="00B5095E">
        <w:rPr>
          <w:rFonts w:ascii="Arial" w:hAnsi="Arial" w:cs="Arial"/>
        </w:rPr>
        <w:t>the maximum allowable</w:t>
      </w:r>
      <w:r w:rsidR="000E2752">
        <w:rPr>
          <w:rFonts w:ascii="Arial" w:hAnsi="Arial" w:cs="Arial"/>
        </w:rPr>
        <w:t xml:space="preserve"> MFG of </w:t>
      </w:r>
      <w:r w:rsidR="00B5095E">
        <w:rPr>
          <w:rFonts w:ascii="Arial" w:hAnsi="Arial" w:cs="Arial"/>
        </w:rPr>
        <w:t>1.84% (for 2021/22, this has increased to a 2% maximum). No cap was applied locally in 2020/21 as the MFG was affordable within the formula without needing to recoup funding via a cap.</w:t>
      </w:r>
    </w:p>
    <w:p w14:paraId="14FAC318" w14:textId="77777777" w:rsidR="00690A42" w:rsidRDefault="00690A42" w:rsidP="00FC2304">
      <w:pPr>
        <w:ind w:left="709" w:hanging="709"/>
        <w:rPr>
          <w:rFonts w:ascii="Arial" w:hAnsi="Arial" w:cs="Arial"/>
        </w:rPr>
      </w:pPr>
    </w:p>
    <w:p w14:paraId="00380C8A" w14:textId="625A8229" w:rsidR="00D22808" w:rsidRPr="00781E1A" w:rsidRDefault="00D22808" w:rsidP="00781E1A">
      <w:pPr>
        <w:rPr>
          <w:rFonts w:ascii="Arial" w:hAnsi="Arial" w:cs="Arial"/>
        </w:rPr>
      </w:pPr>
    </w:p>
    <w:p w14:paraId="0145BA17" w14:textId="29C86CBB" w:rsidR="00FC2304" w:rsidRPr="00781E1A" w:rsidRDefault="00781E1A" w:rsidP="00FC2304">
      <w:pPr>
        <w:ind w:left="709" w:hanging="709"/>
        <w:rPr>
          <w:rFonts w:ascii="Arial" w:hAnsi="Arial" w:cs="Arial"/>
          <w:b/>
          <w:u w:val="single"/>
        </w:rPr>
      </w:pPr>
      <w:r>
        <w:rPr>
          <w:rFonts w:ascii="Arial" w:hAnsi="Arial" w:cs="Arial"/>
          <w:b/>
        </w:rPr>
        <w:t>7</w:t>
      </w:r>
      <w:r w:rsidR="00D22808" w:rsidRPr="00781E1A">
        <w:rPr>
          <w:rFonts w:ascii="Arial" w:hAnsi="Arial" w:cs="Arial"/>
          <w:b/>
        </w:rPr>
        <w:t>.</w:t>
      </w:r>
      <w:r w:rsidR="00FC2304" w:rsidRPr="00781E1A">
        <w:rPr>
          <w:rFonts w:ascii="Arial" w:hAnsi="Arial" w:cs="Arial"/>
        </w:rPr>
        <w:tab/>
      </w:r>
      <w:r w:rsidR="00FC2304" w:rsidRPr="00781E1A">
        <w:rPr>
          <w:rFonts w:ascii="Arial" w:hAnsi="Arial" w:cs="Arial"/>
          <w:b/>
          <w:u w:val="single"/>
        </w:rPr>
        <w:t>Recommendations</w:t>
      </w:r>
    </w:p>
    <w:p w14:paraId="6B00C16C" w14:textId="77777777" w:rsidR="00FC2304" w:rsidRPr="00781E1A" w:rsidRDefault="00FC2304" w:rsidP="00FC2304">
      <w:pPr>
        <w:ind w:left="709" w:hanging="709"/>
        <w:rPr>
          <w:rFonts w:ascii="Arial" w:hAnsi="Arial" w:cs="Arial"/>
          <w:b/>
          <w:u w:val="single"/>
        </w:rPr>
      </w:pPr>
    </w:p>
    <w:p w14:paraId="456759C4" w14:textId="1909EF54" w:rsidR="005F61E4" w:rsidRPr="00AB6A20" w:rsidRDefault="00AB6A20" w:rsidP="00AB6A20">
      <w:pPr>
        <w:pStyle w:val="ListParagraph"/>
        <w:numPr>
          <w:ilvl w:val="1"/>
          <w:numId w:val="27"/>
        </w:numPr>
        <w:rPr>
          <w:rFonts w:ascii="Arial" w:hAnsi="Arial" w:cs="Arial"/>
        </w:rPr>
      </w:pPr>
      <w:r>
        <w:rPr>
          <w:rFonts w:ascii="Arial" w:hAnsi="Arial" w:cs="Arial"/>
        </w:rPr>
        <w:t xml:space="preserve">     </w:t>
      </w:r>
      <w:r w:rsidR="00D22808" w:rsidRPr="00AB6A20">
        <w:rPr>
          <w:rFonts w:ascii="Arial" w:hAnsi="Arial" w:cs="Arial"/>
        </w:rPr>
        <w:t>Forum is recommended to</w:t>
      </w:r>
      <w:r w:rsidRPr="00AB6A20">
        <w:rPr>
          <w:rFonts w:ascii="Arial" w:hAnsi="Arial" w:cs="Arial"/>
        </w:rPr>
        <w:t xml:space="preserve"> </w:t>
      </w:r>
      <w:r w:rsidR="00424395" w:rsidRPr="00AB6A20">
        <w:rPr>
          <w:rFonts w:ascii="Arial" w:hAnsi="Arial" w:cs="Arial"/>
        </w:rPr>
        <w:t xml:space="preserve">note </w:t>
      </w:r>
      <w:r w:rsidR="002F0AE1" w:rsidRPr="00AB6A20">
        <w:rPr>
          <w:rFonts w:ascii="Arial" w:hAnsi="Arial" w:cs="Arial"/>
        </w:rPr>
        <w:t xml:space="preserve">the formula changes </w:t>
      </w:r>
      <w:r w:rsidR="00781E1A" w:rsidRPr="00AB6A20">
        <w:rPr>
          <w:rFonts w:ascii="Arial" w:hAnsi="Arial" w:cs="Arial"/>
        </w:rPr>
        <w:t>for 2021/22</w:t>
      </w:r>
      <w:r w:rsidR="00424395" w:rsidRPr="00AB6A20">
        <w:rPr>
          <w:rFonts w:ascii="Arial" w:hAnsi="Arial" w:cs="Arial"/>
        </w:rPr>
        <w:t xml:space="preserve"> </w:t>
      </w:r>
      <w:r w:rsidR="002F0AE1" w:rsidRPr="00AB6A20">
        <w:rPr>
          <w:rFonts w:ascii="Arial" w:hAnsi="Arial" w:cs="Arial"/>
        </w:rPr>
        <w:t xml:space="preserve">outlined </w:t>
      </w:r>
      <w:r w:rsidR="00424395" w:rsidRPr="00AB6A20">
        <w:rPr>
          <w:rFonts w:ascii="Arial" w:hAnsi="Arial" w:cs="Arial"/>
        </w:rPr>
        <w:t>in this report</w:t>
      </w:r>
    </w:p>
    <w:p w14:paraId="4133F02E" w14:textId="77777777" w:rsidR="005F61E4" w:rsidRDefault="005F61E4">
      <w:pPr>
        <w:spacing w:after="200" w:line="276" w:lineRule="auto"/>
        <w:rPr>
          <w:rFonts w:ascii="Arial" w:hAnsi="Arial" w:cs="Arial"/>
        </w:rPr>
      </w:pPr>
      <w:r>
        <w:rPr>
          <w:rFonts w:ascii="Arial" w:hAnsi="Arial" w:cs="Arial"/>
        </w:rPr>
        <w:br w:type="page"/>
      </w:r>
    </w:p>
    <w:p w14:paraId="76ABB276" w14:textId="0EFD13C9" w:rsidR="00FC2304" w:rsidRDefault="005F61E4" w:rsidP="005F61E4">
      <w:pPr>
        <w:rPr>
          <w:rFonts w:ascii="Arial" w:hAnsi="Arial" w:cs="Arial"/>
        </w:rPr>
      </w:pPr>
      <w:r>
        <w:rPr>
          <w:rFonts w:ascii="Arial" w:hAnsi="Arial" w:cs="Arial"/>
        </w:rPr>
        <w:lastRenderedPageBreak/>
        <w:t>APPENDIX A: Funding Factor Increases</w:t>
      </w:r>
    </w:p>
    <w:p w14:paraId="03D7F5CB" w14:textId="77777777" w:rsidR="005F61E4" w:rsidRDefault="005F61E4" w:rsidP="005F61E4">
      <w:pPr>
        <w:rPr>
          <w:rFonts w:ascii="Arial" w:hAnsi="Arial" w:cs="Arial"/>
        </w:rPr>
      </w:pPr>
    </w:p>
    <w:tbl>
      <w:tblPr>
        <w:tblStyle w:val="TableGrid"/>
        <w:tblW w:w="0" w:type="auto"/>
        <w:tblLook w:val="04A0" w:firstRow="1" w:lastRow="0" w:firstColumn="1" w:lastColumn="0" w:noHBand="0" w:noVBand="1"/>
      </w:tblPr>
      <w:tblGrid>
        <w:gridCol w:w="3176"/>
        <w:gridCol w:w="2144"/>
        <w:gridCol w:w="2329"/>
        <w:gridCol w:w="2262"/>
      </w:tblGrid>
      <w:tr w:rsidR="00DC4487" w14:paraId="0F4806DF" w14:textId="1DF84694" w:rsidTr="00DC4487">
        <w:tc>
          <w:tcPr>
            <w:tcW w:w="3176" w:type="dxa"/>
            <w:shd w:val="clear" w:color="auto" w:fill="B6DDE8" w:themeFill="accent5" w:themeFillTint="66"/>
          </w:tcPr>
          <w:p w14:paraId="495CB9F2" w14:textId="6C44134C" w:rsidR="00DC4487" w:rsidRDefault="00DC4487" w:rsidP="00DC4487">
            <w:pPr>
              <w:jc w:val="center"/>
              <w:rPr>
                <w:rFonts w:ascii="Arial" w:hAnsi="Arial" w:cs="Arial"/>
              </w:rPr>
            </w:pPr>
            <w:r>
              <w:rPr>
                <w:rFonts w:ascii="Arial" w:hAnsi="Arial" w:cs="Arial"/>
              </w:rPr>
              <w:t>Factor</w:t>
            </w:r>
          </w:p>
        </w:tc>
        <w:tc>
          <w:tcPr>
            <w:tcW w:w="2144" w:type="dxa"/>
            <w:shd w:val="clear" w:color="auto" w:fill="B6DDE8" w:themeFill="accent5" w:themeFillTint="66"/>
          </w:tcPr>
          <w:p w14:paraId="05565CB9" w14:textId="00E94E1C" w:rsidR="00DC4487" w:rsidRDefault="00DC4487" w:rsidP="00DC4487">
            <w:pPr>
              <w:jc w:val="center"/>
              <w:rPr>
                <w:rFonts w:ascii="Arial" w:hAnsi="Arial" w:cs="Arial"/>
              </w:rPr>
            </w:pPr>
            <w:r>
              <w:rPr>
                <w:rFonts w:ascii="Arial" w:hAnsi="Arial" w:cs="Arial"/>
              </w:rPr>
              <w:t>2020/21</w:t>
            </w:r>
          </w:p>
        </w:tc>
        <w:tc>
          <w:tcPr>
            <w:tcW w:w="2329" w:type="dxa"/>
            <w:shd w:val="clear" w:color="auto" w:fill="B6DDE8" w:themeFill="accent5" w:themeFillTint="66"/>
          </w:tcPr>
          <w:p w14:paraId="5D2FD695" w14:textId="116648C3" w:rsidR="00DC4487" w:rsidRDefault="00DC4487" w:rsidP="00DC4487">
            <w:pPr>
              <w:jc w:val="center"/>
              <w:rPr>
                <w:rFonts w:ascii="Arial" w:hAnsi="Arial" w:cs="Arial"/>
              </w:rPr>
            </w:pPr>
            <w:r>
              <w:rPr>
                <w:rFonts w:ascii="Arial" w:hAnsi="Arial" w:cs="Arial"/>
              </w:rPr>
              <w:t>2021/22</w:t>
            </w:r>
          </w:p>
        </w:tc>
        <w:tc>
          <w:tcPr>
            <w:tcW w:w="2262" w:type="dxa"/>
            <w:shd w:val="clear" w:color="auto" w:fill="B6DDE8" w:themeFill="accent5" w:themeFillTint="66"/>
          </w:tcPr>
          <w:p w14:paraId="58B84D84" w14:textId="760A0DFF" w:rsidR="00DC4487" w:rsidRDefault="00DC4487" w:rsidP="00DC4487">
            <w:pPr>
              <w:jc w:val="center"/>
              <w:rPr>
                <w:rFonts w:ascii="Arial" w:hAnsi="Arial" w:cs="Arial"/>
              </w:rPr>
            </w:pPr>
            <w:r>
              <w:rPr>
                <w:rFonts w:ascii="Arial" w:hAnsi="Arial" w:cs="Arial"/>
              </w:rPr>
              <w:t>Notes</w:t>
            </w:r>
          </w:p>
        </w:tc>
      </w:tr>
      <w:tr w:rsidR="00DC4487" w14:paraId="108AC1B7" w14:textId="3182B22C" w:rsidTr="00DC4487">
        <w:tc>
          <w:tcPr>
            <w:tcW w:w="3176" w:type="dxa"/>
          </w:tcPr>
          <w:p w14:paraId="593C4C56" w14:textId="6CD57BBB" w:rsidR="00DC4487" w:rsidRDefault="00DC4487" w:rsidP="005F61E4">
            <w:pPr>
              <w:rPr>
                <w:rFonts w:ascii="Arial" w:hAnsi="Arial" w:cs="Arial"/>
              </w:rPr>
            </w:pPr>
            <w:r>
              <w:rPr>
                <w:rFonts w:ascii="Arial" w:hAnsi="Arial" w:cs="Arial"/>
              </w:rPr>
              <w:t>Basic Entitlement (AWPU) - Primary</w:t>
            </w:r>
          </w:p>
        </w:tc>
        <w:tc>
          <w:tcPr>
            <w:tcW w:w="2144" w:type="dxa"/>
          </w:tcPr>
          <w:p w14:paraId="79496956" w14:textId="38920456" w:rsidR="00DC4487" w:rsidRDefault="00DC4487" w:rsidP="00DC4487">
            <w:pPr>
              <w:jc w:val="right"/>
              <w:rPr>
                <w:rFonts w:ascii="Arial" w:hAnsi="Arial" w:cs="Arial"/>
              </w:rPr>
            </w:pPr>
            <w:r>
              <w:rPr>
                <w:rFonts w:ascii="Arial" w:hAnsi="Arial" w:cs="Arial"/>
              </w:rPr>
              <w:t>£2,857</w:t>
            </w:r>
          </w:p>
        </w:tc>
        <w:tc>
          <w:tcPr>
            <w:tcW w:w="2329" w:type="dxa"/>
          </w:tcPr>
          <w:p w14:paraId="105B103E" w14:textId="5BD6FAE1" w:rsidR="00DC4487" w:rsidRDefault="00DC4487" w:rsidP="00DC4487">
            <w:pPr>
              <w:jc w:val="right"/>
              <w:rPr>
                <w:rFonts w:ascii="Arial" w:hAnsi="Arial" w:cs="Arial"/>
              </w:rPr>
            </w:pPr>
            <w:r>
              <w:rPr>
                <w:rFonts w:ascii="Arial" w:hAnsi="Arial" w:cs="Arial"/>
              </w:rPr>
              <w:t>£3,123</w:t>
            </w:r>
          </w:p>
        </w:tc>
        <w:tc>
          <w:tcPr>
            <w:tcW w:w="2262" w:type="dxa"/>
          </w:tcPr>
          <w:p w14:paraId="7DFA0711" w14:textId="7AC7EEF0" w:rsidR="00DC4487" w:rsidRPr="00DC4487" w:rsidRDefault="00DC4487" w:rsidP="00DC4487">
            <w:pPr>
              <w:rPr>
                <w:rFonts w:ascii="Arial" w:hAnsi="Arial" w:cs="Arial"/>
                <w:sz w:val="20"/>
                <w:szCs w:val="20"/>
              </w:rPr>
            </w:pPr>
            <w:r w:rsidRPr="00DC4487">
              <w:rPr>
                <w:rFonts w:ascii="Arial" w:hAnsi="Arial" w:cs="Arial"/>
                <w:sz w:val="20"/>
                <w:szCs w:val="20"/>
              </w:rPr>
              <w:t>2021/22 includes £180 TPG and TPECG</w:t>
            </w:r>
          </w:p>
        </w:tc>
      </w:tr>
      <w:tr w:rsidR="00DC4487" w14:paraId="03855606" w14:textId="7BEE0325" w:rsidTr="00DC4487">
        <w:tc>
          <w:tcPr>
            <w:tcW w:w="3176" w:type="dxa"/>
          </w:tcPr>
          <w:p w14:paraId="5CEFAAC9" w14:textId="1F03D981" w:rsidR="00DC4487" w:rsidRPr="00DC4487" w:rsidRDefault="00DC4487" w:rsidP="00DC4487">
            <w:pPr>
              <w:rPr>
                <w:rFonts w:ascii="Arial" w:hAnsi="Arial" w:cs="Arial"/>
              </w:rPr>
            </w:pPr>
            <w:r w:rsidRPr="00DC4487">
              <w:rPr>
                <w:rFonts w:ascii="Arial" w:hAnsi="Arial" w:cs="Arial"/>
              </w:rPr>
              <w:t>Basic Entitlement (AWPU) – KS3</w:t>
            </w:r>
          </w:p>
        </w:tc>
        <w:tc>
          <w:tcPr>
            <w:tcW w:w="2144" w:type="dxa"/>
          </w:tcPr>
          <w:p w14:paraId="7177CDD0" w14:textId="60CDD3C8" w:rsidR="00DC4487" w:rsidRDefault="00DC4487" w:rsidP="00DC4487">
            <w:pPr>
              <w:jc w:val="right"/>
              <w:rPr>
                <w:rFonts w:ascii="Arial" w:hAnsi="Arial" w:cs="Arial"/>
              </w:rPr>
            </w:pPr>
            <w:r>
              <w:rPr>
                <w:rFonts w:ascii="Arial" w:hAnsi="Arial" w:cs="Arial"/>
              </w:rPr>
              <w:t>£4,018</w:t>
            </w:r>
          </w:p>
        </w:tc>
        <w:tc>
          <w:tcPr>
            <w:tcW w:w="2329" w:type="dxa"/>
          </w:tcPr>
          <w:p w14:paraId="1C1F9AE0" w14:textId="61636539" w:rsidR="00DC4487" w:rsidRDefault="00DC4487" w:rsidP="00DC4487">
            <w:pPr>
              <w:jc w:val="right"/>
              <w:rPr>
                <w:rFonts w:ascii="Arial" w:hAnsi="Arial" w:cs="Arial"/>
              </w:rPr>
            </w:pPr>
            <w:r>
              <w:rPr>
                <w:rFonts w:ascii="Arial" w:hAnsi="Arial" w:cs="Arial"/>
              </w:rPr>
              <w:t>£4,404</w:t>
            </w:r>
          </w:p>
        </w:tc>
        <w:tc>
          <w:tcPr>
            <w:tcW w:w="2262" w:type="dxa"/>
            <w:vMerge w:val="restart"/>
          </w:tcPr>
          <w:p w14:paraId="74FB98E6" w14:textId="026B377D" w:rsidR="00DC4487" w:rsidRPr="00DC4487" w:rsidRDefault="00DC4487" w:rsidP="00DC4487">
            <w:pPr>
              <w:rPr>
                <w:rFonts w:ascii="Arial" w:hAnsi="Arial" w:cs="Arial"/>
                <w:sz w:val="20"/>
                <w:szCs w:val="20"/>
              </w:rPr>
            </w:pPr>
            <w:r>
              <w:rPr>
                <w:rFonts w:ascii="Arial" w:hAnsi="Arial" w:cs="Arial"/>
                <w:sz w:val="20"/>
                <w:szCs w:val="20"/>
              </w:rPr>
              <w:t>2021/22 includes £265</w:t>
            </w:r>
            <w:r w:rsidRPr="00DC4487">
              <w:rPr>
                <w:rFonts w:ascii="Arial" w:hAnsi="Arial" w:cs="Arial"/>
                <w:sz w:val="20"/>
                <w:szCs w:val="20"/>
              </w:rPr>
              <w:t xml:space="preserve"> TPG and TPECG</w:t>
            </w:r>
          </w:p>
        </w:tc>
      </w:tr>
      <w:tr w:rsidR="00DC4487" w14:paraId="1B486097" w14:textId="7325B67F" w:rsidTr="00DC4487">
        <w:tc>
          <w:tcPr>
            <w:tcW w:w="3176" w:type="dxa"/>
          </w:tcPr>
          <w:p w14:paraId="390CF852" w14:textId="647DB938" w:rsidR="00DC4487" w:rsidRDefault="00DC4487" w:rsidP="00DC4487">
            <w:pPr>
              <w:rPr>
                <w:rFonts w:ascii="Arial" w:hAnsi="Arial" w:cs="Arial"/>
              </w:rPr>
            </w:pPr>
            <w:r>
              <w:rPr>
                <w:rFonts w:ascii="Arial" w:hAnsi="Arial" w:cs="Arial"/>
              </w:rPr>
              <w:t>Basic Entitlement (AWPU) – KS4</w:t>
            </w:r>
          </w:p>
        </w:tc>
        <w:tc>
          <w:tcPr>
            <w:tcW w:w="2144" w:type="dxa"/>
          </w:tcPr>
          <w:p w14:paraId="419F278C" w14:textId="53427E97" w:rsidR="00DC4487" w:rsidRDefault="00DC4487" w:rsidP="00DC4487">
            <w:pPr>
              <w:jc w:val="right"/>
              <w:rPr>
                <w:rFonts w:ascii="Arial" w:hAnsi="Arial" w:cs="Arial"/>
              </w:rPr>
            </w:pPr>
            <w:r>
              <w:rPr>
                <w:rFonts w:ascii="Arial" w:hAnsi="Arial" w:cs="Arial"/>
              </w:rPr>
              <w:t>£4,561</w:t>
            </w:r>
          </w:p>
        </w:tc>
        <w:tc>
          <w:tcPr>
            <w:tcW w:w="2329" w:type="dxa"/>
          </w:tcPr>
          <w:p w14:paraId="11BD03D3" w14:textId="3D2F3398" w:rsidR="00DC4487" w:rsidRDefault="00DC4487" w:rsidP="00DC4487">
            <w:pPr>
              <w:jc w:val="right"/>
              <w:rPr>
                <w:rFonts w:ascii="Arial" w:hAnsi="Arial" w:cs="Arial"/>
              </w:rPr>
            </w:pPr>
            <w:r>
              <w:rPr>
                <w:rFonts w:ascii="Arial" w:hAnsi="Arial" w:cs="Arial"/>
              </w:rPr>
              <w:t>£4,963</w:t>
            </w:r>
          </w:p>
        </w:tc>
        <w:tc>
          <w:tcPr>
            <w:tcW w:w="2262" w:type="dxa"/>
            <w:vMerge/>
          </w:tcPr>
          <w:p w14:paraId="08D72B96" w14:textId="77777777" w:rsidR="00DC4487" w:rsidRPr="00DC4487" w:rsidRDefault="00DC4487" w:rsidP="00DC4487">
            <w:pPr>
              <w:rPr>
                <w:rFonts w:ascii="Arial" w:hAnsi="Arial" w:cs="Arial"/>
                <w:sz w:val="20"/>
                <w:szCs w:val="20"/>
              </w:rPr>
            </w:pPr>
          </w:p>
        </w:tc>
      </w:tr>
      <w:tr w:rsidR="00DC4487" w14:paraId="7B7E842E" w14:textId="41AFE04D" w:rsidTr="00DC4487">
        <w:tc>
          <w:tcPr>
            <w:tcW w:w="3176" w:type="dxa"/>
          </w:tcPr>
          <w:p w14:paraId="36363CE2" w14:textId="1C022A59" w:rsidR="00DC4487" w:rsidRDefault="00DC4487" w:rsidP="005F61E4">
            <w:pPr>
              <w:rPr>
                <w:rFonts w:ascii="Arial" w:hAnsi="Arial" w:cs="Arial"/>
              </w:rPr>
            </w:pPr>
            <w:r>
              <w:rPr>
                <w:rFonts w:ascii="Arial" w:hAnsi="Arial" w:cs="Arial"/>
              </w:rPr>
              <w:t>IDACI Band A - Primary</w:t>
            </w:r>
          </w:p>
        </w:tc>
        <w:tc>
          <w:tcPr>
            <w:tcW w:w="2144" w:type="dxa"/>
          </w:tcPr>
          <w:p w14:paraId="59CA74CE" w14:textId="28AA2EAB" w:rsidR="00DC4487" w:rsidRDefault="00DC4487" w:rsidP="00DC4487">
            <w:pPr>
              <w:jc w:val="right"/>
              <w:rPr>
                <w:rFonts w:ascii="Arial" w:hAnsi="Arial" w:cs="Arial"/>
              </w:rPr>
            </w:pPr>
            <w:r>
              <w:rPr>
                <w:rFonts w:ascii="Arial" w:hAnsi="Arial" w:cs="Arial"/>
              </w:rPr>
              <w:t>£600</w:t>
            </w:r>
          </w:p>
        </w:tc>
        <w:tc>
          <w:tcPr>
            <w:tcW w:w="2329" w:type="dxa"/>
          </w:tcPr>
          <w:p w14:paraId="46EFE059" w14:textId="56DB19AC" w:rsidR="00DC4487" w:rsidRDefault="00DC4487" w:rsidP="00DC4487">
            <w:pPr>
              <w:jc w:val="right"/>
              <w:rPr>
                <w:rFonts w:ascii="Arial" w:hAnsi="Arial" w:cs="Arial"/>
              </w:rPr>
            </w:pPr>
            <w:r>
              <w:rPr>
                <w:rFonts w:ascii="Arial" w:hAnsi="Arial" w:cs="Arial"/>
              </w:rPr>
              <w:t>£620</w:t>
            </w:r>
          </w:p>
        </w:tc>
        <w:tc>
          <w:tcPr>
            <w:tcW w:w="2262" w:type="dxa"/>
          </w:tcPr>
          <w:p w14:paraId="133CB667" w14:textId="77777777" w:rsidR="00DC4487" w:rsidRPr="00DC4487" w:rsidRDefault="00DC4487" w:rsidP="00DC4487">
            <w:pPr>
              <w:rPr>
                <w:rFonts w:ascii="Arial" w:hAnsi="Arial" w:cs="Arial"/>
                <w:sz w:val="20"/>
                <w:szCs w:val="20"/>
              </w:rPr>
            </w:pPr>
          </w:p>
        </w:tc>
      </w:tr>
      <w:tr w:rsidR="00DC4487" w14:paraId="522FEF5C" w14:textId="1B2E4B63" w:rsidTr="00DC4487">
        <w:tc>
          <w:tcPr>
            <w:tcW w:w="3176" w:type="dxa"/>
          </w:tcPr>
          <w:p w14:paraId="3FA1CE59" w14:textId="5D07D4D9" w:rsidR="00DC4487" w:rsidRDefault="00DC4487" w:rsidP="005F61E4">
            <w:pPr>
              <w:rPr>
                <w:rFonts w:ascii="Arial" w:hAnsi="Arial" w:cs="Arial"/>
              </w:rPr>
            </w:pPr>
            <w:r>
              <w:rPr>
                <w:rFonts w:ascii="Arial" w:hAnsi="Arial" w:cs="Arial"/>
              </w:rPr>
              <w:t>IDACI Band B – Primary</w:t>
            </w:r>
          </w:p>
        </w:tc>
        <w:tc>
          <w:tcPr>
            <w:tcW w:w="2144" w:type="dxa"/>
          </w:tcPr>
          <w:p w14:paraId="3D760D11" w14:textId="23CD161D" w:rsidR="00DC4487" w:rsidRDefault="00DC4487" w:rsidP="00DC4487">
            <w:pPr>
              <w:jc w:val="right"/>
              <w:rPr>
                <w:rFonts w:ascii="Arial" w:hAnsi="Arial" w:cs="Arial"/>
              </w:rPr>
            </w:pPr>
            <w:r>
              <w:rPr>
                <w:rFonts w:ascii="Arial" w:hAnsi="Arial" w:cs="Arial"/>
              </w:rPr>
              <w:t>£435</w:t>
            </w:r>
          </w:p>
        </w:tc>
        <w:tc>
          <w:tcPr>
            <w:tcW w:w="2329" w:type="dxa"/>
          </w:tcPr>
          <w:p w14:paraId="74E00BC1" w14:textId="2E74B1F4" w:rsidR="00DC4487" w:rsidRDefault="00DC4487" w:rsidP="00DC4487">
            <w:pPr>
              <w:jc w:val="right"/>
              <w:rPr>
                <w:rFonts w:ascii="Arial" w:hAnsi="Arial" w:cs="Arial"/>
              </w:rPr>
            </w:pPr>
            <w:r>
              <w:rPr>
                <w:rFonts w:ascii="Arial" w:hAnsi="Arial" w:cs="Arial"/>
              </w:rPr>
              <w:t>£475</w:t>
            </w:r>
          </w:p>
        </w:tc>
        <w:tc>
          <w:tcPr>
            <w:tcW w:w="2262" w:type="dxa"/>
          </w:tcPr>
          <w:p w14:paraId="5A0ED0C2" w14:textId="77777777" w:rsidR="00DC4487" w:rsidRPr="00DC4487" w:rsidRDefault="00DC4487" w:rsidP="00DC4487">
            <w:pPr>
              <w:rPr>
                <w:rFonts w:ascii="Arial" w:hAnsi="Arial" w:cs="Arial"/>
                <w:sz w:val="20"/>
                <w:szCs w:val="20"/>
              </w:rPr>
            </w:pPr>
          </w:p>
        </w:tc>
      </w:tr>
      <w:tr w:rsidR="00DC4487" w14:paraId="14FAC0F5" w14:textId="056B7A5F" w:rsidTr="00DC4487">
        <w:tc>
          <w:tcPr>
            <w:tcW w:w="3176" w:type="dxa"/>
          </w:tcPr>
          <w:p w14:paraId="13FE8D31" w14:textId="34A6D903" w:rsidR="00DC4487" w:rsidRDefault="00DC4487" w:rsidP="00C85112">
            <w:pPr>
              <w:rPr>
                <w:rFonts w:ascii="Arial" w:hAnsi="Arial" w:cs="Arial"/>
              </w:rPr>
            </w:pPr>
            <w:r>
              <w:rPr>
                <w:rFonts w:ascii="Arial" w:hAnsi="Arial" w:cs="Arial"/>
              </w:rPr>
              <w:t>IDACI Band C – Primary</w:t>
            </w:r>
          </w:p>
        </w:tc>
        <w:tc>
          <w:tcPr>
            <w:tcW w:w="2144" w:type="dxa"/>
          </w:tcPr>
          <w:p w14:paraId="277B5271" w14:textId="74914573" w:rsidR="00DC4487" w:rsidRDefault="00DC4487" w:rsidP="00DC4487">
            <w:pPr>
              <w:jc w:val="right"/>
              <w:rPr>
                <w:rFonts w:ascii="Arial" w:hAnsi="Arial" w:cs="Arial"/>
              </w:rPr>
            </w:pPr>
            <w:r>
              <w:rPr>
                <w:rFonts w:ascii="Arial" w:hAnsi="Arial" w:cs="Arial"/>
              </w:rPr>
              <w:t>£405</w:t>
            </w:r>
          </w:p>
        </w:tc>
        <w:tc>
          <w:tcPr>
            <w:tcW w:w="2329" w:type="dxa"/>
          </w:tcPr>
          <w:p w14:paraId="41167106" w14:textId="4DDBA8A5" w:rsidR="00DC4487" w:rsidRDefault="00DC4487" w:rsidP="00DC4487">
            <w:pPr>
              <w:jc w:val="right"/>
              <w:rPr>
                <w:rFonts w:ascii="Arial" w:hAnsi="Arial" w:cs="Arial"/>
              </w:rPr>
            </w:pPr>
            <w:r>
              <w:rPr>
                <w:rFonts w:ascii="Arial" w:hAnsi="Arial" w:cs="Arial"/>
              </w:rPr>
              <w:t>£445</w:t>
            </w:r>
          </w:p>
        </w:tc>
        <w:tc>
          <w:tcPr>
            <w:tcW w:w="2262" w:type="dxa"/>
          </w:tcPr>
          <w:p w14:paraId="07424477" w14:textId="77777777" w:rsidR="00DC4487" w:rsidRPr="00DC4487" w:rsidRDefault="00DC4487" w:rsidP="00DC4487">
            <w:pPr>
              <w:rPr>
                <w:rFonts w:ascii="Arial" w:hAnsi="Arial" w:cs="Arial"/>
                <w:sz w:val="20"/>
                <w:szCs w:val="20"/>
              </w:rPr>
            </w:pPr>
          </w:p>
        </w:tc>
      </w:tr>
      <w:tr w:rsidR="00DC4487" w14:paraId="198B4060" w14:textId="14493451" w:rsidTr="00DC4487">
        <w:tc>
          <w:tcPr>
            <w:tcW w:w="3176" w:type="dxa"/>
          </w:tcPr>
          <w:p w14:paraId="72C93F4F" w14:textId="52ADEE36" w:rsidR="00DC4487" w:rsidRDefault="00DC4487" w:rsidP="00C85112">
            <w:pPr>
              <w:rPr>
                <w:rFonts w:ascii="Arial" w:hAnsi="Arial" w:cs="Arial"/>
              </w:rPr>
            </w:pPr>
            <w:r>
              <w:rPr>
                <w:rFonts w:ascii="Arial" w:hAnsi="Arial" w:cs="Arial"/>
              </w:rPr>
              <w:t>IDACI Band D – Primary</w:t>
            </w:r>
          </w:p>
        </w:tc>
        <w:tc>
          <w:tcPr>
            <w:tcW w:w="2144" w:type="dxa"/>
          </w:tcPr>
          <w:p w14:paraId="2D8E9E67" w14:textId="0422323C" w:rsidR="00DC4487" w:rsidRDefault="00DC4487" w:rsidP="00DC4487">
            <w:pPr>
              <w:jc w:val="right"/>
              <w:rPr>
                <w:rFonts w:ascii="Arial" w:hAnsi="Arial" w:cs="Arial"/>
              </w:rPr>
            </w:pPr>
            <w:r>
              <w:rPr>
                <w:rFonts w:ascii="Arial" w:hAnsi="Arial" w:cs="Arial"/>
              </w:rPr>
              <w:t>£375</w:t>
            </w:r>
          </w:p>
        </w:tc>
        <w:tc>
          <w:tcPr>
            <w:tcW w:w="2329" w:type="dxa"/>
          </w:tcPr>
          <w:p w14:paraId="535FB40D" w14:textId="7EE194F5" w:rsidR="00DC4487" w:rsidRDefault="00DC4487" w:rsidP="00DC4487">
            <w:pPr>
              <w:jc w:val="right"/>
              <w:rPr>
                <w:rFonts w:ascii="Arial" w:hAnsi="Arial" w:cs="Arial"/>
              </w:rPr>
            </w:pPr>
            <w:r>
              <w:rPr>
                <w:rFonts w:ascii="Arial" w:hAnsi="Arial" w:cs="Arial"/>
              </w:rPr>
              <w:t>£410</w:t>
            </w:r>
          </w:p>
        </w:tc>
        <w:tc>
          <w:tcPr>
            <w:tcW w:w="2262" w:type="dxa"/>
          </w:tcPr>
          <w:p w14:paraId="5768CBE9" w14:textId="77777777" w:rsidR="00DC4487" w:rsidRPr="00DC4487" w:rsidRDefault="00DC4487" w:rsidP="00DC4487">
            <w:pPr>
              <w:rPr>
                <w:rFonts w:ascii="Arial" w:hAnsi="Arial" w:cs="Arial"/>
                <w:sz w:val="20"/>
                <w:szCs w:val="20"/>
              </w:rPr>
            </w:pPr>
          </w:p>
        </w:tc>
      </w:tr>
      <w:tr w:rsidR="00DC4487" w14:paraId="4C12671E" w14:textId="6A63843B" w:rsidTr="00DC4487">
        <w:tc>
          <w:tcPr>
            <w:tcW w:w="3176" w:type="dxa"/>
          </w:tcPr>
          <w:p w14:paraId="0E315AB3" w14:textId="75A5A411" w:rsidR="00DC4487" w:rsidRDefault="00DC4487" w:rsidP="00C85112">
            <w:pPr>
              <w:rPr>
                <w:rFonts w:ascii="Arial" w:hAnsi="Arial" w:cs="Arial"/>
              </w:rPr>
            </w:pPr>
            <w:r>
              <w:rPr>
                <w:rFonts w:ascii="Arial" w:hAnsi="Arial" w:cs="Arial"/>
              </w:rPr>
              <w:t>IDACI Band E – Primary</w:t>
            </w:r>
          </w:p>
        </w:tc>
        <w:tc>
          <w:tcPr>
            <w:tcW w:w="2144" w:type="dxa"/>
          </w:tcPr>
          <w:p w14:paraId="167144DE" w14:textId="2EEDD92D" w:rsidR="00DC4487" w:rsidRDefault="00DC4487" w:rsidP="00DC4487">
            <w:pPr>
              <w:jc w:val="right"/>
              <w:rPr>
                <w:rFonts w:ascii="Arial" w:hAnsi="Arial" w:cs="Arial"/>
              </w:rPr>
            </w:pPr>
            <w:r>
              <w:rPr>
                <w:rFonts w:ascii="Arial" w:hAnsi="Arial" w:cs="Arial"/>
              </w:rPr>
              <w:t>£250</w:t>
            </w:r>
          </w:p>
        </w:tc>
        <w:tc>
          <w:tcPr>
            <w:tcW w:w="2329" w:type="dxa"/>
          </w:tcPr>
          <w:p w14:paraId="126BC933" w14:textId="2F1C8519" w:rsidR="00DC4487" w:rsidRDefault="00DC4487" w:rsidP="00DC4487">
            <w:pPr>
              <w:jc w:val="right"/>
              <w:rPr>
                <w:rFonts w:ascii="Arial" w:hAnsi="Arial" w:cs="Arial"/>
              </w:rPr>
            </w:pPr>
            <w:r>
              <w:rPr>
                <w:rFonts w:ascii="Arial" w:hAnsi="Arial" w:cs="Arial"/>
              </w:rPr>
              <w:t>£260</w:t>
            </w:r>
          </w:p>
        </w:tc>
        <w:tc>
          <w:tcPr>
            <w:tcW w:w="2262" w:type="dxa"/>
          </w:tcPr>
          <w:p w14:paraId="06D4BC6E" w14:textId="77777777" w:rsidR="00DC4487" w:rsidRPr="00DC4487" w:rsidRDefault="00DC4487" w:rsidP="00DC4487">
            <w:pPr>
              <w:rPr>
                <w:rFonts w:ascii="Arial" w:hAnsi="Arial" w:cs="Arial"/>
                <w:sz w:val="20"/>
                <w:szCs w:val="20"/>
              </w:rPr>
            </w:pPr>
          </w:p>
        </w:tc>
      </w:tr>
      <w:tr w:rsidR="00DC4487" w14:paraId="562F3654" w14:textId="2A4D7824" w:rsidTr="00DC4487">
        <w:tc>
          <w:tcPr>
            <w:tcW w:w="3176" w:type="dxa"/>
          </w:tcPr>
          <w:p w14:paraId="790ACF93" w14:textId="40BF9C9C" w:rsidR="00DC4487" w:rsidRDefault="00DC4487" w:rsidP="00C85112">
            <w:pPr>
              <w:rPr>
                <w:rFonts w:ascii="Arial" w:hAnsi="Arial" w:cs="Arial"/>
              </w:rPr>
            </w:pPr>
            <w:r>
              <w:rPr>
                <w:rFonts w:ascii="Arial" w:hAnsi="Arial" w:cs="Arial"/>
              </w:rPr>
              <w:t>IDACI Band F – Primary</w:t>
            </w:r>
          </w:p>
        </w:tc>
        <w:tc>
          <w:tcPr>
            <w:tcW w:w="2144" w:type="dxa"/>
          </w:tcPr>
          <w:p w14:paraId="2ECA26E6" w14:textId="75B161B8" w:rsidR="00DC4487" w:rsidRDefault="00DC4487" w:rsidP="00DC4487">
            <w:pPr>
              <w:jc w:val="right"/>
              <w:rPr>
                <w:rFonts w:ascii="Arial" w:hAnsi="Arial" w:cs="Arial"/>
              </w:rPr>
            </w:pPr>
            <w:r>
              <w:rPr>
                <w:rFonts w:ascii="Arial" w:hAnsi="Arial" w:cs="Arial"/>
              </w:rPr>
              <w:t>£210</w:t>
            </w:r>
          </w:p>
        </w:tc>
        <w:tc>
          <w:tcPr>
            <w:tcW w:w="2329" w:type="dxa"/>
          </w:tcPr>
          <w:p w14:paraId="1C431FFF" w14:textId="742AE0ED" w:rsidR="00DC4487" w:rsidRDefault="00DC4487" w:rsidP="00DC4487">
            <w:pPr>
              <w:jc w:val="right"/>
              <w:rPr>
                <w:rFonts w:ascii="Arial" w:hAnsi="Arial" w:cs="Arial"/>
              </w:rPr>
            </w:pPr>
            <w:r>
              <w:rPr>
                <w:rFonts w:ascii="Arial" w:hAnsi="Arial" w:cs="Arial"/>
              </w:rPr>
              <w:t>£215</w:t>
            </w:r>
          </w:p>
        </w:tc>
        <w:tc>
          <w:tcPr>
            <w:tcW w:w="2262" w:type="dxa"/>
          </w:tcPr>
          <w:p w14:paraId="7906CF0C" w14:textId="77777777" w:rsidR="00DC4487" w:rsidRPr="00DC4487" w:rsidRDefault="00DC4487" w:rsidP="00DC4487">
            <w:pPr>
              <w:rPr>
                <w:rFonts w:ascii="Arial" w:hAnsi="Arial" w:cs="Arial"/>
                <w:sz w:val="20"/>
                <w:szCs w:val="20"/>
              </w:rPr>
            </w:pPr>
          </w:p>
        </w:tc>
      </w:tr>
      <w:tr w:rsidR="00DC4487" w14:paraId="1E788BF8" w14:textId="1541F4A0" w:rsidTr="00DC4487">
        <w:tc>
          <w:tcPr>
            <w:tcW w:w="3176" w:type="dxa"/>
          </w:tcPr>
          <w:p w14:paraId="4FAE18FA" w14:textId="0CC9AE0E" w:rsidR="00DC4487" w:rsidRDefault="00DC4487" w:rsidP="00C85112">
            <w:pPr>
              <w:rPr>
                <w:rFonts w:ascii="Arial" w:hAnsi="Arial" w:cs="Arial"/>
              </w:rPr>
            </w:pPr>
            <w:r>
              <w:rPr>
                <w:rFonts w:ascii="Arial" w:hAnsi="Arial" w:cs="Arial"/>
              </w:rPr>
              <w:t>IDACI Band A - Secondary</w:t>
            </w:r>
          </w:p>
        </w:tc>
        <w:tc>
          <w:tcPr>
            <w:tcW w:w="2144" w:type="dxa"/>
          </w:tcPr>
          <w:p w14:paraId="65010237" w14:textId="30FECFE6" w:rsidR="00DC4487" w:rsidRDefault="00DC4487" w:rsidP="00DC4487">
            <w:pPr>
              <w:jc w:val="right"/>
              <w:rPr>
                <w:rFonts w:ascii="Arial" w:hAnsi="Arial" w:cs="Arial"/>
              </w:rPr>
            </w:pPr>
            <w:r>
              <w:rPr>
                <w:rFonts w:ascii="Arial" w:hAnsi="Arial" w:cs="Arial"/>
              </w:rPr>
              <w:t>£840</w:t>
            </w:r>
          </w:p>
        </w:tc>
        <w:tc>
          <w:tcPr>
            <w:tcW w:w="2329" w:type="dxa"/>
          </w:tcPr>
          <w:p w14:paraId="72BED830" w14:textId="2C03E3ED" w:rsidR="00DC4487" w:rsidRDefault="00DC4487" w:rsidP="00DC4487">
            <w:pPr>
              <w:jc w:val="right"/>
              <w:rPr>
                <w:rFonts w:ascii="Arial" w:hAnsi="Arial" w:cs="Arial"/>
              </w:rPr>
            </w:pPr>
            <w:r>
              <w:rPr>
                <w:rFonts w:ascii="Arial" w:hAnsi="Arial" w:cs="Arial"/>
              </w:rPr>
              <w:t>£865</w:t>
            </w:r>
          </w:p>
        </w:tc>
        <w:tc>
          <w:tcPr>
            <w:tcW w:w="2262" w:type="dxa"/>
          </w:tcPr>
          <w:p w14:paraId="1E525BF1" w14:textId="77777777" w:rsidR="00DC4487" w:rsidRPr="00DC4487" w:rsidRDefault="00DC4487" w:rsidP="00DC4487">
            <w:pPr>
              <w:rPr>
                <w:rFonts w:ascii="Arial" w:hAnsi="Arial" w:cs="Arial"/>
                <w:sz w:val="20"/>
                <w:szCs w:val="20"/>
              </w:rPr>
            </w:pPr>
          </w:p>
        </w:tc>
      </w:tr>
      <w:tr w:rsidR="00DC4487" w14:paraId="0137C721" w14:textId="589E00C5" w:rsidTr="00DC4487">
        <w:tc>
          <w:tcPr>
            <w:tcW w:w="3176" w:type="dxa"/>
          </w:tcPr>
          <w:p w14:paraId="3E56650A" w14:textId="62EDA7BE" w:rsidR="00DC4487" w:rsidRDefault="00DC4487" w:rsidP="00C85112">
            <w:pPr>
              <w:rPr>
                <w:rFonts w:ascii="Arial" w:hAnsi="Arial" w:cs="Arial"/>
              </w:rPr>
            </w:pPr>
            <w:r>
              <w:rPr>
                <w:rFonts w:ascii="Arial" w:hAnsi="Arial" w:cs="Arial"/>
              </w:rPr>
              <w:t>IDACI Band B – Secondary</w:t>
            </w:r>
          </w:p>
        </w:tc>
        <w:tc>
          <w:tcPr>
            <w:tcW w:w="2144" w:type="dxa"/>
          </w:tcPr>
          <w:p w14:paraId="136F0215" w14:textId="3A7A6E5E" w:rsidR="00DC4487" w:rsidRDefault="00DC4487" w:rsidP="00DC4487">
            <w:pPr>
              <w:jc w:val="right"/>
              <w:rPr>
                <w:rFonts w:ascii="Arial" w:hAnsi="Arial" w:cs="Arial"/>
              </w:rPr>
            </w:pPr>
            <w:r>
              <w:rPr>
                <w:rFonts w:ascii="Arial" w:hAnsi="Arial" w:cs="Arial"/>
              </w:rPr>
              <w:t>£625</w:t>
            </w:r>
          </w:p>
        </w:tc>
        <w:tc>
          <w:tcPr>
            <w:tcW w:w="2329" w:type="dxa"/>
          </w:tcPr>
          <w:p w14:paraId="24AFA41E" w14:textId="2C4BD071" w:rsidR="00DC4487" w:rsidRDefault="00DC4487" w:rsidP="00DC4487">
            <w:pPr>
              <w:jc w:val="right"/>
              <w:rPr>
                <w:rFonts w:ascii="Arial" w:hAnsi="Arial" w:cs="Arial"/>
              </w:rPr>
            </w:pPr>
            <w:r>
              <w:rPr>
                <w:rFonts w:ascii="Arial" w:hAnsi="Arial" w:cs="Arial"/>
              </w:rPr>
              <w:t>£680</w:t>
            </w:r>
          </w:p>
        </w:tc>
        <w:tc>
          <w:tcPr>
            <w:tcW w:w="2262" w:type="dxa"/>
          </w:tcPr>
          <w:p w14:paraId="409065B3" w14:textId="77777777" w:rsidR="00DC4487" w:rsidRPr="00DC4487" w:rsidRDefault="00DC4487" w:rsidP="00DC4487">
            <w:pPr>
              <w:rPr>
                <w:rFonts w:ascii="Arial" w:hAnsi="Arial" w:cs="Arial"/>
                <w:sz w:val="20"/>
                <w:szCs w:val="20"/>
              </w:rPr>
            </w:pPr>
          </w:p>
        </w:tc>
      </w:tr>
      <w:tr w:rsidR="00DC4487" w14:paraId="2ED01F6B" w14:textId="7E9A5F96" w:rsidTr="00DC4487">
        <w:tc>
          <w:tcPr>
            <w:tcW w:w="3176" w:type="dxa"/>
          </w:tcPr>
          <w:p w14:paraId="11507ED2" w14:textId="57BDFC3F" w:rsidR="00DC4487" w:rsidRDefault="00DC4487" w:rsidP="00C85112">
            <w:pPr>
              <w:rPr>
                <w:rFonts w:ascii="Arial" w:hAnsi="Arial" w:cs="Arial"/>
              </w:rPr>
            </w:pPr>
            <w:r>
              <w:rPr>
                <w:rFonts w:ascii="Arial" w:hAnsi="Arial" w:cs="Arial"/>
              </w:rPr>
              <w:t>IDACI Band C – Secondary</w:t>
            </w:r>
          </w:p>
        </w:tc>
        <w:tc>
          <w:tcPr>
            <w:tcW w:w="2144" w:type="dxa"/>
          </w:tcPr>
          <w:p w14:paraId="581DEC85" w14:textId="05E8CE64" w:rsidR="00DC4487" w:rsidRDefault="00DC4487" w:rsidP="00DC4487">
            <w:pPr>
              <w:jc w:val="right"/>
              <w:rPr>
                <w:rFonts w:ascii="Arial" w:hAnsi="Arial" w:cs="Arial"/>
              </w:rPr>
            </w:pPr>
            <w:r>
              <w:rPr>
                <w:rFonts w:ascii="Arial" w:hAnsi="Arial" w:cs="Arial"/>
              </w:rPr>
              <w:t>£580</w:t>
            </w:r>
          </w:p>
        </w:tc>
        <w:tc>
          <w:tcPr>
            <w:tcW w:w="2329" w:type="dxa"/>
          </w:tcPr>
          <w:p w14:paraId="0F0786EE" w14:textId="7388549E" w:rsidR="00DC4487" w:rsidRDefault="00DC4487" w:rsidP="00DC4487">
            <w:pPr>
              <w:jc w:val="right"/>
              <w:rPr>
                <w:rFonts w:ascii="Arial" w:hAnsi="Arial" w:cs="Arial"/>
              </w:rPr>
            </w:pPr>
            <w:r>
              <w:rPr>
                <w:rFonts w:ascii="Arial" w:hAnsi="Arial" w:cs="Arial"/>
              </w:rPr>
              <w:t>£630</w:t>
            </w:r>
          </w:p>
        </w:tc>
        <w:tc>
          <w:tcPr>
            <w:tcW w:w="2262" w:type="dxa"/>
          </w:tcPr>
          <w:p w14:paraId="0351FC5A" w14:textId="77777777" w:rsidR="00DC4487" w:rsidRPr="00DC4487" w:rsidRDefault="00DC4487" w:rsidP="00DC4487">
            <w:pPr>
              <w:rPr>
                <w:rFonts w:ascii="Arial" w:hAnsi="Arial" w:cs="Arial"/>
                <w:sz w:val="20"/>
                <w:szCs w:val="20"/>
              </w:rPr>
            </w:pPr>
          </w:p>
        </w:tc>
      </w:tr>
      <w:tr w:rsidR="00DC4487" w14:paraId="01A15F42" w14:textId="7B4AA9BC" w:rsidTr="00DC4487">
        <w:tc>
          <w:tcPr>
            <w:tcW w:w="3176" w:type="dxa"/>
          </w:tcPr>
          <w:p w14:paraId="71C4CDDF" w14:textId="6D4365EE" w:rsidR="00DC4487" w:rsidRDefault="00DC4487" w:rsidP="00C85112">
            <w:pPr>
              <w:rPr>
                <w:rFonts w:ascii="Arial" w:hAnsi="Arial" w:cs="Arial"/>
              </w:rPr>
            </w:pPr>
            <w:r>
              <w:rPr>
                <w:rFonts w:ascii="Arial" w:hAnsi="Arial" w:cs="Arial"/>
              </w:rPr>
              <w:t>IDACI Band D – Secondary</w:t>
            </w:r>
          </w:p>
        </w:tc>
        <w:tc>
          <w:tcPr>
            <w:tcW w:w="2144" w:type="dxa"/>
          </w:tcPr>
          <w:p w14:paraId="261AD501" w14:textId="4F427552" w:rsidR="00DC4487" w:rsidRDefault="00DC4487" w:rsidP="00DC4487">
            <w:pPr>
              <w:jc w:val="right"/>
              <w:rPr>
                <w:rFonts w:ascii="Arial" w:hAnsi="Arial" w:cs="Arial"/>
              </w:rPr>
            </w:pPr>
            <w:r>
              <w:rPr>
                <w:rFonts w:ascii="Arial" w:hAnsi="Arial" w:cs="Arial"/>
              </w:rPr>
              <w:t>£535</w:t>
            </w:r>
          </w:p>
        </w:tc>
        <w:tc>
          <w:tcPr>
            <w:tcW w:w="2329" w:type="dxa"/>
          </w:tcPr>
          <w:p w14:paraId="6E6A5DE7" w14:textId="50231BDF" w:rsidR="00DC4487" w:rsidRDefault="00DC4487" w:rsidP="00DC4487">
            <w:pPr>
              <w:jc w:val="right"/>
              <w:rPr>
                <w:rFonts w:ascii="Arial" w:hAnsi="Arial" w:cs="Arial"/>
              </w:rPr>
            </w:pPr>
            <w:r>
              <w:rPr>
                <w:rFonts w:ascii="Arial" w:hAnsi="Arial" w:cs="Arial"/>
              </w:rPr>
              <w:t>£580</w:t>
            </w:r>
          </w:p>
        </w:tc>
        <w:tc>
          <w:tcPr>
            <w:tcW w:w="2262" w:type="dxa"/>
          </w:tcPr>
          <w:p w14:paraId="7A5E9578" w14:textId="77777777" w:rsidR="00DC4487" w:rsidRPr="00DC4487" w:rsidRDefault="00DC4487" w:rsidP="00DC4487">
            <w:pPr>
              <w:rPr>
                <w:rFonts w:ascii="Arial" w:hAnsi="Arial" w:cs="Arial"/>
                <w:sz w:val="20"/>
                <w:szCs w:val="20"/>
              </w:rPr>
            </w:pPr>
          </w:p>
        </w:tc>
      </w:tr>
      <w:tr w:rsidR="00DC4487" w14:paraId="71EF94E3" w14:textId="19991D66" w:rsidTr="00DC4487">
        <w:tc>
          <w:tcPr>
            <w:tcW w:w="3176" w:type="dxa"/>
          </w:tcPr>
          <w:p w14:paraId="7519EFD4" w14:textId="17414BE9" w:rsidR="00DC4487" w:rsidRDefault="00DC4487" w:rsidP="00C85112">
            <w:pPr>
              <w:rPr>
                <w:rFonts w:ascii="Arial" w:hAnsi="Arial" w:cs="Arial"/>
              </w:rPr>
            </w:pPr>
            <w:r>
              <w:rPr>
                <w:rFonts w:ascii="Arial" w:hAnsi="Arial" w:cs="Arial"/>
              </w:rPr>
              <w:t>IDACI Band E – Secondary</w:t>
            </w:r>
          </w:p>
        </w:tc>
        <w:tc>
          <w:tcPr>
            <w:tcW w:w="2144" w:type="dxa"/>
          </w:tcPr>
          <w:p w14:paraId="7F1293F2" w14:textId="439B9DF6" w:rsidR="00DC4487" w:rsidRDefault="00DC4487" w:rsidP="00DC4487">
            <w:pPr>
              <w:jc w:val="right"/>
              <w:rPr>
                <w:rFonts w:ascii="Arial" w:hAnsi="Arial" w:cs="Arial"/>
              </w:rPr>
            </w:pPr>
            <w:r>
              <w:rPr>
                <w:rFonts w:ascii="Arial" w:hAnsi="Arial" w:cs="Arial"/>
              </w:rPr>
              <w:t>£405</w:t>
            </w:r>
          </w:p>
        </w:tc>
        <w:tc>
          <w:tcPr>
            <w:tcW w:w="2329" w:type="dxa"/>
          </w:tcPr>
          <w:p w14:paraId="06C2958A" w14:textId="6DF11832" w:rsidR="00DC4487" w:rsidRDefault="00DC4487" w:rsidP="00DC4487">
            <w:pPr>
              <w:jc w:val="right"/>
              <w:rPr>
                <w:rFonts w:ascii="Arial" w:hAnsi="Arial" w:cs="Arial"/>
              </w:rPr>
            </w:pPr>
            <w:r>
              <w:rPr>
                <w:rFonts w:ascii="Arial" w:hAnsi="Arial" w:cs="Arial"/>
              </w:rPr>
              <w:t>£415</w:t>
            </w:r>
          </w:p>
        </w:tc>
        <w:tc>
          <w:tcPr>
            <w:tcW w:w="2262" w:type="dxa"/>
          </w:tcPr>
          <w:p w14:paraId="22098ED3" w14:textId="77777777" w:rsidR="00DC4487" w:rsidRPr="00DC4487" w:rsidRDefault="00DC4487" w:rsidP="00DC4487">
            <w:pPr>
              <w:rPr>
                <w:rFonts w:ascii="Arial" w:hAnsi="Arial" w:cs="Arial"/>
                <w:sz w:val="20"/>
                <w:szCs w:val="20"/>
              </w:rPr>
            </w:pPr>
          </w:p>
        </w:tc>
      </w:tr>
      <w:tr w:rsidR="00DC4487" w14:paraId="09884CED" w14:textId="63B8F40A" w:rsidTr="00DC4487">
        <w:tc>
          <w:tcPr>
            <w:tcW w:w="3176" w:type="dxa"/>
          </w:tcPr>
          <w:p w14:paraId="6C8A0690" w14:textId="79A2925A" w:rsidR="00DC4487" w:rsidRDefault="00DC4487" w:rsidP="00C85112">
            <w:pPr>
              <w:rPr>
                <w:rFonts w:ascii="Arial" w:hAnsi="Arial" w:cs="Arial"/>
              </w:rPr>
            </w:pPr>
            <w:r>
              <w:rPr>
                <w:rFonts w:ascii="Arial" w:hAnsi="Arial" w:cs="Arial"/>
              </w:rPr>
              <w:t>IDACI Band F – Secondary</w:t>
            </w:r>
          </w:p>
        </w:tc>
        <w:tc>
          <w:tcPr>
            <w:tcW w:w="2144" w:type="dxa"/>
          </w:tcPr>
          <w:p w14:paraId="062AB45B" w14:textId="4407B1AC" w:rsidR="00DC4487" w:rsidRDefault="00DC4487" w:rsidP="00DC4487">
            <w:pPr>
              <w:jc w:val="right"/>
              <w:rPr>
                <w:rFonts w:ascii="Arial" w:hAnsi="Arial" w:cs="Arial"/>
              </w:rPr>
            </w:pPr>
            <w:r>
              <w:rPr>
                <w:rFonts w:ascii="Arial" w:hAnsi="Arial" w:cs="Arial"/>
              </w:rPr>
              <w:t>£300</w:t>
            </w:r>
          </w:p>
        </w:tc>
        <w:tc>
          <w:tcPr>
            <w:tcW w:w="2329" w:type="dxa"/>
          </w:tcPr>
          <w:p w14:paraId="2F55CC38" w14:textId="553A1C5E" w:rsidR="00DC4487" w:rsidRDefault="00DC4487" w:rsidP="00DC4487">
            <w:pPr>
              <w:jc w:val="right"/>
              <w:rPr>
                <w:rFonts w:ascii="Arial" w:hAnsi="Arial" w:cs="Arial"/>
              </w:rPr>
            </w:pPr>
            <w:r>
              <w:rPr>
                <w:rFonts w:ascii="Arial" w:hAnsi="Arial" w:cs="Arial"/>
              </w:rPr>
              <w:t>£310</w:t>
            </w:r>
          </w:p>
        </w:tc>
        <w:tc>
          <w:tcPr>
            <w:tcW w:w="2262" w:type="dxa"/>
          </w:tcPr>
          <w:p w14:paraId="49771719" w14:textId="77777777" w:rsidR="00DC4487" w:rsidRPr="00DC4487" w:rsidRDefault="00DC4487" w:rsidP="00DC4487">
            <w:pPr>
              <w:rPr>
                <w:rFonts w:ascii="Arial" w:hAnsi="Arial" w:cs="Arial"/>
                <w:sz w:val="20"/>
                <w:szCs w:val="20"/>
              </w:rPr>
            </w:pPr>
          </w:p>
        </w:tc>
      </w:tr>
      <w:tr w:rsidR="00DC4487" w14:paraId="690D68DB" w14:textId="78BDF065" w:rsidTr="00DC4487">
        <w:tc>
          <w:tcPr>
            <w:tcW w:w="3176" w:type="dxa"/>
          </w:tcPr>
          <w:p w14:paraId="6817BE60" w14:textId="1043F34E" w:rsidR="00DC4487" w:rsidRDefault="00DC4487" w:rsidP="00C85112">
            <w:pPr>
              <w:rPr>
                <w:rFonts w:ascii="Arial" w:hAnsi="Arial" w:cs="Arial"/>
              </w:rPr>
            </w:pPr>
            <w:r>
              <w:rPr>
                <w:rFonts w:ascii="Arial" w:hAnsi="Arial" w:cs="Arial"/>
              </w:rPr>
              <w:t>FSM – Primary</w:t>
            </w:r>
          </w:p>
        </w:tc>
        <w:tc>
          <w:tcPr>
            <w:tcW w:w="2144" w:type="dxa"/>
          </w:tcPr>
          <w:p w14:paraId="71EF66D4" w14:textId="54BD3354" w:rsidR="00DC4487" w:rsidRDefault="00DC4487" w:rsidP="00DC4487">
            <w:pPr>
              <w:jc w:val="right"/>
              <w:rPr>
                <w:rFonts w:ascii="Arial" w:hAnsi="Arial" w:cs="Arial"/>
              </w:rPr>
            </w:pPr>
            <w:r>
              <w:rPr>
                <w:rFonts w:ascii="Arial" w:hAnsi="Arial" w:cs="Arial"/>
              </w:rPr>
              <w:t>£450</w:t>
            </w:r>
          </w:p>
        </w:tc>
        <w:tc>
          <w:tcPr>
            <w:tcW w:w="2329" w:type="dxa"/>
          </w:tcPr>
          <w:p w14:paraId="0848B9D2" w14:textId="315F12B3" w:rsidR="00DC4487" w:rsidRDefault="00DC4487" w:rsidP="00DC4487">
            <w:pPr>
              <w:jc w:val="right"/>
              <w:rPr>
                <w:rFonts w:ascii="Arial" w:hAnsi="Arial" w:cs="Arial"/>
              </w:rPr>
            </w:pPr>
            <w:r>
              <w:rPr>
                <w:rFonts w:ascii="Arial" w:hAnsi="Arial" w:cs="Arial"/>
              </w:rPr>
              <w:t>£460</w:t>
            </w:r>
          </w:p>
        </w:tc>
        <w:tc>
          <w:tcPr>
            <w:tcW w:w="2262" w:type="dxa"/>
          </w:tcPr>
          <w:p w14:paraId="29BC5C7C" w14:textId="77777777" w:rsidR="00DC4487" w:rsidRPr="00DC4487" w:rsidRDefault="00DC4487" w:rsidP="00DC4487">
            <w:pPr>
              <w:rPr>
                <w:rFonts w:ascii="Arial" w:hAnsi="Arial" w:cs="Arial"/>
                <w:sz w:val="20"/>
                <w:szCs w:val="20"/>
              </w:rPr>
            </w:pPr>
          </w:p>
        </w:tc>
      </w:tr>
      <w:tr w:rsidR="00DC4487" w14:paraId="02344A99" w14:textId="3A34DC63" w:rsidTr="00DC4487">
        <w:tc>
          <w:tcPr>
            <w:tcW w:w="3176" w:type="dxa"/>
          </w:tcPr>
          <w:p w14:paraId="5326214A" w14:textId="5C385ACE" w:rsidR="00DC4487" w:rsidRDefault="00DC4487" w:rsidP="00C85112">
            <w:pPr>
              <w:rPr>
                <w:rFonts w:ascii="Arial" w:hAnsi="Arial" w:cs="Arial"/>
              </w:rPr>
            </w:pPr>
            <w:r>
              <w:rPr>
                <w:rFonts w:ascii="Arial" w:hAnsi="Arial" w:cs="Arial"/>
              </w:rPr>
              <w:t>FSM – Secondary</w:t>
            </w:r>
          </w:p>
        </w:tc>
        <w:tc>
          <w:tcPr>
            <w:tcW w:w="2144" w:type="dxa"/>
          </w:tcPr>
          <w:p w14:paraId="78D7F19D" w14:textId="7967006B" w:rsidR="00DC4487" w:rsidRDefault="00DC4487" w:rsidP="00DC4487">
            <w:pPr>
              <w:jc w:val="right"/>
              <w:rPr>
                <w:rFonts w:ascii="Arial" w:hAnsi="Arial" w:cs="Arial"/>
              </w:rPr>
            </w:pPr>
            <w:r>
              <w:rPr>
                <w:rFonts w:ascii="Arial" w:hAnsi="Arial" w:cs="Arial"/>
              </w:rPr>
              <w:t>£450</w:t>
            </w:r>
          </w:p>
        </w:tc>
        <w:tc>
          <w:tcPr>
            <w:tcW w:w="2329" w:type="dxa"/>
          </w:tcPr>
          <w:p w14:paraId="0F5D1D28" w14:textId="275D1A9F" w:rsidR="00DC4487" w:rsidRDefault="00DC4487" w:rsidP="00DC4487">
            <w:pPr>
              <w:jc w:val="right"/>
              <w:rPr>
                <w:rFonts w:ascii="Arial" w:hAnsi="Arial" w:cs="Arial"/>
              </w:rPr>
            </w:pPr>
            <w:r>
              <w:rPr>
                <w:rFonts w:ascii="Arial" w:hAnsi="Arial" w:cs="Arial"/>
              </w:rPr>
              <w:t>£575</w:t>
            </w:r>
          </w:p>
        </w:tc>
        <w:tc>
          <w:tcPr>
            <w:tcW w:w="2262" w:type="dxa"/>
          </w:tcPr>
          <w:p w14:paraId="18F7858E" w14:textId="77777777" w:rsidR="00DC4487" w:rsidRPr="00DC4487" w:rsidRDefault="00DC4487" w:rsidP="00DC4487">
            <w:pPr>
              <w:rPr>
                <w:rFonts w:ascii="Arial" w:hAnsi="Arial" w:cs="Arial"/>
                <w:sz w:val="20"/>
                <w:szCs w:val="20"/>
              </w:rPr>
            </w:pPr>
          </w:p>
        </w:tc>
      </w:tr>
      <w:tr w:rsidR="00DC4487" w14:paraId="1F881EFD" w14:textId="6ACB45EA" w:rsidTr="00DC4487">
        <w:tc>
          <w:tcPr>
            <w:tcW w:w="3176" w:type="dxa"/>
          </w:tcPr>
          <w:p w14:paraId="63BF3596" w14:textId="11F81DDE" w:rsidR="00DC4487" w:rsidRDefault="00DC4487" w:rsidP="00C85112">
            <w:pPr>
              <w:rPr>
                <w:rFonts w:ascii="Arial" w:hAnsi="Arial" w:cs="Arial"/>
              </w:rPr>
            </w:pPr>
            <w:r>
              <w:rPr>
                <w:rFonts w:ascii="Arial" w:hAnsi="Arial" w:cs="Arial"/>
              </w:rPr>
              <w:t>FSM Ever 6 – Primary</w:t>
            </w:r>
          </w:p>
        </w:tc>
        <w:tc>
          <w:tcPr>
            <w:tcW w:w="2144" w:type="dxa"/>
          </w:tcPr>
          <w:p w14:paraId="3977AE6F" w14:textId="7F880014" w:rsidR="00DC4487" w:rsidRDefault="00DC4487" w:rsidP="00DC4487">
            <w:pPr>
              <w:jc w:val="right"/>
              <w:rPr>
                <w:rFonts w:ascii="Arial" w:hAnsi="Arial" w:cs="Arial"/>
              </w:rPr>
            </w:pPr>
            <w:r>
              <w:rPr>
                <w:rFonts w:ascii="Arial" w:hAnsi="Arial" w:cs="Arial"/>
              </w:rPr>
              <w:t>£560</w:t>
            </w:r>
          </w:p>
        </w:tc>
        <w:tc>
          <w:tcPr>
            <w:tcW w:w="2329" w:type="dxa"/>
          </w:tcPr>
          <w:p w14:paraId="3F6BA43A" w14:textId="39D30514" w:rsidR="00DC4487" w:rsidRDefault="00DC4487" w:rsidP="00DC4487">
            <w:pPr>
              <w:jc w:val="right"/>
              <w:rPr>
                <w:rFonts w:ascii="Arial" w:hAnsi="Arial" w:cs="Arial"/>
              </w:rPr>
            </w:pPr>
            <w:r>
              <w:rPr>
                <w:rFonts w:ascii="Arial" w:hAnsi="Arial" w:cs="Arial"/>
              </w:rPr>
              <w:t>£460</w:t>
            </w:r>
          </w:p>
        </w:tc>
        <w:tc>
          <w:tcPr>
            <w:tcW w:w="2262" w:type="dxa"/>
          </w:tcPr>
          <w:p w14:paraId="13461E18" w14:textId="77777777" w:rsidR="00DC4487" w:rsidRPr="00DC4487" w:rsidRDefault="00DC4487" w:rsidP="00DC4487">
            <w:pPr>
              <w:rPr>
                <w:rFonts w:ascii="Arial" w:hAnsi="Arial" w:cs="Arial"/>
                <w:sz w:val="20"/>
                <w:szCs w:val="20"/>
              </w:rPr>
            </w:pPr>
          </w:p>
        </w:tc>
      </w:tr>
      <w:tr w:rsidR="00DC4487" w14:paraId="3B582124" w14:textId="03FD2A68" w:rsidTr="00DC4487">
        <w:tc>
          <w:tcPr>
            <w:tcW w:w="3176" w:type="dxa"/>
          </w:tcPr>
          <w:p w14:paraId="3CDF4D74" w14:textId="7682903E" w:rsidR="00DC4487" w:rsidRDefault="00DC4487" w:rsidP="00C85112">
            <w:pPr>
              <w:rPr>
                <w:rFonts w:ascii="Arial" w:hAnsi="Arial" w:cs="Arial"/>
              </w:rPr>
            </w:pPr>
            <w:r>
              <w:rPr>
                <w:rFonts w:ascii="Arial" w:hAnsi="Arial" w:cs="Arial"/>
              </w:rPr>
              <w:t>FSM Ever 6 – Secondary</w:t>
            </w:r>
          </w:p>
        </w:tc>
        <w:tc>
          <w:tcPr>
            <w:tcW w:w="2144" w:type="dxa"/>
          </w:tcPr>
          <w:p w14:paraId="5DAB3D12" w14:textId="1F77FF2C" w:rsidR="00DC4487" w:rsidRDefault="00DC4487" w:rsidP="00DC4487">
            <w:pPr>
              <w:jc w:val="right"/>
              <w:rPr>
                <w:rFonts w:ascii="Arial" w:hAnsi="Arial" w:cs="Arial"/>
              </w:rPr>
            </w:pPr>
            <w:r>
              <w:rPr>
                <w:rFonts w:ascii="Arial" w:hAnsi="Arial" w:cs="Arial"/>
              </w:rPr>
              <w:t>£815</w:t>
            </w:r>
          </w:p>
        </w:tc>
        <w:tc>
          <w:tcPr>
            <w:tcW w:w="2329" w:type="dxa"/>
          </w:tcPr>
          <w:p w14:paraId="0D52C4E4" w14:textId="6F769665" w:rsidR="00DC4487" w:rsidRDefault="00DC4487" w:rsidP="00DC4487">
            <w:pPr>
              <w:jc w:val="right"/>
              <w:rPr>
                <w:rFonts w:ascii="Arial" w:hAnsi="Arial" w:cs="Arial"/>
              </w:rPr>
            </w:pPr>
            <w:r>
              <w:rPr>
                <w:rFonts w:ascii="Arial" w:hAnsi="Arial" w:cs="Arial"/>
              </w:rPr>
              <w:t>£840</w:t>
            </w:r>
          </w:p>
        </w:tc>
        <w:tc>
          <w:tcPr>
            <w:tcW w:w="2262" w:type="dxa"/>
          </w:tcPr>
          <w:p w14:paraId="2250874A" w14:textId="77777777" w:rsidR="00DC4487" w:rsidRPr="00DC4487" w:rsidRDefault="00DC4487" w:rsidP="00DC4487">
            <w:pPr>
              <w:rPr>
                <w:rFonts w:ascii="Arial" w:hAnsi="Arial" w:cs="Arial"/>
                <w:sz w:val="20"/>
                <w:szCs w:val="20"/>
              </w:rPr>
            </w:pPr>
          </w:p>
        </w:tc>
      </w:tr>
      <w:tr w:rsidR="00DC4487" w14:paraId="5D8D39E7" w14:textId="0662DB82" w:rsidTr="00DC4487">
        <w:tc>
          <w:tcPr>
            <w:tcW w:w="3176" w:type="dxa"/>
          </w:tcPr>
          <w:p w14:paraId="2CF2A427" w14:textId="2C9FEE08" w:rsidR="00DC4487" w:rsidRDefault="00DC4487" w:rsidP="00C85112">
            <w:pPr>
              <w:rPr>
                <w:rFonts w:ascii="Arial" w:hAnsi="Arial" w:cs="Arial"/>
              </w:rPr>
            </w:pPr>
            <w:r>
              <w:rPr>
                <w:rFonts w:ascii="Arial" w:hAnsi="Arial" w:cs="Arial"/>
              </w:rPr>
              <w:t>Low Prior Attainment – Primary</w:t>
            </w:r>
          </w:p>
        </w:tc>
        <w:tc>
          <w:tcPr>
            <w:tcW w:w="2144" w:type="dxa"/>
          </w:tcPr>
          <w:p w14:paraId="73903A17" w14:textId="5984F0DB" w:rsidR="00DC4487" w:rsidRDefault="00DC4487" w:rsidP="00DC4487">
            <w:pPr>
              <w:jc w:val="right"/>
              <w:rPr>
                <w:rFonts w:ascii="Arial" w:hAnsi="Arial" w:cs="Arial"/>
              </w:rPr>
            </w:pPr>
            <w:r>
              <w:rPr>
                <w:rFonts w:ascii="Arial" w:hAnsi="Arial" w:cs="Arial"/>
              </w:rPr>
              <w:t>£1,065</w:t>
            </w:r>
          </w:p>
        </w:tc>
        <w:tc>
          <w:tcPr>
            <w:tcW w:w="2329" w:type="dxa"/>
          </w:tcPr>
          <w:p w14:paraId="7F1180F5" w14:textId="3374A17F" w:rsidR="00DC4487" w:rsidRDefault="00DC4487" w:rsidP="00DC4487">
            <w:pPr>
              <w:jc w:val="right"/>
              <w:rPr>
                <w:rFonts w:ascii="Arial" w:hAnsi="Arial" w:cs="Arial"/>
              </w:rPr>
            </w:pPr>
            <w:r>
              <w:rPr>
                <w:rFonts w:ascii="Arial" w:hAnsi="Arial" w:cs="Arial"/>
              </w:rPr>
              <w:t>£1,095</w:t>
            </w:r>
          </w:p>
        </w:tc>
        <w:tc>
          <w:tcPr>
            <w:tcW w:w="2262" w:type="dxa"/>
          </w:tcPr>
          <w:p w14:paraId="198BB17E" w14:textId="77777777" w:rsidR="00DC4487" w:rsidRPr="00DC4487" w:rsidRDefault="00DC4487" w:rsidP="00DC4487">
            <w:pPr>
              <w:rPr>
                <w:rFonts w:ascii="Arial" w:hAnsi="Arial" w:cs="Arial"/>
                <w:sz w:val="20"/>
                <w:szCs w:val="20"/>
              </w:rPr>
            </w:pPr>
          </w:p>
        </w:tc>
      </w:tr>
      <w:tr w:rsidR="00DC4487" w14:paraId="7CC13A52" w14:textId="1F24E925" w:rsidTr="00DC4487">
        <w:tc>
          <w:tcPr>
            <w:tcW w:w="3176" w:type="dxa"/>
          </w:tcPr>
          <w:p w14:paraId="3389E11B" w14:textId="4994B7DE" w:rsidR="00DC4487" w:rsidRDefault="00DC4487" w:rsidP="00C85112">
            <w:pPr>
              <w:rPr>
                <w:rFonts w:ascii="Arial" w:hAnsi="Arial" w:cs="Arial"/>
              </w:rPr>
            </w:pPr>
            <w:r>
              <w:rPr>
                <w:rFonts w:ascii="Arial" w:hAnsi="Arial" w:cs="Arial"/>
              </w:rPr>
              <w:t>Low Prior Attainment – Secondary</w:t>
            </w:r>
          </w:p>
        </w:tc>
        <w:tc>
          <w:tcPr>
            <w:tcW w:w="2144" w:type="dxa"/>
          </w:tcPr>
          <w:p w14:paraId="4B8D9011" w14:textId="5C18F266" w:rsidR="00DC4487" w:rsidRDefault="00DC4487" w:rsidP="00DC4487">
            <w:pPr>
              <w:jc w:val="right"/>
              <w:rPr>
                <w:rFonts w:ascii="Arial" w:hAnsi="Arial" w:cs="Arial"/>
              </w:rPr>
            </w:pPr>
            <w:r>
              <w:rPr>
                <w:rFonts w:ascii="Arial" w:hAnsi="Arial" w:cs="Arial"/>
              </w:rPr>
              <w:t>£1,610</w:t>
            </w:r>
          </w:p>
        </w:tc>
        <w:tc>
          <w:tcPr>
            <w:tcW w:w="2329" w:type="dxa"/>
          </w:tcPr>
          <w:p w14:paraId="10DCAC0D" w14:textId="1C6441E8" w:rsidR="00DC4487" w:rsidRDefault="00DC4487" w:rsidP="00DC4487">
            <w:pPr>
              <w:jc w:val="right"/>
              <w:rPr>
                <w:rFonts w:ascii="Arial" w:hAnsi="Arial" w:cs="Arial"/>
              </w:rPr>
            </w:pPr>
            <w:r>
              <w:rPr>
                <w:rFonts w:ascii="Arial" w:hAnsi="Arial" w:cs="Arial"/>
              </w:rPr>
              <w:t>£1,660</w:t>
            </w:r>
          </w:p>
        </w:tc>
        <w:tc>
          <w:tcPr>
            <w:tcW w:w="2262" w:type="dxa"/>
          </w:tcPr>
          <w:p w14:paraId="6610F706" w14:textId="77777777" w:rsidR="00DC4487" w:rsidRPr="00DC4487" w:rsidRDefault="00DC4487" w:rsidP="00DC4487">
            <w:pPr>
              <w:rPr>
                <w:rFonts w:ascii="Arial" w:hAnsi="Arial" w:cs="Arial"/>
                <w:sz w:val="20"/>
                <w:szCs w:val="20"/>
              </w:rPr>
            </w:pPr>
          </w:p>
        </w:tc>
      </w:tr>
      <w:tr w:rsidR="00DC4487" w14:paraId="1AC774A3" w14:textId="33E17F11" w:rsidTr="00DC4487">
        <w:tc>
          <w:tcPr>
            <w:tcW w:w="3176" w:type="dxa"/>
          </w:tcPr>
          <w:p w14:paraId="5102FC11" w14:textId="3A99841F" w:rsidR="00DC4487" w:rsidRDefault="00DC4487" w:rsidP="00C85112">
            <w:pPr>
              <w:rPr>
                <w:rFonts w:ascii="Arial" w:hAnsi="Arial" w:cs="Arial"/>
              </w:rPr>
            </w:pPr>
            <w:r>
              <w:rPr>
                <w:rFonts w:ascii="Arial" w:hAnsi="Arial" w:cs="Arial"/>
              </w:rPr>
              <w:t>EAL – Primary</w:t>
            </w:r>
          </w:p>
        </w:tc>
        <w:tc>
          <w:tcPr>
            <w:tcW w:w="2144" w:type="dxa"/>
          </w:tcPr>
          <w:p w14:paraId="7A8CF1A3" w14:textId="44182206" w:rsidR="00DC4487" w:rsidRDefault="00DC4487" w:rsidP="00DC4487">
            <w:pPr>
              <w:jc w:val="right"/>
              <w:rPr>
                <w:rFonts w:ascii="Arial" w:hAnsi="Arial" w:cs="Arial"/>
              </w:rPr>
            </w:pPr>
            <w:r>
              <w:rPr>
                <w:rFonts w:ascii="Arial" w:hAnsi="Arial" w:cs="Arial"/>
              </w:rPr>
              <w:t>£535</w:t>
            </w:r>
          </w:p>
        </w:tc>
        <w:tc>
          <w:tcPr>
            <w:tcW w:w="2329" w:type="dxa"/>
          </w:tcPr>
          <w:p w14:paraId="0C1EF5C6" w14:textId="4D4120AC" w:rsidR="00DC4487" w:rsidRDefault="00DC4487" w:rsidP="00DC4487">
            <w:pPr>
              <w:jc w:val="right"/>
              <w:rPr>
                <w:rFonts w:ascii="Arial" w:hAnsi="Arial" w:cs="Arial"/>
              </w:rPr>
            </w:pPr>
            <w:r>
              <w:rPr>
                <w:rFonts w:ascii="Arial" w:hAnsi="Arial" w:cs="Arial"/>
              </w:rPr>
              <w:t>£550</w:t>
            </w:r>
          </w:p>
        </w:tc>
        <w:tc>
          <w:tcPr>
            <w:tcW w:w="2262" w:type="dxa"/>
          </w:tcPr>
          <w:p w14:paraId="6CD47981" w14:textId="77777777" w:rsidR="00DC4487" w:rsidRPr="00DC4487" w:rsidRDefault="00DC4487" w:rsidP="00DC4487">
            <w:pPr>
              <w:rPr>
                <w:rFonts w:ascii="Arial" w:hAnsi="Arial" w:cs="Arial"/>
                <w:sz w:val="20"/>
                <w:szCs w:val="20"/>
              </w:rPr>
            </w:pPr>
          </w:p>
        </w:tc>
      </w:tr>
      <w:tr w:rsidR="00DC4487" w14:paraId="0038BD18" w14:textId="2E462AE6" w:rsidTr="00DC4487">
        <w:tc>
          <w:tcPr>
            <w:tcW w:w="3176" w:type="dxa"/>
          </w:tcPr>
          <w:p w14:paraId="5C2DE97D" w14:textId="5D8568C8" w:rsidR="00DC4487" w:rsidRDefault="00DC4487" w:rsidP="00C85112">
            <w:pPr>
              <w:rPr>
                <w:rFonts w:ascii="Arial" w:hAnsi="Arial" w:cs="Arial"/>
              </w:rPr>
            </w:pPr>
            <w:r>
              <w:rPr>
                <w:rFonts w:ascii="Arial" w:hAnsi="Arial" w:cs="Arial"/>
              </w:rPr>
              <w:t>EAL – Secondary</w:t>
            </w:r>
          </w:p>
        </w:tc>
        <w:tc>
          <w:tcPr>
            <w:tcW w:w="2144" w:type="dxa"/>
          </w:tcPr>
          <w:p w14:paraId="6863473F" w14:textId="6CDE1A64" w:rsidR="00DC4487" w:rsidRDefault="00DC4487" w:rsidP="00DC4487">
            <w:pPr>
              <w:jc w:val="right"/>
              <w:rPr>
                <w:rFonts w:ascii="Arial" w:hAnsi="Arial" w:cs="Arial"/>
              </w:rPr>
            </w:pPr>
            <w:r>
              <w:rPr>
                <w:rFonts w:ascii="Arial" w:hAnsi="Arial" w:cs="Arial"/>
              </w:rPr>
              <w:t>£1,440</w:t>
            </w:r>
          </w:p>
        </w:tc>
        <w:tc>
          <w:tcPr>
            <w:tcW w:w="2329" w:type="dxa"/>
          </w:tcPr>
          <w:p w14:paraId="43B13485" w14:textId="568F3396" w:rsidR="00DC4487" w:rsidRDefault="00DC4487" w:rsidP="00DC4487">
            <w:pPr>
              <w:jc w:val="right"/>
              <w:rPr>
                <w:rFonts w:ascii="Arial" w:hAnsi="Arial" w:cs="Arial"/>
              </w:rPr>
            </w:pPr>
            <w:r>
              <w:rPr>
                <w:rFonts w:ascii="Arial" w:hAnsi="Arial" w:cs="Arial"/>
              </w:rPr>
              <w:t>£1,485</w:t>
            </w:r>
          </w:p>
        </w:tc>
        <w:tc>
          <w:tcPr>
            <w:tcW w:w="2262" w:type="dxa"/>
          </w:tcPr>
          <w:p w14:paraId="54E875B9" w14:textId="77777777" w:rsidR="00DC4487" w:rsidRPr="00DC4487" w:rsidRDefault="00DC4487" w:rsidP="00DC4487">
            <w:pPr>
              <w:rPr>
                <w:rFonts w:ascii="Arial" w:hAnsi="Arial" w:cs="Arial"/>
                <w:sz w:val="20"/>
                <w:szCs w:val="20"/>
              </w:rPr>
            </w:pPr>
          </w:p>
        </w:tc>
      </w:tr>
      <w:tr w:rsidR="00DC4487" w14:paraId="4BE65EAC" w14:textId="74F90E93" w:rsidTr="00DC4487">
        <w:tc>
          <w:tcPr>
            <w:tcW w:w="3176" w:type="dxa"/>
          </w:tcPr>
          <w:p w14:paraId="02843470" w14:textId="2576850F" w:rsidR="00DC4487" w:rsidRDefault="00DC4487" w:rsidP="00C85112">
            <w:pPr>
              <w:rPr>
                <w:rFonts w:ascii="Arial" w:hAnsi="Arial" w:cs="Arial"/>
              </w:rPr>
            </w:pPr>
            <w:r>
              <w:rPr>
                <w:rFonts w:ascii="Arial" w:hAnsi="Arial" w:cs="Arial"/>
              </w:rPr>
              <w:t>Mobility – Primary</w:t>
            </w:r>
          </w:p>
        </w:tc>
        <w:tc>
          <w:tcPr>
            <w:tcW w:w="2144" w:type="dxa"/>
          </w:tcPr>
          <w:p w14:paraId="24DC6B41" w14:textId="1FA762D8" w:rsidR="00DC4487" w:rsidRDefault="00DC4487" w:rsidP="00DC4487">
            <w:pPr>
              <w:jc w:val="right"/>
              <w:rPr>
                <w:rFonts w:ascii="Arial" w:hAnsi="Arial" w:cs="Arial"/>
              </w:rPr>
            </w:pPr>
            <w:r>
              <w:rPr>
                <w:rFonts w:ascii="Arial" w:hAnsi="Arial" w:cs="Arial"/>
              </w:rPr>
              <w:t>£875</w:t>
            </w:r>
          </w:p>
        </w:tc>
        <w:tc>
          <w:tcPr>
            <w:tcW w:w="2329" w:type="dxa"/>
          </w:tcPr>
          <w:p w14:paraId="370B69CB" w14:textId="4EBAD7CF" w:rsidR="00DC4487" w:rsidRDefault="00DC4487" w:rsidP="00DC4487">
            <w:pPr>
              <w:jc w:val="right"/>
              <w:rPr>
                <w:rFonts w:ascii="Arial" w:hAnsi="Arial" w:cs="Arial"/>
              </w:rPr>
            </w:pPr>
            <w:r>
              <w:rPr>
                <w:rFonts w:ascii="Arial" w:hAnsi="Arial" w:cs="Arial"/>
              </w:rPr>
              <w:t>£900</w:t>
            </w:r>
          </w:p>
        </w:tc>
        <w:tc>
          <w:tcPr>
            <w:tcW w:w="2262" w:type="dxa"/>
          </w:tcPr>
          <w:p w14:paraId="11B10B7A" w14:textId="77777777" w:rsidR="00DC4487" w:rsidRPr="00DC4487" w:rsidRDefault="00DC4487" w:rsidP="00DC4487">
            <w:pPr>
              <w:rPr>
                <w:rFonts w:ascii="Arial" w:hAnsi="Arial" w:cs="Arial"/>
                <w:sz w:val="20"/>
                <w:szCs w:val="20"/>
              </w:rPr>
            </w:pPr>
          </w:p>
        </w:tc>
      </w:tr>
      <w:tr w:rsidR="00DC4487" w14:paraId="6EA99B93" w14:textId="5011F45A" w:rsidTr="00DC4487">
        <w:tc>
          <w:tcPr>
            <w:tcW w:w="3176" w:type="dxa"/>
          </w:tcPr>
          <w:p w14:paraId="5828747D" w14:textId="59D2EB2F" w:rsidR="00DC4487" w:rsidRDefault="00DC4487" w:rsidP="00C85112">
            <w:pPr>
              <w:rPr>
                <w:rFonts w:ascii="Arial" w:hAnsi="Arial" w:cs="Arial"/>
              </w:rPr>
            </w:pPr>
            <w:r>
              <w:rPr>
                <w:rFonts w:ascii="Arial" w:hAnsi="Arial" w:cs="Arial"/>
              </w:rPr>
              <w:t>Mobility – Secondary</w:t>
            </w:r>
          </w:p>
        </w:tc>
        <w:tc>
          <w:tcPr>
            <w:tcW w:w="2144" w:type="dxa"/>
          </w:tcPr>
          <w:p w14:paraId="2309CE8D" w14:textId="7387BD53" w:rsidR="00DC4487" w:rsidRDefault="00DC4487" w:rsidP="00DC4487">
            <w:pPr>
              <w:jc w:val="right"/>
              <w:rPr>
                <w:rFonts w:ascii="Arial" w:hAnsi="Arial" w:cs="Arial"/>
              </w:rPr>
            </w:pPr>
            <w:r>
              <w:rPr>
                <w:rFonts w:ascii="Arial" w:hAnsi="Arial" w:cs="Arial"/>
              </w:rPr>
              <w:t>£1,250</w:t>
            </w:r>
          </w:p>
        </w:tc>
        <w:tc>
          <w:tcPr>
            <w:tcW w:w="2329" w:type="dxa"/>
          </w:tcPr>
          <w:p w14:paraId="4A45B124" w14:textId="70F603A0" w:rsidR="00DC4487" w:rsidRDefault="00DC4487" w:rsidP="00DC4487">
            <w:pPr>
              <w:jc w:val="right"/>
              <w:rPr>
                <w:rFonts w:ascii="Arial" w:hAnsi="Arial" w:cs="Arial"/>
              </w:rPr>
            </w:pPr>
            <w:r>
              <w:rPr>
                <w:rFonts w:ascii="Arial" w:hAnsi="Arial" w:cs="Arial"/>
              </w:rPr>
              <w:t>£1,290</w:t>
            </w:r>
          </w:p>
        </w:tc>
        <w:tc>
          <w:tcPr>
            <w:tcW w:w="2262" w:type="dxa"/>
          </w:tcPr>
          <w:p w14:paraId="5BD800E7" w14:textId="77777777" w:rsidR="00DC4487" w:rsidRPr="00DC4487" w:rsidRDefault="00DC4487" w:rsidP="00DC4487">
            <w:pPr>
              <w:rPr>
                <w:rFonts w:ascii="Arial" w:hAnsi="Arial" w:cs="Arial"/>
                <w:sz w:val="20"/>
                <w:szCs w:val="20"/>
              </w:rPr>
            </w:pPr>
          </w:p>
        </w:tc>
      </w:tr>
      <w:tr w:rsidR="00DC4487" w14:paraId="2EFF81AD" w14:textId="08A78074" w:rsidTr="00DC4487">
        <w:tc>
          <w:tcPr>
            <w:tcW w:w="3176" w:type="dxa"/>
          </w:tcPr>
          <w:p w14:paraId="7633BE2D" w14:textId="0B954ABC" w:rsidR="00DC4487" w:rsidRDefault="00DC4487" w:rsidP="00C85112">
            <w:pPr>
              <w:rPr>
                <w:rFonts w:ascii="Arial" w:hAnsi="Arial" w:cs="Arial"/>
              </w:rPr>
            </w:pPr>
            <w:r>
              <w:rPr>
                <w:rFonts w:ascii="Arial" w:hAnsi="Arial" w:cs="Arial"/>
              </w:rPr>
              <w:t>Lump Sum</w:t>
            </w:r>
          </w:p>
        </w:tc>
        <w:tc>
          <w:tcPr>
            <w:tcW w:w="2144" w:type="dxa"/>
          </w:tcPr>
          <w:p w14:paraId="3A13B74A" w14:textId="39771695" w:rsidR="00DC4487" w:rsidRDefault="00DC4487" w:rsidP="00DC4487">
            <w:pPr>
              <w:jc w:val="right"/>
              <w:rPr>
                <w:rFonts w:ascii="Arial" w:hAnsi="Arial" w:cs="Arial"/>
              </w:rPr>
            </w:pPr>
            <w:r>
              <w:rPr>
                <w:rFonts w:ascii="Arial" w:hAnsi="Arial" w:cs="Arial"/>
              </w:rPr>
              <w:t>£114,400</w:t>
            </w:r>
          </w:p>
        </w:tc>
        <w:tc>
          <w:tcPr>
            <w:tcW w:w="2329" w:type="dxa"/>
          </w:tcPr>
          <w:p w14:paraId="216B5DF0" w14:textId="28F612C1" w:rsidR="00DC4487" w:rsidRDefault="00DC4487" w:rsidP="00DC4487">
            <w:pPr>
              <w:jc w:val="right"/>
              <w:rPr>
                <w:rFonts w:ascii="Arial" w:hAnsi="Arial" w:cs="Arial"/>
              </w:rPr>
            </w:pPr>
            <w:r>
              <w:rPr>
                <w:rFonts w:ascii="Arial" w:hAnsi="Arial" w:cs="Arial"/>
              </w:rPr>
              <w:t>£117,800</w:t>
            </w:r>
          </w:p>
        </w:tc>
        <w:tc>
          <w:tcPr>
            <w:tcW w:w="2262" w:type="dxa"/>
          </w:tcPr>
          <w:p w14:paraId="1CF79026" w14:textId="77777777" w:rsidR="00DC4487" w:rsidRPr="00DC4487" w:rsidRDefault="00DC4487" w:rsidP="00DC4487">
            <w:pPr>
              <w:rPr>
                <w:rFonts w:ascii="Arial" w:hAnsi="Arial" w:cs="Arial"/>
                <w:sz w:val="20"/>
                <w:szCs w:val="20"/>
              </w:rPr>
            </w:pPr>
          </w:p>
        </w:tc>
      </w:tr>
    </w:tbl>
    <w:p w14:paraId="1DECD1D9" w14:textId="77777777" w:rsidR="005F61E4" w:rsidRPr="005F61E4" w:rsidRDefault="005F61E4" w:rsidP="005F61E4">
      <w:pPr>
        <w:rPr>
          <w:rFonts w:ascii="Arial" w:hAnsi="Arial" w:cs="Arial"/>
        </w:rPr>
      </w:pPr>
    </w:p>
    <w:sectPr w:rsidR="005F61E4" w:rsidRPr="005F61E4" w:rsidSect="0075449A">
      <w:headerReference w:type="default" r:id="rId8"/>
      <w:footerReference w:type="default" r:id="rId9"/>
      <w:pgSz w:w="11906" w:h="16838"/>
      <w:pgMar w:top="1134" w:right="851" w:bottom="851"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15B17" w16cid:durableId="1F6733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31E79" w14:textId="77777777" w:rsidR="00641EE2" w:rsidRDefault="00641EE2" w:rsidP="00E471C6">
      <w:r>
        <w:separator/>
      </w:r>
    </w:p>
  </w:endnote>
  <w:endnote w:type="continuationSeparator" w:id="0">
    <w:p w14:paraId="2D8B6723" w14:textId="77777777" w:rsidR="00641EE2" w:rsidRDefault="00641EE2"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68125" w14:textId="77777777" w:rsidR="005219BC" w:rsidRPr="00E471C6" w:rsidRDefault="005219BC" w:rsidP="00E471C6">
    <w:pPr>
      <w:pStyle w:val="Footer"/>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E9427" w14:textId="77777777" w:rsidR="00641EE2" w:rsidRDefault="00641EE2" w:rsidP="00E471C6">
      <w:r>
        <w:separator/>
      </w:r>
    </w:p>
  </w:footnote>
  <w:footnote w:type="continuationSeparator" w:id="0">
    <w:p w14:paraId="4C18CDBA" w14:textId="77777777" w:rsidR="00641EE2" w:rsidRDefault="00641EE2"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14:paraId="23769648" w14:textId="77777777" w:rsidR="005219BC" w:rsidRDefault="005219BC">
        <w:pPr>
          <w:pStyle w:val="Header"/>
          <w:jc w:val="right"/>
        </w:pPr>
        <w:r w:rsidRPr="004C5FD4">
          <w:rPr>
            <w:rFonts w:ascii="Arial" w:hAnsi="Arial" w:cs="Arial"/>
            <w:sz w:val="16"/>
            <w:szCs w:val="16"/>
          </w:rPr>
          <w:t xml:space="preserve">Page </w:t>
        </w:r>
        <w:r w:rsidR="00861333"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00861333" w:rsidRPr="004C5FD4">
          <w:rPr>
            <w:rFonts w:ascii="Arial" w:hAnsi="Arial" w:cs="Arial"/>
            <w:b/>
            <w:sz w:val="16"/>
            <w:szCs w:val="16"/>
          </w:rPr>
          <w:fldChar w:fldCharType="separate"/>
        </w:r>
        <w:r w:rsidR="00D64E4E">
          <w:rPr>
            <w:rFonts w:ascii="Arial" w:hAnsi="Arial" w:cs="Arial"/>
            <w:b/>
            <w:noProof/>
            <w:sz w:val="16"/>
            <w:szCs w:val="16"/>
          </w:rPr>
          <w:t>1</w:t>
        </w:r>
        <w:r w:rsidR="00861333" w:rsidRPr="004C5FD4">
          <w:rPr>
            <w:rFonts w:ascii="Arial" w:hAnsi="Arial" w:cs="Arial"/>
            <w:b/>
            <w:sz w:val="16"/>
            <w:szCs w:val="16"/>
          </w:rPr>
          <w:fldChar w:fldCharType="end"/>
        </w:r>
        <w:r w:rsidRPr="004C5FD4">
          <w:rPr>
            <w:rFonts w:ascii="Arial" w:hAnsi="Arial" w:cs="Arial"/>
            <w:sz w:val="16"/>
            <w:szCs w:val="16"/>
          </w:rPr>
          <w:t xml:space="preserve"> of </w:t>
        </w:r>
        <w:r w:rsidR="00861333"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00861333" w:rsidRPr="004C5FD4">
          <w:rPr>
            <w:rFonts w:ascii="Arial" w:hAnsi="Arial" w:cs="Arial"/>
            <w:b/>
            <w:sz w:val="16"/>
            <w:szCs w:val="16"/>
          </w:rPr>
          <w:fldChar w:fldCharType="separate"/>
        </w:r>
        <w:r w:rsidR="00D64E4E">
          <w:rPr>
            <w:rFonts w:ascii="Arial" w:hAnsi="Arial" w:cs="Arial"/>
            <w:b/>
            <w:noProof/>
            <w:sz w:val="16"/>
            <w:szCs w:val="16"/>
          </w:rPr>
          <w:t>4</w:t>
        </w:r>
        <w:r w:rsidR="00861333" w:rsidRPr="004C5FD4">
          <w:rPr>
            <w:rFonts w:ascii="Arial" w:hAnsi="Arial" w:cs="Arial"/>
            <w:b/>
            <w:sz w:val="16"/>
            <w:szCs w:val="16"/>
          </w:rPr>
          <w:fldChar w:fldCharType="end"/>
        </w:r>
      </w:p>
    </w:sdtContent>
  </w:sdt>
  <w:p w14:paraId="17701184" w14:textId="77777777" w:rsidR="005219BC" w:rsidRDefault="00521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28EA"/>
    <w:multiLevelType w:val="hybridMultilevel"/>
    <w:tmpl w:val="C40A33B6"/>
    <w:lvl w:ilvl="0" w:tplc="08090015">
      <w:start w:val="1"/>
      <w:numFmt w:val="upperLetter"/>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A325333"/>
    <w:multiLevelType w:val="hybridMultilevel"/>
    <w:tmpl w:val="02443D98"/>
    <w:lvl w:ilvl="0" w:tplc="A5B6E6F6">
      <w:start w:val="1"/>
      <w:numFmt w:val="upperLetter"/>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5"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766A3D"/>
    <w:multiLevelType w:val="multilevel"/>
    <w:tmpl w:val="E6C4AE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8D3E66"/>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8" w15:restartNumberingAfterBreak="0">
    <w:nsid w:val="306716E9"/>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9" w15:restartNumberingAfterBreak="0">
    <w:nsid w:val="3B8D3E57"/>
    <w:multiLevelType w:val="hybridMultilevel"/>
    <w:tmpl w:val="9FB0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5A5548"/>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12" w15:restartNumberingAfterBreak="0">
    <w:nsid w:val="50867B7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3"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4" w15:restartNumberingAfterBreak="0">
    <w:nsid w:val="52135B45"/>
    <w:multiLevelType w:val="multilevel"/>
    <w:tmpl w:val="F30CD6C6"/>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b w:val="0"/>
        <w:color w:val="auto"/>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800" w:hanging="180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15" w15:restartNumberingAfterBreak="0">
    <w:nsid w:val="5496584D"/>
    <w:multiLevelType w:val="multilevel"/>
    <w:tmpl w:val="F30CD6C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6"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4378B1"/>
    <w:multiLevelType w:val="multilevel"/>
    <w:tmpl w:val="C89470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692C68"/>
    <w:multiLevelType w:val="hybridMultilevel"/>
    <w:tmpl w:val="469C5600"/>
    <w:lvl w:ilvl="0" w:tplc="E5DCCB5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0" w15:restartNumberingAfterBreak="0">
    <w:nsid w:val="6BAD0F27"/>
    <w:multiLevelType w:val="hybridMultilevel"/>
    <w:tmpl w:val="FF4A868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1" w15:restartNumberingAfterBreak="0">
    <w:nsid w:val="6C123EEC"/>
    <w:multiLevelType w:val="multilevel"/>
    <w:tmpl w:val="2F4CD5C2"/>
    <w:lvl w:ilvl="0">
      <w:start w:val="4"/>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570" w:hanging="144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782" w:hanging="1800"/>
      </w:pPr>
      <w:rPr>
        <w:rFonts w:hint="default"/>
        <w:color w:val="auto"/>
      </w:rPr>
    </w:lvl>
    <w:lvl w:ilvl="8">
      <w:start w:val="1"/>
      <w:numFmt w:val="decimal"/>
      <w:lvlText w:val="%1.%2.%3.%4.%5.%6.%7.%8.%9"/>
      <w:lvlJc w:val="left"/>
      <w:pPr>
        <w:ind w:left="5208" w:hanging="1800"/>
      </w:pPr>
      <w:rPr>
        <w:rFonts w:hint="default"/>
        <w:color w:val="auto"/>
      </w:rPr>
    </w:lvl>
  </w:abstractNum>
  <w:abstractNum w:abstractNumId="22"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4" w15:restartNumberingAfterBreak="0">
    <w:nsid w:val="71BB504E"/>
    <w:multiLevelType w:val="hybridMultilevel"/>
    <w:tmpl w:val="925C7BB6"/>
    <w:lvl w:ilvl="0" w:tplc="503C96CC">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5"/>
  </w:num>
  <w:num w:numId="2">
    <w:abstractNumId w:val="13"/>
  </w:num>
  <w:num w:numId="3">
    <w:abstractNumId w:val="5"/>
  </w:num>
  <w:num w:numId="4">
    <w:abstractNumId w:val="25"/>
  </w:num>
  <w:num w:numId="5">
    <w:abstractNumId w:val="19"/>
  </w:num>
  <w:num w:numId="6">
    <w:abstractNumId w:val="22"/>
  </w:num>
  <w:num w:numId="7">
    <w:abstractNumId w:val="3"/>
  </w:num>
  <w:num w:numId="8">
    <w:abstractNumId w:val="23"/>
  </w:num>
  <w:num w:numId="9">
    <w:abstractNumId w:val="1"/>
  </w:num>
  <w:num w:numId="10">
    <w:abstractNumId w:val="4"/>
  </w:num>
  <w:num w:numId="11">
    <w:abstractNumId w:val="16"/>
  </w:num>
  <w:num w:numId="12">
    <w:abstractNumId w:val="10"/>
  </w:num>
  <w:num w:numId="13">
    <w:abstractNumId w:val="26"/>
  </w:num>
  <w:num w:numId="14">
    <w:abstractNumId w:val="12"/>
  </w:num>
  <w:num w:numId="15">
    <w:abstractNumId w:val="7"/>
  </w:num>
  <w:num w:numId="16">
    <w:abstractNumId w:val="11"/>
  </w:num>
  <w:num w:numId="17">
    <w:abstractNumId w:val="14"/>
  </w:num>
  <w:num w:numId="18">
    <w:abstractNumId w:val="21"/>
  </w:num>
  <w:num w:numId="19">
    <w:abstractNumId w:val="8"/>
  </w:num>
  <w:num w:numId="20">
    <w:abstractNumId w:val="20"/>
  </w:num>
  <w:num w:numId="21">
    <w:abstractNumId w:val="9"/>
  </w:num>
  <w:num w:numId="22">
    <w:abstractNumId w:val="18"/>
  </w:num>
  <w:num w:numId="23">
    <w:abstractNumId w:val="0"/>
  </w:num>
  <w:num w:numId="24">
    <w:abstractNumId w:val="2"/>
  </w:num>
  <w:num w:numId="25">
    <w:abstractNumId w:val="24"/>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0"/>
    <w:rsid w:val="00012FC0"/>
    <w:rsid w:val="000135E5"/>
    <w:rsid w:val="000619C5"/>
    <w:rsid w:val="000B18C6"/>
    <w:rsid w:val="000E2752"/>
    <w:rsid w:val="000F185B"/>
    <w:rsid w:val="000F305D"/>
    <w:rsid w:val="0010706F"/>
    <w:rsid w:val="001A0974"/>
    <w:rsid w:val="001B3D3B"/>
    <w:rsid w:val="001C7302"/>
    <w:rsid w:val="001F2A93"/>
    <w:rsid w:val="001F530F"/>
    <w:rsid w:val="00221836"/>
    <w:rsid w:val="00270F89"/>
    <w:rsid w:val="00273DDA"/>
    <w:rsid w:val="002752A3"/>
    <w:rsid w:val="002D22FD"/>
    <w:rsid w:val="002D2E9D"/>
    <w:rsid w:val="002E7B05"/>
    <w:rsid w:val="002F069C"/>
    <w:rsid w:val="002F0AE1"/>
    <w:rsid w:val="002F150B"/>
    <w:rsid w:val="002F5167"/>
    <w:rsid w:val="00314AE7"/>
    <w:rsid w:val="003204CE"/>
    <w:rsid w:val="0035130A"/>
    <w:rsid w:val="00362A51"/>
    <w:rsid w:val="00381270"/>
    <w:rsid w:val="00386059"/>
    <w:rsid w:val="003871F0"/>
    <w:rsid w:val="00393359"/>
    <w:rsid w:val="003940C8"/>
    <w:rsid w:val="00396E47"/>
    <w:rsid w:val="003A59BE"/>
    <w:rsid w:val="003B651C"/>
    <w:rsid w:val="003C21DE"/>
    <w:rsid w:val="003C360D"/>
    <w:rsid w:val="003E6B68"/>
    <w:rsid w:val="0040116D"/>
    <w:rsid w:val="00424395"/>
    <w:rsid w:val="0043458F"/>
    <w:rsid w:val="004473E9"/>
    <w:rsid w:val="00454EDB"/>
    <w:rsid w:val="0046225E"/>
    <w:rsid w:val="00484477"/>
    <w:rsid w:val="004853D7"/>
    <w:rsid w:val="00496677"/>
    <w:rsid w:val="004A1E2C"/>
    <w:rsid w:val="004C5FD4"/>
    <w:rsid w:val="004D4A45"/>
    <w:rsid w:val="004E4BFB"/>
    <w:rsid w:val="004E613E"/>
    <w:rsid w:val="0051311E"/>
    <w:rsid w:val="005219BC"/>
    <w:rsid w:val="0054743C"/>
    <w:rsid w:val="005637BF"/>
    <w:rsid w:val="00583F49"/>
    <w:rsid w:val="005A62EC"/>
    <w:rsid w:val="005A7F62"/>
    <w:rsid w:val="005B43ED"/>
    <w:rsid w:val="005B6F53"/>
    <w:rsid w:val="005D1A77"/>
    <w:rsid w:val="005D373C"/>
    <w:rsid w:val="005E4E4B"/>
    <w:rsid w:val="005F61E4"/>
    <w:rsid w:val="005F66D3"/>
    <w:rsid w:val="00610A6B"/>
    <w:rsid w:val="00625D19"/>
    <w:rsid w:val="006266F4"/>
    <w:rsid w:val="006306AD"/>
    <w:rsid w:val="00641EE2"/>
    <w:rsid w:val="0065474A"/>
    <w:rsid w:val="00663FCF"/>
    <w:rsid w:val="006722AB"/>
    <w:rsid w:val="006732F1"/>
    <w:rsid w:val="00690A42"/>
    <w:rsid w:val="00690CC2"/>
    <w:rsid w:val="006F0BCB"/>
    <w:rsid w:val="00727711"/>
    <w:rsid w:val="00730D1F"/>
    <w:rsid w:val="00732263"/>
    <w:rsid w:val="00733D14"/>
    <w:rsid w:val="0073581B"/>
    <w:rsid w:val="00736143"/>
    <w:rsid w:val="00741D19"/>
    <w:rsid w:val="00744CFF"/>
    <w:rsid w:val="00747793"/>
    <w:rsid w:val="0075150F"/>
    <w:rsid w:val="0075449A"/>
    <w:rsid w:val="007608C2"/>
    <w:rsid w:val="00765AC5"/>
    <w:rsid w:val="00766A24"/>
    <w:rsid w:val="00781E1A"/>
    <w:rsid w:val="007923E8"/>
    <w:rsid w:val="007B2BA5"/>
    <w:rsid w:val="007D4460"/>
    <w:rsid w:val="007D7C94"/>
    <w:rsid w:val="00815AEA"/>
    <w:rsid w:val="00822771"/>
    <w:rsid w:val="0086108B"/>
    <w:rsid w:val="00861333"/>
    <w:rsid w:val="00876D91"/>
    <w:rsid w:val="00880E43"/>
    <w:rsid w:val="008911E4"/>
    <w:rsid w:val="00897743"/>
    <w:rsid w:val="008C2C0F"/>
    <w:rsid w:val="00931974"/>
    <w:rsid w:val="00932AE5"/>
    <w:rsid w:val="009357D5"/>
    <w:rsid w:val="009460AE"/>
    <w:rsid w:val="00973CB9"/>
    <w:rsid w:val="0098101A"/>
    <w:rsid w:val="009877BD"/>
    <w:rsid w:val="0099785C"/>
    <w:rsid w:val="009A3EFB"/>
    <w:rsid w:val="009D26C3"/>
    <w:rsid w:val="009D7961"/>
    <w:rsid w:val="00A44CFE"/>
    <w:rsid w:val="00A925A1"/>
    <w:rsid w:val="00A94CB3"/>
    <w:rsid w:val="00AB6A20"/>
    <w:rsid w:val="00AE7E99"/>
    <w:rsid w:val="00AF02B3"/>
    <w:rsid w:val="00B14776"/>
    <w:rsid w:val="00B360FE"/>
    <w:rsid w:val="00B43CFC"/>
    <w:rsid w:val="00B469B0"/>
    <w:rsid w:val="00B5095E"/>
    <w:rsid w:val="00B51317"/>
    <w:rsid w:val="00B555A3"/>
    <w:rsid w:val="00B63511"/>
    <w:rsid w:val="00B66C3B"/>
    <w:rsid w:val="00B72C8B"/>
    <w:rsid w:val="00B912B8"/>
    <w:rsid w:val="00BA64C3"/>
    <w:rsid w:val="00BA7011"/>
    <w:rsid w:val="00BB5B41"/>
    <w:rsid w:val="00BE6D2A"/>
    <w:rsid w:val="00C03685"/>
    <w:rsid w:val="00C12996"/>
    <w:rsid w:val="00C12D6E"/>
    <w:rsid w:val="00C35AF0"/>
    <w:rsid w:val="00C4368E"/>
    <w:rsid w:val="00C85112"/>
    <w:rsid w:val="00C93284"/>
    <w:rsid w:val="00CA1B56"/>
    <w:rsid w:val="00CA3206"/>
    <w:rsid w:val="00CB6F50"/>
    <w:rsid w:val="00CC13BE"/>
    <w:rsid w:val="00D0059B"/>
    <w:rsid w:val="00D112A8"/>
    <w:rsid w:val="00D14F98"/>
    <w:rsid w:val="00D22808"/>
    <w:rsid w:val="00D551CA"/>
    <w:rsid w:val="00D64E4E"/>
    <w:rsid w:val="00D70399"/>
    <w:rsid w:val="00D83418"/>
    <w:rsid w:val="00D87564"/>
    <w:rsid w:val="00DB1989"/>
    <w:rsid w:val="00DC4487"/>
    <w:rsid w:val="00E123EA"/>
    <w:rsid w:val="00E13956"/>
    <w:rsid w:val="00E27966"/>
    <w:rsid w:val="00E32CB2"/>
    <w:rsid w:val="00E37FE2"/>
    <w:rsid w:val="00E409C8"/>
    <w:rsid w:val="00E4359B"/>
    <w:rsid w:val="00E471C6"/>
    <w:rsid w:val="00E61178"/>
    <w:rsid w:val="00E62BA1"/>
    <w:rsid w:val="00E744A1"/>
    <w:rsid w:val="00E90F23"/>
    <w:rsid w:val="00EB5D98"/>
    <w:rsid w:val="00EC003E"/>
    <w:rsid w:val="00EE4D56"/>
    <w:rsid w:val="00EF3EBE"/>
    <w:rsid w:val="00EF5032"/>
    <w:rsid w:val="00F12636"/>
    <w:rsid w:val="00F17A5F"/>
    <w:rsid w:val="00F545DB"/>
    <w:rsid w:val="00F662F7"/>
    <w:rsid w:val="00F72B4F"/>
    <w:rsid w:val="00F84B22"/>
    <w:rsid w:val="00F87248"/>
    <w:rsid w:val="00FA2FC6"/>
    <w:rsid w:val="00FB6C7E"/>
    <w:rsid w:val="00FC2304"/>
    <w:rsid w:val="00FE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682B"/>
  <w15:docId w15:val="{CF28B672-1069-4DC1-9C99-80B7AABA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471C6"/>
    <w:pPr>
      <w:tabs>
        <w:tab w:val="center" w:pos="4513"/>
        <w:tab w:val="right" w:pos="9026"/>
      </w:tabs>
    </w:pPr>
  </w:style>
  <w:style w:type="character" w:customStyle="1" w:styleId="FooterChar">
    <w:name w:val="Footer Char"/>
    <w:basedOn w:val="DefaultParagraphFont"/>
    <w:link w:val="Footer"/>
    <w:uiPriority w:val="99"/>
    <w:semiHidden/>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B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648706336">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153E5-F5F6-4A32-AA61-3991231C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Patton</dc:creator>
  <cp:lastModifiedBy>Wendy Bruce</cp:lastModifiedBy>
  <cp:revision>2</cp:revision>
  <cp:lastPrinted>2019-11-04T16:15:00Z</cp:lastPrinted>
  <dcterms:created xsi:type="dcterms:W3CDTF">2020-09-22T08:46:00Z</dcterms:created>
  <dcterms:modified xsi:type="dcterms:W3CDTF">2020-09-22T08:46:00Z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926466720</vt:i4>
  </property>
  <property fmtid="{D5CDD505-2E9C-101B-9397-08002B2CF9AE}" pid="3" name="_NewReviewCycle">
    <vt:lpwstr/>
  </property>
  <property fmtid="{D5CDD505-2E9C-101B-9397-08002B2CF9AE}" pid="4" name="_EmailSubject">
    <vt:lpwstr>Schools Forum to print</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-960031312</vt:i4>
  </property>
  <property fmtid="{D5CDD505-2E9C-101B-9397-08002B2CF9AE}" pid="8" name="_ReviewingToolsShownOnce">
    <vt:lpwstr/>
  </property>
</Properties>
</file>