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F1185" w14:textId="77777777" w:rsidR="00B921AC" w:rsidRPr="00127C03" w:rsidRDefault="00B921AC" w:rsidP="00B921AC">
      <w:pPr>
        <w:pBdr>
          <w:top w:val="single" w:sz="4" w:space="1" w:color="auto"/>
          <w:left w:val="single" w:sz="4" w:space="4" w:color="auto"/>
          <w:bottom w:val="single" w:sz="4" w:space="1" w:color="auto"/>
          <w:right w:val="single" w:sz="4" w:space="4" w:color="auto"/>
        </w:pBdr>
        <w:jc w:val="center"/>
        <w:rPr>
          <w:rFonts w:ascii="Arial" w:hAnsi="Arial" w:cs="Arial"/>
          <w:b/>
          <w:bCs/>
        </w:rPr>
      </w:pPr>
      <w:bookmarkStart w:id="0" w:name="_GoBack"/>
      <w:bookmarkEnd w:id="0"/>
      <w:r w:rsidRPr="00127C03">
        <w:rPr>
          <w:rFonts w:ascii="Arial" w:hAnsi="Arial" w:cs="Arial"/>
          <w:b/>
          <w:bCs/>
        </w:rPr>
        <w:t>Report to Hartlepool Schools’ Forum</w:t>
      </w:r>
      <w:r w:rsidR="005879DB" w:rsidRPr="00127C03">
        <w:rPr>
          <w:rFonts w:ascii="Arial" w:hAnsi="Arial" w:cs="Arial"/>
          <w:b/>
          <w:bCs/>
        </w:rPr>
        <w:t xml:space="preserve"> </w:t>
      </w:r>
      <w:r w:rsidR="00AE5BDB">
        <w:rPr>
          <w:rFonts w:ascii="Arial" w:hAnsi="Arial" w:cs="Arial"/>
          <w:b/>
          <w:bCs/>
        </w:rPr>
        <w:t>24 September</w:t>
      </w:r>
      <w:r w:rsidR="000904BC">
        <w:rPr>
          <w:rFonts w:ascii="Arial" w:hAnsi="Arial" w:cs="Arial"/>
          <w:b/>
          <w:bCs/>
        </w:rPr>
        <w:t xml:space="preserve"> 2020</w:t>
      </w:r>
    </w:p>
    <w:p w14:paraId="1E4FF143" w14:textId="77777777" w:rsidR="00B921AC" w:rsidRPr="00127C03" w:rsidRDefault="00B921AC" w:rsidP="00B921AC">
      <w:pPr>
        <w:pBdr>
          <w:top w:val="single" w:sz="4" w:space="1" w:color="auto"/>
          <w:left w:val="single" w:sz="4" w:space="4" w:color="auto"/>
          <w:bottom w:val="single" w:sz="4" w:space="1" w:color="auto"/>
          <w:right w:val="single" w:sz="4" w:space="4" w:color="auto"/>
        </w:pBdr>
        <w:jc w:val="center"/>
        <w:rPr>
          <w:rFonts w:ascii="Arial" w:hAnsi="Arial" w:cs="Arial"/>
          <w:b/>
          <w:bCs/>
        </w:rPr>
      </w:pPr>
      <w:r w:rsidRPr="00127C03">
        <w:rPr>
          <w:rFonts w:ascii="Arial" w:hAnsi="Arial" w:cs="Arial"/>
          <w:b/>
          <w:bCs/>
        </w:rPr>
        <w:t xml:space="preserve">From </w:t>
      </w:r>
      <w:r w:rsidR="000904BC">
        <w:rPr>
          <w:rFonts w:ascii="Arial" w:hAnsi="Arial" w:cs="Arial"/>
          <w:b/>
          <w:bCs/>
        </w:rPr>
        <w:t>Amanda Whitehead</w:t>
      </w:r>
      <w:r w:rsidR="00380BB4">
        <w:rPr>
          <w:rFonts w:ascii="Arial" w:hAnsi="Arial" w:cs="Arial"/>
          <w:b/>
          <w:bCs/>
        </w:rPr>
        <w:t xml:space="preserve"> </w:t>
      </w:r>
      <w:r w:rsidR="001D775A">
        <w:rPr>
          <w:rFonts w:ascii="Arial" w:hAnsi="Arial" w:cs="Arial"/>
          <w:b/>
          <w:bCs/>
        </w:rPr>
        <w:t>(</w:t>
      </w:r>
      <w:r w:rsidR="000904BC">
        <w:rPr>
          <w:rFonts w:ascii="Arial" w:hAnsi="Arial" w:cs="Arial"/>
          <w:b/>
          <w:bCs/>
        </w:rPr>
        <w:t xml:space="preserve">Assistant </w:t>
      </w:r>
      <w:r w:rsidR="001D775A">
        <w:rPr>
          <w:rFonts w:ascii="Arial" w:hAnsi="Arial" w:cs="Arial"/>
          <w:b/>
          <w:bCs/>
        </w:rPr>
        <w:t>Director</w:t>
      </w:r>
      <w:r w:rsidR="000904BC">
        <w:rPr>
          <w:rFonts w:ascii="Arial" w:hAnsi="Arial" w:cs="Arial"/>
          <w:b/>
          <w:bCs/>
        </w:rPr>
        <w:t xml:space="preserve"> - Education</w:t>
      </w:r>
      <w:r w:rsidR="008B24AA" w:rsidRPr="00127C03">
        <w:rPr>
          <w:rFonts w:ascii="Arial" w:hAnsi="Arial" w:cs="Arial"/>
          <w:b/>
          <w:bCs/>
        </w:rPr>
        <w:t>)</w:t>
      </w:r>
    </w:p>
    <w:p w14:paraId="7BE757ED" w14:textId="77777777" w:rsidR="0079428F" w:rsidRPr="00127C03" w:rsidRDefault="0079428F">
      <w:pPr>
        <w:rPr>
          <w:rFonts w:ascii="Arial" w:hAnsi="Arial" w:cs="Arial"/>
          <w:b/>
          <w:bCs/>
        </w:rPr>
      </w:pPr>
    </w:p>
    <w:p w14:paraId="75250EF6" w14:textId="0727C25D" w:rsidR="0079428F" w:rsidRPr="00127C03" w:rsidRDefault="0079428F" w:rsidP="0079428F">
      <w:pPr>
        <w:pStyle w:val="Heading1"/>
      </w:pPr>
      <w:r w:rsidRPr="00127C03">
        <w:t>Agenda Item</w:t>
      </w:r>
      <w:r w:rsidR="008719C1">
        <w:t xml:space="preserve"> </w:t>
      </w:r>
      <w:r w:rsidR="00D43BFD">
        <w:t>15</w:t>
      </w:r>
      <w:r w:rsidR="002B3E18" w:rsidRPr="00127C03">
        <w:t xml:space="preserve"> </w:t>
      </w:r>
      <w:r w:rsidR="007B345D">
        <w:t>–</w:t>
      </w:r>
      <w:r w:rsidRPr="00127C03">
        <w:t xml:space="preserve"> </w:t>
      </w:r>
      <w:r w:rsidR="00C54014">
        <w:t>Financial Transparency for Schools</w:t>
      </w:r>
    </w:p>
    <w:p w14:paraId="29BBFAEA" w14:textId="77777777" w:rsidR="0079428F" w:rsidRDefault="0079428F" w:rsidP="0079428F">
      <w:pPr>
        <w:rPr>
          <w:rFonts w:ascii="Arial" w:hAnsi="Arial" w:cs="Arial"/>
        </w:rPr>
      </w:pPr>
    </w:p>
    <w:p w14:paraId="2B95AD1D" w14:textId="77777777" w:rsidR="005F187A" w:rsidRPr="00127C03" w:rsidRDefault="005F187A" w:rsidP="0079428F">
      <w:pPr>
        <w:rPr>
          <w:rFonts w:ascii="Arial" w:hAnsi="Arial" w:cs="Arial"/>
        </w:rPr>
      </w:pPr>
    </w:p>
    <w:p w14:paraId="281EFDAA" w14:textId="77777777" w:rsidR="0079428F" w:rsidRPr="00127C03" w:rsidRDefault="0079428F" w:rsidP="004D7F53">
      <w:pPr>
        <w:numPr>
          <w:ilvl w:val="0"/>
          <w:numId w:val="4"/>
        </w:numPr>
        <w:rPr>
          <w:rFonts w:ascii="Arial" w:hAnsi="Arial" w:cs="Arial"/>
          <w:b/>
          <w:u w:val="single"/>
        </w:rPr>
      </w:pPr>
      <w:r w:rsidRPr="00127C03">
        <w:rPr>
          <w:rFonts w:ascii="Arial" w:hAnsi="Arial" w:cs="Arial"/>
          <w:b/>
          <w:u w:val="single"/>
        </w:rPr>
        <w:t>Introduction</w:t>
      </w:r>
    </w:p>
    <w:p w14:paraId="47F62B37" w14:textId="77777777" w:rsidR="007B345D" w:rsidRDefault="007B345D" w:rsidP="007B345D">
      <w:pPr>
        <w:rPr>
          <w:rFonts w:ascii="Arial" w:hAnsi="Arial" w:cs="Arial"/>
        </w:rPr>
      </w:pPr>
    </w:p>
    <w:p w14:paraId="49E4A942" w14:textId="77777777" w:rsidR="00C962B8" w:rsidRDefault="000717C8" w:rsidP="000717C8">
      <w:pPr>
        <w:numPr>
          <w:ilvl w:val="1"/>
          <w:numId w:val="4"/>
        </w:numPr>
        <w:rPr>
          <w:rFonts w:ascii="Arial" w:hAnsi="Arial" w:cs="Arial"/>
          <w:bCs/>
        </w:rPr>
      </w:pPr>
      <w:r>
        <w:rPr>
          <w:rFonts w:ascii="Arial" w:hAnsi="Arial" w:cs="Arial"/>
        </w:rPr>
        <w:t>Through the academies programme, the Department for Education (</w:t>
      </w:r>
      <w:proofErr w:type="spellStart"/>
      <w:r>
        <w:rPr>
          <w:rFonts w:ascii="Arial" w:hAnsi="Arial" w:cs="Arial"/>
        </w:rPr>
        <w:t>DfE</w:t>
      </w:r>
      <w:proofErr w:type="spellEnd"/>
      <w:r>
        <w:rPr>
          <w:rFonts w:ascii="Arial" w:hAnsi="Arial" w:cs="Arial"/>
        </w:rPr>
        <w:t xml:space="preserve">) has introduced a number of measures to increase the financial transparency and accountability of Trusts. </w:t>
      </w:r>
      <w:proofErr w:type="spellStart"/>
      <w:r>
        <w:rPr>
          <w:rFonts w:ascii="Arial" w:hAnsi="Arial" w:cs="Arial"/>
        </w:rPr>
        <w:t>DfE</w:t>
      </w:r>
      <w:proofErr w:type="spellEnd"/>
      <w:r>
        <w:rPr>
          <w:rFonts w:ascii="Arial" w:hAnsi="Arial" w:cs="Arial"/>
        </w:rPr>
        <w:t xml:space="preserve"> have decided to adapt and implement a number of measures for maintained schools to strengthen current arrangements for use of the Dedicated Schools Grant (DSG) across all schools.</w:t>
      </w:r>
      <w:r>
        <w:rPr>
          <w:rFonts w:ascii="Arial" w:hAnsi="Arial" w:cs="Arial"/>
          <w:bCs/>
        </w:rPr>
        <w:t xml:space="preserve"> </w:t>
      </w:r>
    </w:p>
    <w:p w14:paraId="643E1F5E" w14:textId="77777777" w:rsidR="000717C8" w:rsidRDefault="000717C8" w:rsidP="000717C8">
      <w:pPr>
        <w:ind w:left="720"/>
        <w:rPr>
          <w:rFonts w:ascii="Arial" w:hAnsi="Arial" w:cs="Arial"/>
          <w:bCs/>
        </w:rPr>
      </w:pPr>
    </w:p>
    <w:p w14:paraId="3E46438C" w14:textId="77777777" w:rsidR="007B345D" w:rsidRDefault="000717C8" w:rsidP="007B345D">
      <w:pPr>
        <w:pStyle w:val="ListParagraph"/>
        <w:numPr>
          <w:ilvl w:val="1"/>
          <w:numId w:val="4"/>
        </w:numPr>
        <w:rPr>
          <w:rFonts w:ascii="Arial" w:hAnsi="Arial" w:cs="Arial"/>
          <w:bCs/>
        </w:rPr>
      </w:pPr>
      <w:r>
        <w:rPr>
          <w:rFonts w:ascii="Arial" w:hAnsi="Arial" w:cs="Arial"/>
          <w:bCs/>
        </w:rPr>
        <w:t>Implementation of the new measures will involve changes to the current Chief Finance Officer DSG Assurance Statement, the Schools Finan</w:t>
      </w:r>
      <w:r w:rsidR="00175373">
        <w:rPr>
          <w:rFonts w:ascii="Arial" w:hAnsi="Arial" w:cs="Arial"/>
          <w:bCs/>
        </w:rPr>
        <w:t xml:space="preserve">cial Value Standard (SFVS), </w:t>
      </w:r>
      <w:proofErr w:type="gramStart"/>
      <w:r w:rsidR="00175373">
        <w:rPr>
          <w:rFonts w:ascii="Arial" w:hAnsi="Arial" w:cs="Arial"/>
          <w:bCs/>
        </w:rPr>
        <w:t>the</w:t>
      </w:r>
      <w:proofErr w:type="gramEnd"/>
      <w:r w:rsidR="00175373">
        <w:rPr>
          <w:rFonts w:ascii="Arial" w:hAnsi="Arial" w:cs="Arial"/>
          <w:bCs/>
        </w:rPr>
        <w:t xml:space="preserve"> </w:t>
      </w:r>
      <w:r>
        <w:rPr>
          <w:rFonts w:ascii="Arial" w:hAnsi="Arial" w:cs="Arial"/>
          <w:bCs/>
        </w:rPr>
        <w:t xml:space="preserve">Scheme for Financing Schools and to individual school website content. </w:t>
      </w:r>
    </w:p>
    <w:p w14:paraId="289A2901" w14:textId="77777777" w:rsidR="00B90C59" w:rsidRDefault="00B90C59" w:rsidP="00B90C59">
      <w:pPr>
        <w:pStyle w:val="ListParagraph"/>
        <w:rPr>
          <w:rFonts w:ascii="Arial" w:hAnsi="Arial" w:cs="Arial"/>
          <w:bCs/>
        </w:rPr>
      </w:pPr>
    </w:p>
    <w:p w14:paraId="3D23C85B" w14:textId="77777777" w:rsidR="000717C8" w:rsidRDefault="00B90C59" w:rsidP="000717C8">
      <w:pPr>
        <w:pStyle w:val="ListParagraph"/>
        <w:numPr>
          <w:ilvl w:val="1"/>
          <w:numId w:val="4"/>
        </w:numPr>
        <w:rPr>
          <w:rFonts w:ascii="Arial" w:hAnsi="Arial" w:cs="Arial"/>
          <w:bCs/>
        </w:rPr>
      </w:pPr>
      <w:r>
        <w:rPr>
          <w:rFonts w:ascii="Arial" w:hAnsi="Arial" w:cs="Arial"/>
          <w:bCs/>
        </w:rPr>
        <w:t xml:space="preserve">This report outlines the required changes </w:t>
      </w:r>
      <w:r w:rsidR="000717C8">
        <w:rPr>
          <w:rFonts w:ascii="Arial" w:hAnsi="Arial" w:cs="Arial"/>
          <w:bCs/>
        </w:rPr>
        <w:t>to be introduced for maintained schools and the effective date for implementation.</w:t>
      </w:r>
    </w:p>
    <w:p w14:paraId="20CA1F5B" w14:textId="77777777" w:rsidR="005F187A" w:rsidRDefault="000717C8" w:rsidP="000717C8">
      <w:pPr>
        <w:pStyle w:val="ListParagraph"/>
        <w:rPr>
          <w:rFonts w:ascii="Arial" w:hAnsi="Arial" w:cs="Arial"/>
          <w:bCs/>
        </w:rPr>
      </w:pPr>
      <w:r>
        <w:rPr>
          <w:rFonts w:ascii="Arial" w:hAnsi="Arial" w:cs="Arial"/>
          <w:bCs/>
        </w:rPr>
        <w:t xml:space="preserve"> </w:t>
      </w:r>
    </w:p>
    <w:p w14:paraId="0521A6CD" w14:textId="77777777" w:rsidR="008C700B" w:rsidRPr="00E86B0D" w:rsidRDefault="008C700B" w:rsidP="008C700B">
      <w:pPr>
        <w:pStyle w:val="ListParagraph"/>
        <w:numPr>
          <w:ilvl w:val="0"/>
          <w:numId w:val="4"/>
        </w:numPr>
        <w:rPr>
          <w:rFonts w:ascii="Arial" w:hAnsi="Arial" w:cs="Arial"/>
          <w:b/>
          <w:bCs/>
          <w:u w:val="single"/>
        </w:rPr>
      </w:pPr>
      <w:r w:rsidRPr="00E86B0D">
        <w:rPr>
          <w:rFonts w:ascii="Arial" w:hAnsi="Arial" w:cs="Arial"/>
          <w:b/>
          <w:bCs/>
          <w:u w:val="single"/>
        </w:rPr>
        <w:t>Background</w:t>
      </w:r>
    </w:p>
    <w:p w14:paraId="7708B78C" w14:textId="77777777" w:rsidR="008C700B" w:rsidRDefault="008C700B" w:rsidP="008C700B">
      <w:pPr>
        <w:pStyle w:val="ListParagraph"/>
        <w:rPr>
          <w:rFonts w:ascii="Arial" w:hAnsi="Arial" w:cs="Arial"/>
          <w:bCs/>
        </w:rPr>
      </w:pPr>
    </w:p>
    <w:p w14:paraId="24767517" w14:textId="77777777" w:rsidR="00147F92" w:rsidRDefault="000717C8" w:rsidP="00147F92">
      <w:pPr>
        <w:numPr>
          <w:ilvl w:val="1"/>
          <w:numId w:val="4"/>
        </w:numPr>
        <w:rPr>
          <w:rFonts w:ascii="Arial" w:hAnsi="Arial" w:cs="Arial"/>
        </w:rPr>
      </w:pPr>
      <w:proofErr w:type="spellStart"/>
      <w:r>
        <w:rPr>
          <w:rFonts w:ascii="Arial" w:hAnsi="Arial" w:cs="Arial"/>
        </w:rPr>
        <w:t>DfE</w:t>
      </w:r>
      <w:proofErr w:type="spellEnd"/>
      <w:r w:rsidR="00B90C59">
        <w:rPr>
          <w:rFonts w:ascii="Arial" w:hAnsi="Arial" w:cs="Arial"/>
        </w:rPr>
        <w:t xml:space="preserve"> published </w:t>
      </w:r>
      <w:r>
        <w:rPr>
          <w:rFonts w:ascii="Arial" w:hAnsi="Arial" w:cs="Arial"/>
        </w:rPr>
        <w:t>their response to consultation for “Financial Transparency of LA Maintained Schools and Academy Trusts” in July 2020.</w:t>
      </w:r>
    </w:p>
    <w:p w14:paraId="6F76B750" w14:textId="77777777" w:rsidR="00147F92" w:rsidRDefault="00147F92" w:rsidP="001D775A">
      <w:pPr>
        <w:rPr>
          <w:rFonts w:ascii="Arial" w:hAnsi="Arial" w:cs="Arial"/>
        </w:rPr>
      </w:pPr>
    </w:p>
    <w:p w14:paraId="38636E9A" w14:textId="77777777" w:rsidR="000904BC" w:rsidRPr="00DA7F89" w:rsidRDefault="000717C8" w:rsidP="00F0338C">
      <w:pPr>
        <w:numPr>
          <w:ilvl w:val="1"/>
          <w:numId w:val="4"/>
        </w:numPr>
        <w:rPr>
          <w:rFonts w:ascii="Arial" w:hAnsi="Arial" w:cs="Arial"/>
          <w:color w:val="000000" w:themeColor="text1"/>
        </w:rPr>
      </w:pPr>
      <w:r w:rsidRPr="00DA7F89">
        <w:rPr>
          <w:rFonts w:ascii="Arial" w:hAnsi="Arial" w:cs="Arial"/>
        </w:rPr>
        <w:t>The outcome of consultation covers 8 separate areas for implementation</w:t>
      </w:r>
      <w:r w:rsidR="00DA7F89" w:rsidRPr="00DA7F89">
        <w:rPr>
          <w:rFonts w:ascii="Arial" w:hAnsi="Arial" w:cs="Arial"/>
        </w:rPr>
        <w:t xml:space="preserve"> and </w:t>
      </w:r>
      <w:r w:rsidR="00DA7F89">
        <w:rPr>
          <w:rFonts w:ascii="Arial" w:hAnsi="Arial" w:cs="Arial"/>
        </w:rPr>
        <w:t>c</w:t>
      </w:r>
      <w:r w:rsidR="00ED7053" w:rsidRPr="00DA7F89">
        <w:rPr>
          <w:rFonts w:ascii="Arial" w:hAnsi="Arial" w:cs="Arial"/>
          <w:color w:val="000000" w:themeColor="text1"/>
        </w:rPr>
        <w:t xml:space="preserve">hanges are </w:t>
      </w:r>
      <w:r w:rsidR="00175373" w:rsidRPr="00DA7F89">
        <w:rPr>
          <w:rFonts w:ascii="Arial" w:hAnsi="Arial" w:cs="Arial"/>
          <w:color w:val="000000" w:themeColor="text1"/>
        </w:rPr>
        <w:t>summarised in the sections that follow.</w:t>
      </w:r>
    </w:p>
    <w:p w14:paraId="5996CB35" w14:textId="77777777" w:rsidR="00B90C59" w:rsidRDefault="00B90C59" w:rsidP="00B90C59">
      <w:pPr>
        <w:pStyle w:val="ListParagraph"/>
        <w:rPr>
          <w:rFonts w:ascii="Arial" w:hAnsi="Arial" w:cs="Arial"/>
          <w:color w:val="000000" w:themeColor="text1"/>
        </w:rPr>
      </w:pPr>
    </w:p>
    <w:p w14:paraId="08FE921D" w14:textId="77777777" w:rsidR="005F187A" w:rsidRPr="00127C03" w:rsidRDefault="005F187A" w:rsidP="00DF5AC6">
      <w:pPr>
        <w:rPr>
          <w:rFonts w:ascii="Arial" w:hAnsi="Arial" w:cs="Arial"/>
          <w:color w:val="000000" w:themeColor="text1"/>
        </w:rPr>
      </w:pPr>
    </w:p>
    <w:p w14:paraId="29381E8E" w14:textId="77777777" w:rsidR="009F0AAE" w:rsidRDefault="009F0AAE" w:rsidP="00ED7053">
      <w:pPr>
        <w:ind w:left="720" w:hanging="720"/>
        <w:rPr>
          <w:rFonts w:ascii="Arial" w:hAnsi="Arial" w:cs="Arial"/>
          <w:b/>
          <w:bCs/>
          <w:u w:val="single"/>
        </w:rPr>
      </w:pPr>
      <w:r w:rsidRPr="009F0AAE">
        <w:rPr>
          <w:rFonts w:ascii="Arial" w:hAnsi="Arial" w:cs="Arial"/>
          <w:b/>
          <w:color w:val="000000" w:themeColor="text1"/>
        </w:rPr>
        <w:t>3</w:t>
      </w:r>
      <w:r>
        <w:rPr>
          <w:rFonts w:ascii="Arial" w:hAnsi="Arial" w:cs="Arial"/>
          <w:color w:val="000000" w:themeColor="text1"/>
        </w:rPr>
        <w:tab/>
      </w:r>
      <w:r w:rsidR="00ED7053">
        <w:rPr>
          <w:rFonts w:ascii="Arial" w:hAnsi="Arial" w:cs="Arial"/>
          <w:b/>
          <w:color w:val="000000" w:themeColor="text1"/>
          <w:u w:val="single"/>
        </w:rPr>
        <w:t xml:space="preserve">Transparency Information Changes affecting the Chief Finance Officer </w:t>
      </w:r>
      <w:r w:rsidR="004E1089">
        <w:rPr>
          <w:rFonts w:ascii="Arial" w:hAnsi="Arial" w:cs="Arial"/>
          <w:b/>
          <w:color w:val="000000" w:themeColor="text1"/>
          <w:u w:val="single"/>
        </w:rPr>
        <w:t xml:space="preserve">(CFO) </w:t>
      </w:r>
      <w:r w:rsidR="00ED7053">
        <w:rPr>
          <w:rFonts w:ascii="Arial" w:hAnsi="Arial" w:cs="Arial"/>
          <w:b/>
          <w:color w:val="000000" w:themeColor="text1"/>
          <w:u w:val="single"/>
        </w:rPr>
        <w:t>DSG Assurance Statement</w:t>
      </w:r>
    </w:p>
    <w:p w14:paraId="68F8F404" w14:textId="77777777" w:rsidR="00EA1391" w:rsidRPr="00EA1391" w:rsidRDefault="00EA1391" w:rsidP="00EA1391">
      <w:pPr>
        <w:ind w:left="720"/>
        <w:rPr>
          <w:rFonts w:ascii="Arial" w:hAnsi="Arial" w:cs="Arial"/>
          <w:b/>
          <w:bCs/>
          <w:u w:val="single"/>
        </w:rPr>
      </w:pPr>
    </w:p>
    <w:p w14:paraId="31B633C4" w14:textId="77777777" w:rsidR="006A5D78" w:rsidRDefault="009F0AAE" w:rsidP="006A5D78">
      <w:pPr>
        <w:ind w:left="720" w:hanging="720"/>
        <w:rPr>
          <w:rFonts w:ascii="Helvetica" w:hAnsi="Helvetica"/>
          <w:color w:val="0B0C0C"/>
          <w:sz w:val="29"/>
          <w:szCs w:val="29"/>
        </w:rPr>
      </w:pPr>
      <w:r w:rsidRPr="009F0AAE">
        <w:rPr>
          <w:rFonts w:ascii="Arial" w:hAnsi="Arial" w:cs="Arial"/>
        </w:rPr>
        <w:t>3.</w:t>
      </w:r>
      <w:r>
        <w:rPr>
          <w:rFonts w:ascii="Arial" w:hAnsi="Arial" w:cs="Arial"/>
        </w:rPr>
        <w:t>1</w:t>
      </w:r>
      <w:r w:rsidRPr="009F0AAE">
        <w:rPr>
          <w:rFonts w:ascii="Arial" w:hAnsi="Arial" w:cs="Arial"/>
        </w:rPr>
        <w:tab/>
      </w:r>
      <w:r w:rsidR="00ED7053">
        <w:rPr>
          <w:rFonts w:ascii="Arial" w:hAnsi="Arial" w:cs="Arial"/>
        </w:rPr>
        <w:t xml:space="preserve">At the close of each financial year, the Council’s </w:t>
      </w:r>
      <w:r w:rsidR="004E1089">
        <w:rPr>
          <w:rFonts w:ascii="Arial" w:hAnsi="Arial" w:cs="Arial"/>
        </w:rPr>
        <w:t>CFO</w:t>
      </w:r>
      <w:r w:rsidR="00ED7053">
        <w:rPr>
          <w:rFonts w:ascii="Arial" w:hAnsi="Arial" w:cs="Arial"/>
        </w:rPr>
        <w:t xml:space="preserve"> is required to sign an assurance statement to confirm proper use of DSG funds.</w:t>
      </w:r>
    </w:p>
    <w:p w14:paraId="35ECB8C6" w14:textId="77777777" w:rsidR="004E1089" w:rsidRDefault="006A5D78" w:rsidP="004E1089">
      <w:pPr>
        <w:pStyle w:val="NormalWeb"/>
        <w:spacing w:after="0" w:afterAutospacing="0"/>
        <w:ind w:left="720" w:hanging="720"/>
        <w:rPr>
          <w:rFonts w:ascii="Arial" w:hAnsi="Arial" w:cs="Arial"/>
        </w:rPr>
      </w:pPr>
      <w:r w:rsidRPr="006A5D78">
        <w:rPr>
          <w:rFonts w:ascii="Arial" w:hAnsi="Arial" w:cs="Arial"/>
        </w:rPr>
        <w:t>3.2</w:t>
      </w:r>
      <w:r w:rsidR="007579FE">
        <w:rPr>
          <w:rFonts w:ascii="Arial" w:hAnsi="Arial" w:cs="Arial"/>
        </w:rPr>
        <w:tab/>
      </w:r>
      <w:r w:rsidR="004E1089" w:rsidRPr="004E1089">
        <w:rPr>
          <w:rFonts w:ascii="Arial" w:hAnsi="Arial" w:cs="Arial"/>
          <w:u w:val="single"/>
        </w:rPr>
        <w:t>Fraud Affecting Schools</w:t>
      </w:r>
    </w:p>
    <w:p w14:paraId="55796436" w14:textId="77777777" w:rsidR="007579FE" w:rsidRDefault="00ED7053" w:rsidP="004E1089">
      <w:pPr>
        <w:pStyle w:val="NormalWeb"/>
        <w:spacing w:before="0" w:beforeAutospacing="0" w:after="0" w:afterAutospacing="0"/>
        <w:ind w:left="720"/>
        <w:rPr>
          <w:rFonts w:ascii="Arial" w:hAnsi="Arial" w:cs="Arial"/>
        </w:rPr>
      </w:pPr>
      <w:r>
        <w:rPr>
          <w:rFonts w:ascii="Arial" w:hAnsi="Arial" w:cs="Arial"/>
          <w:lang w:eastAsia="en-US"/>
        </w:rPr>
        <w:t>The existing assurance statement include</w:t>
      </w:r>
      <w:r w:rsidR="00175373">
        <w:rPr>
          <w:rFonts w:ascii="Arial" w:hAnsi="Arial" w:cs="Arial"/>
          <w:lang w:eastAsia="en-US"/>
        </w:rPr>
        <w:t>s</w:t>
      </w:r>
      <w:r>
        <w:rPr>
          <w:rFonts w:ascii="Arial" w:hAnsi="Arial" w:cs="Arial"/>
          <w:lang w:eastAsia="en-US"/>
        </w:rPr>
        <w:t xml:space="preserve"> information on instances of any fraud affecting schools. With effect from financial year 2020/21, the assurance statement </w:t>
      </w:r>
      <w:r w:rsidRPr="00ED7053">
        <w:rPr>
          <w:rFonts w:ascii="Arial" w:hAnsi="Arial" w:cs="Arial"/>
          <w:lang w:eastAsia="en-US"/>
        </w:rPr>
        <w:t>will include a new section that captures the amounts that local authorities have recovered from investigating fraud.</w:t>
      </w:r>
      <w:r w:rsidR="006A5D78" w:rsidRPr="006A5D78">
        <w:rPr>
          <w:rFonts w:ascii="Arial" w:hAnsi="Arial" w:cs="Arial"/>
        </w:rPr>
        <w:tab/>
      </w:r>
    </w:p>
    <w:p w14:paraId="2D06551E" w14:textId="77777777" w:rsidR="004E1089" w:rsidRDefault="004E1089" w:rsidP="004E1089">
      <w:pPr>
        <w:pStyle w:val="NormalWeb"/>
        <w:spacing w:before="0" w:beforeAutospacing="0" w:after="0" w:afterAutospacing="0"/>
        <w:ind w:left="720"/>
        <w:rPr>
          <w:rFonts w:ascii="Arial" w:hAnsi="Arial" w:cs="Arial"/>
        </w:rPr>
      </w:pPr>
    </w:p>
    <w:p w14:paraId="66FC3025" w14:textId="77777777" w:rsidR="007E3EB1" w:rsidRPr="009F0AAE" w:rsidRDefault="007579FE" w:rsidP="00175373">
      <w:pPr>
        <w:ind w:left="720" w:hanging="720"/>
        <w:rPr>
          <w:rFonts w:ascii="Arial" w:hAnsi="Arial" w:cs="Arial"/>
        </w:rPr>
      </w:pPr>
      <w:r>
        <w:rPr>
          <w:rFonts w:ascii="Arial" w:hAnsi="Arial" w:cs="Arial"/>
          <w:lang w:eastAsia="en-GB"/>
        </w:rPr>
        <w:t>3.3</w:t>
      </w:r>
      <w:r>
        <w:rPr>
          <w:rFonts w:ascii="Arial" w:hAnsi="Arial" w:cs="Arial"/>
          <w:lang w:eastAsia="en-GB"/>
        </w:rPr>
        <w:tab/>
      </w:r>
      <w:r w:rsidR="007B345D" w:rsidRPr="009F0AAE">
        <w:rPr>
          <w:rFonts w:ascii="Arial" w:hAnsi="Arial" w:cs="Arial"/>
          <w:lang w:eastAsia="en-GB"/>
        </w:rPr>
        <w:t xml:space="preserve">The </w:t>
      </w:r>
      <w:r w:rsidR="00ED7053">
        <w:rPr>
          <w:rFonts w:ascii="Arial" w:hAnsi="Arial" w:cs="Arial"/>
          <w:lang w:eastAsia="en-GB"/>
        </w:rPr>
        <w:t xml:space="preserve">assurance </w:t>
      </w:r>
      <w:r w:rsidR="00ED7053">
        <w:rPr>
          <w:rFonts w:ascii="Arial" w:hAnsi="Arial" w:cs="Arial"/>
        </w:rPr>
        <w:t xml:space="preserve">statement will also be extended to </w:t>
      </w:r>
      <w:r w:rsidR="00ED7053" w:rsidRPr="00ED7053">
        <w:rPr>
          <w:rFonts w:ascii="Arial" w:hAnsi="Arial" w:cs="Arial"/>
        </w:rPr>
        <w:t>collect the number of maintained schools with suspended budgets and notices of financial concern. This change is also effective from the 2020/21 financial year.</w:t>
      </w:r>
    </w:p>
    <w:p w14:paraId="73CFE9E2" w14:textId="77777777" w:rsidR="007B4E26" w:rsidRPr="000255F6" w:rsidRDefault="007B4E26" w:rsidP="001E5326">
      <w:pPr>
        <w:rPr>
          <w:rFonts w:ascii="Arial" w:hAnsi="Arial" w:cs="Arial"/>
          <w:bCs/>
          <w:vanish/>
        </w:rPr>
      </w:pPr>
    </w:p>
    <w:p w14:paraId="0A4C7944" w14:textId="77777777" w:rsidR="00C962B8" w:rsidRDefault="00C962B8" w:rsidP="00B90C59">
      <w:pPr>
        <w:ind w:left="720" w:hanging="720"/>
        <w:rPr>
          <w:rFonts w:ascii="Arial" w:hAnsi="Arial" w:cs="Arial"/>
        </w:rPr>
      </w:pPr>
      <w:r>
        <w:rPr>
          <w:rFonts w:ascii="Arial" w:hAnsi="Arial" w:cs="Arial"/>
        </w:rPr>
        <w:tab/>
      </w:r>
    </w:p>
    <w:p w14:paraId="32D4EA6A" w14:textId="77777777" w:rsidR="00DA7F89" w:rsidRDefault="00DA7F89" w:rsidP="00C16631">
      <w:pPr>
        <w:ind w:left="720" w:hanging="720"/>
        <w:rPr>
          <w:rFonts w:ascii="Arial" w:hAnsi="Arial" w:cs="Arial"/>
          <w:b/>
          <w:color w:val="000000" w:themeColor="text1"/>
        </w:rPr>
      </w:pPr>
    </w:p>
    <w:p w14:paraId="2D31ADA4" w14:textId="77777777" w:rsidR="00DA7F89" w:rsidRDefault="00DA7F89" w:rsidP="00C16631">
      <w:pPr>
        <w:ind w:left="720" w:hanging="720"/>
        <w:rPr>
          <w:rFonts w:ascii="Arial" w:hAnsi="Arial" w:cs="Arial"/>
          <w:b/>
          <w:color w:val="000000" w:themeColor="text1"/>
        </w:rPr>
      </w:pPr>
    </w:p>
    <w:p w14:paraId="65DF2AD7" w14:textId="77777777" w:rsidR="00DA7F89" w:rsidRDefault="00DA7F89" w:rsidP="00C16631">
      <w:pPr>
        <w:ind w:left="720" w:hanging="720"/>
        <w:rPr>
          <w:rFonts w:ascii="Arial" w:hAnsi="Arial" w:cs="Arial"/>
          <w:b/>
          <w:color w:val="000000" w:themeColor="text1"/>
        </w:rPr>
      </w:pPr>
    </w:p>
    <w:p w14:paraId="3D7B7823" w14:textId="77777777" w:rsidR="00DA7F89" w:rsidRDefault="00DA7F89" w:rsidP="00C16631">
      <w:pPr>
        <w:ind w:left="720" w:hanging="720"/>
        <w:rPr>
          <w:rFonts w:ascii="Arial" w:hAnsi="Arial" w:cs="Arial"/>
          <w:b/>
          <w:color w:val="000000" w:themeColor="text1"/>
        </w:rPr>
      </w:pPr>
    </w:p>
    <w:p w14:paraId="44BC9E1F" w14:textId="77777777" w:rsidR="00C16631" w:rsidRDefault="00C16631" w:rsidP="00C16631">
      <w:pPr>
        <w:ind w:left="720" w:hanging="720"/>
        <w:rPr>
          <w:rFonts w:ascii="Arial" w:hAnsi="Arial" w:cs="Arial"/>
          <w:b/>
          <w:bCs/>
          <w:u w:val="single"/>
        </w:rPr>
      </w:pPr>
      <w:r>
        <w:rPr>
          <w:rFonts w:ascii="Arial" w:hAnsi="Arial" w:cs="Arial"/>
          <w:b/>
          <w:color w:val="000000" w:themeColor="text1"/>
        </w:rPr>
        <w:lastRenderedPageBreak/>
        <w:t>4</w:t>
      </w:r>
      <w:r>
        <w:rPr>
          <w:rFonts w:ascii="Arial" w:hAnsi="Arial" w:cs="Arial"/>
          <w:color w:val="000000" w:themeColor="text1"/>
        </w:rPr>
        <w:tab/>
      </w:r>
      <w:r>
        <w:rPr>
          <w:rFonts w:ascii="Arial" w:hAnsi="Arial" w:cs="Arial"/>
          <w:b/>
          <w:color w:val="000000" w:themeColor="text1"/>
          <w:u w:val="single"/>
        </w:rPr>
        <w:t>Transparency Information Changes affecting the Schools Financial Value Standard</w:t>
      </w:r>
    </w:p>
    <w:p w14:paraId="130AE913" w14:textId="77777777" w:rsidR="00C16631" w:rsidRDefault="00C16631" w:rsidP="00C16631">
      <w:pPr>
        <w:ind w:left="720"/>
        <w:rPr>
          <w:rFonts w:ascii="Arial" w:hAnsi="Arial" w:cs="Arial"/>
          <w:b/>
          <w:bCs/>
          <w:u w:val="single"/>
        </w:rPr>
      </w:pPr>
    </w:p>
    <w:p w14:paraId="249C4144" w14:textId="77777777" w:rsidR="004E1089" w:rsidRPr="004E1089" w:rsidRDefault="00C16631" w:rsidP="00C16631">
      <w:pPr>
        <w:ind w:left="720" w:hanging="720"/>
        <w:rPr>
          <w:rFonts w:ascii="Arial" w:hAnsi="Arial" w:cs="Arial"/>
          <w:u w:val="single"/>
          <w:lang w:eastAsia="en-GB"/>
        </w:rPr>
      </w:pPr>
      <w:r>
        <w:rPr>
          <w:rFonts w:ascii="Arial" w:hAnsi="Arial" w:cs="Arial"/>
        </w:rPr>
        <w:t>4</w:t>
      </w:r>
      <w:r w:rsidRPr="009F0AAE">
        <w:rPr>
          <w:rFonts w:ascii="Arial" w:hAnsi="Arial" w:cs="Arial"/>
        </w:rPr>
        <w:t>.</w:t>
      </w:r>
      <w:r>
        <w:rPr>
          <w:rFonts w:ascii="Arial" w:hAnsi="Arial" w:cs="Arial"/>
        </w:rPr>
        <w:t>1</w:t>
      </w:r>
      <w:r w:rsidRPr="009F0AAE">
        <w:rPr>
          <w:rFonts w:ascii="Arial" w:hAnsi="Arial" w:cs="Arial"/>
        </w:rPr>
        <w:tab/>
      </w:r>
      <w:r w:rsidR="004E1089" w:rsidRPr="004E1089">
        <w:rPr>
          <w:rFonts w:ascii="Arial" w:hAnsi="Arial" w:cs="Arial"/>
          <w:u w:val="single"/>
          <w:lang w:eastAsia="en-GB"/>
        </w:rPr>
        <w:t>Related Party Transactions</w:t>
      </w:r>
    </w:p>
    <w:p w14:paraId="19808C7F" w14:textId="77777777" w:rsidR="004E1089" w:rsidRDefault="004E1089" w:rsidP="004E1089">
      <w:pPr>
        <w:ind w:left="720"/>
        <w:rPr>
          <w:rFonts w:ascii="Arial" w:hAnsi="Arial" w:cs="Arial"/>
          <w:lang w:eastAsia="en-GB"/>
        </w:rPr>
      </w:pPr>
      <w:proofErr w:type="spellStart"/>
      <w:r>
        <w:rPr>
          <w:rFonts w:ascii="Arial" w:hAnsi="Arial" w:cs="Arial"/>
          <w:lang w:eastAsia="en-GB"/>
        </w:rPr>
        <w:t>DfE</w:t>
      </w:r>
      <w:proofErr w:type="spellEnd"/>
      <w:r>
        <w:rPr>
          <w:rFonts w:ascii="Arial" w:hAnsi="Arial" w:cs="Arial"/>
          <w:lang w:eastAsia="en-GB"/>
        </w:rPr>
        <w:t xml:space="preserve"> believe that </w:t>
      </w:r>
      <w:r w:rsidRPr="004E1089">
        <w:rPr>
          <w:rFonts w:ascii="Arial" w:hAnsi="Arial" w:cs="Arial"/>
          <w:lang w:eastAsia="en-GB"/>
        </w:rPr>
        <w:t>the arrangements for reporting Related Party Transactions (RPTs) in maintained schools are not as stringent as those in academy trusts. In particular, since April 2019, all academy trusts have had to seek approval from the ESFA for RPT payments of more than £20,000 and all transactions below £20,000 must be declared.</w:t>
      </w:r>
    </w:p>
    <w:p w14:paraId="739A9FDA" w14:textId="77777777" w:rsidR="004E1089" w:rsidRDefault="004E1089" w:rsidP="004E1089">
      <w:pPr>
        <w:rPr>
          <w:rFonts w:ascii="Arial" w:hAnsi="Arial" w:cs="Arial"/>
          <w:lang w:eastAsia="en-GB"/>
        </w:rPr>
      </w:pPr>
    </w:p>
    <w:p w14:paraId="0DF3657C" w14:textId="77777777" w:rsidR="004E1089" w:rsidRDefault="004E1089" w:rsidP="004E1089">
      <w:pPr>
        <w:ind w:left="720" w:hanging="720"/>
        <w:rPr>
          <w:rFonts w:ascii="Arial" w:hAnsi="Arial" w:cs="Arial"/>
          <w:lang w:eastAsia="en-GB"/>
        </w:rPr>
      </w:pPr>
      <w:r>
        <w:rPr>
          <w:rFonts w:ascii="Arial" w:hAnsi="Arial" w:cs="Arial"/>
          <w:lang w:eastAsia="en-GB"/>
        </w:rPr>
        <w:t>4.2</w:t>
      </w:r>
      <w:r>
        <w:rPr>
          <w:rFonts w:ascii="Arial" w:hAnsi="Arial" w:cs="Arial"/>
          <w:lang w:eastAsia="en-GB"/>
        </w:rPr>
        <w:tab/>
      </w:r>
      <w:r w:rsidR="00175373">
        <w:rPr>
          <w:rFonts w:ascii="Arial" w:hAnsi="Arial" w:cs="Arial"/>
          <w:lang w:eastAsia="en-GB"/>
        </w:rPr>
        <w:t>To strengthen current arrangements, maintained s</w:t>
      </w:r>
      <w:r>
        <w:rPr>
          <w:rFonts w:ascii="Arial" w:hAnsi="Arial" w:cs="Arial"/>
          <w:lang w:eastAsia="en-GB"/>
        </w:rPr>
        <w:t xml:space="preserve">chools will need to </w:t>
      </w:r>
      <w:r w:rsidRPr="00175373">
        <w:rPr>
          <w:rFonts w:ascii="Arial" w:hAnsi="Arial" w:cs="Arial"/>
          <w:lang w:eastAsia="en-GB"/>
        </w:rPr>
        <w:t>append a</w:t>
      </w:r>
      <w:r w:rsidRPr="004E1089">
        <w:rPr>
          <w:rFonts w:ascii="Arial" w:hAnsi="Arial" w:cs="Arial"/>
          <w:lang w:eastAsia="en-GB"/>
        </w:rPr>
        <w:t xml:space="preserve"> list of RPTs to their response to </w:t>
      </w:r>
      <w:r>
        <w:rPr>
          <w:rFonts w:ascii="Arial" w:hAnsi="Arial" w:cs="Arial"/>
          <w:lang w:eastAsia="en-GB"/>
        </w:rPr>
        <w:t>a</w:t>
      </w:r>
      <w:r w:rsidRPr="004E1089">
        <w:rPr>
          <w:rFonts w:ascii="Arial" w:hAnsi="Arial" w:cs="Arial"/>
          <w:lang w:eastAsia="en-GB"/>
        </w:rPr>
        <w:t xml:space="preserve"> new question in the Schools Financial Value Standard (SFVS) about their arrangements for managing RPTs. In addition, </w:t>
      </w:r>
      <w:proofErr w:type="spellStart"/>
      <w:r>
        <w:rPr>
          <w:rFonts w:ascii="Arial" w:hAnsi="Arial" w:cs="Arial"/>
          <w:lang w:eastAsia="en-GB"/>
        </w:rPr>
        <w:t>DfE</w:t>
      </w:r>
      <w:proofErr w:type="spellEnd"/>
      <w:r>
        <w:rPr>
          <w:rFonts w:ascii="Arial" w:hAnsi="Arial" w:cs="Arial"/>
          <w:lang w:eastAsia="en-GB"/>
        </w:rPr>
        <w:t xml:space="preserve"> will</w:t>
      </w:r>
      <w:r w:rsidRPr="004E1089">
        <w:rPr>
          <w:rFonts w:ascii="Arial" w:hAnsi="Arial" w:cs="Arial"/>
          <w:lang w:eastAsia="en-GB"/>
        </w:rPr>
        <w:t xml:space="preserve"> insert additional columns into the CFO Assurance Statement, to request the number of RPTs and value for each to be disclosed.</w:t>
      </w:r>
    </w:p>
    <w:p w14:paraId="4D89001E" w14:textId="77777777" w:rsidR="00A51A29" w:rsidRDefault="00A51A29" w:rsidP="004E1089">
      <w:pPr>
        <w:ind w:left="720" w:hanging="720"/>
        <w:rPr>
          <w:rFonts w:ascii="Arial" w:hAnsi="Arial" w:cs="Arial"/>
          <w:lang w:eastAsia="en-GB"/>
        </w:rPr>
      </w:pPr>
    </w:p>
    <w:p w14:paraId="1BD64FF9" w14:textId="759E77D7" w:rsidR="00A51A29" w:rsidRPr="009F0AAE" w:rsidRDefault="00A51A29" w:rsidP="004E1089">
      <w:pPr>
        <w:ind w:left="720" w:hanging="720"/>
        <w:rPr>
          <w:rFonts w:ascii="Arial" w:hAnsi="Arial" w:cs="Arial"/>
        </w:rPr>
      </w:pPr>
      <w:r>
        <w:rPr>
          <w:rFonts w:ascii="Arial" w:hAnsi="Arial" w:cs="Arial"/>
          <w:lang w:eastAsia="en-GB"/>
        </w:rPr>
        <w:t>4.3</w:t>
      </w:r>
      <w:r>
        <w:rPr>
          <w:rFonts w:ascii="Arial" w:hAnsi="Arial" w:cs="Arial"/>
          <w:lang w:eastAsia="en-GB"/>
        </w:rPr>
        <w:tab/>
      </w:r>
      <w:r w:rsidRPr="00A51A29">
        <w:rPr>
          <w:rFonts w:ascii="Arial" w:hAnsi="Arial" w:cs="Arial"/>
          <w:lang w:eastAsia="en-GB"/>
        </w:rPr>
        <w:t>The list of RPTs will be firs</w:t>
      </w:r>
      <w:r w:rsidR="005B1BB3">
        <w:rPr>
          <w:rFonts w:ascii="Arial" w:hAnsi="Arial" w:cs="Arial"/>
          <w:lang w:eastAsia="en-GB"/>
        </w:rPr>
        <w:t>t attached to the SFVS for 2021/</w:t>
      </w:r>
      <w:r w:rsidRPr="00A51A29">
        <w:rPr>
          <w:rFonts w:ascii="Arial" w:hAnsi="Arial" w:cs="Arial"/>
          <w:lang w:eastAsia="en-GB"/>
        </w:rPr>
        <w:t>22</w:t>
      </w:r>
      <w:r w:rsidR="00175373">
        <w:rPr>
          <w:rFonts w:ascii="Arial" w:hAnsi="Arial" w:cs="Arial"/>
          <w:lang w:eastAsia="en-GB"/>
        </w:rPr>
        <w:t xml:space="preserve"> (for completion by May 2022)</w:t>
      </w:r>
      <w:r>
        <w:rPr>
          <w:rFonts w:ascii="Arial" w:hAnsi="Arial" w:cs="Arial"/>
          <w:lang w:eastAsia="en-GB"/>
        </w:rPr>
        <w:t>. Authorities</w:t>
      </w:r>
      <w:r w:rsidRPr="00A51A29">
        <w:rPr>
          <w:rFonts w:ascii="Arial" w:hAnsi="Arial" w:cs="Arial"/>
          <w:lang w:eastAsia="en-GB"/>
        </w:rPr>
        <w:t xml:space="preserve"> will first report on this to the </w:t>
      </w:r>
      <w:proofErr w:type="spellStart"/>
      <w:r w:rsidRPr="00A51A29">
        <w:rPr>
          <w:rFonts w:ascii="Arial" w:hAnsi="Arial" w:cs="Arial"/>
          <w:lang w:eastAsia="en-GB"/>
        </w:rPr>
        <w:t>D</w:t>
      </w:r>
      <w:r>
        <w:rPr>
          <w:rFonts w:ascii="Arial" w:hAnsi="Arial" w:cs="Arial"/>
          <w:lang w:eastAsia="en-GB"/>
        </w:rPr>
        <w:t>fE</w:t>
      </w:r>
      <w:proofErr w:type="spellEnd"/>
      <w:r w:rsidR="005B1BB3">
        <w:rPr>
          <w:rFonts w:ascii="Arial" w:hAnsi="Arial" w:cs="Arial"/>
          <w:lang w:eastAsia="en-GB"/>
        </w:rPr>
        <w:t xml:space="preserve"> in the CFO statement for 2021/</w:t>
      </w:r>
      <w:r w:rsidRPr="00A51A29">
        <w:rPr>
          <w:rFonts w:ascii="Arial" w:hAnsi="Arial" w:cs="Arial"/>
          <w:lang w:eastAsia="en-GB"/>
        </w:rPr>
        <w:t xml:space="preserve">22, </w:t>
      </w:r>
      <w:r>
        <w:rPr>
          <w:rFonts w:ascii="Arial" w:hAnsi="Arial" w:cs="Arial"/>
          <w:lang w:eastAsia="en-GB"/>
        </w:rPr>
        <w:t>for submission</w:t>
      </w:r>
      <w:r w:rsidRPr="00A51A29">
        <w:rPr>
          <w:rFonts w:ascii="Arial" w:hAnsi="Arial" w:cs="Arial"/>
          <w:lang w:eastAsia="en-GB"/>
        </w:rPr>
        <w:t xml:space="preserve"> in September 2022.</w:t>
      </w:r>
    </w:p>
    <w:p w14:paraId="07C6CB78" w14:textId="77777777" w:rsidR="00C03663" w:rsidRDefault="00C03663" w:rsidP="009F0AAE">
      <w:pPr>
        <w:ind w:left="709" w:hanging="709"/>
        <w:rPr>
          <w:rFonts w:ascii="Arial" w:hAnsi="Arial" w:cs="Arial"/>
        </w:rPr>
      </w:pPr>
    </w:p>
    <w:p w14:paraId="70785D0F" w14:textId="77777777" w:rsidR="00C16631" w:rsidRDefault="00C16631" w:rsidP="00C16631">
      <w:pPr>
        <w:ind w:left="720" w:hanging="720"/>
        <w:rPr>
          <w:rFonts w:ascii="Arial" w:hAnsi="Arial" w:cs="Arial"/>
          <w:b/>
          <w:bCs/>
          <w:u w:val="single"/>
        </w:rPr>
      </w:pPr>
      <w:r>
        <w:rPr>
          <w:rFonts w:ascii="Arial" w:hAnsi="Arial" w:cs="Arial"/>
          <w:b/>
          <w:color w:val="000000" w:themeColor="text1"/>
        </w:rPr>
        <w:t>5</w:t>
      </w:r>
      <w:r>
        <w:rPr>
          <w:rFonts w:ascii="Arial" w:hAnsi="Arial" w:cs="Arial"/>
          <w:color w:val="000000" w:themeColor="text1"/>
        </w:rPr>
        <w:tab/>
      </w:r>
      <w:r>
        <w:rPr>
          <w:rFonts w:ascii="Arial" w:hAnsi="Arial" w:cs="Arial"/>
          <w:b/>
          <w:color w:val="000000" w:themeColor="text1"/>
          <w:u w:val="single"/>
        </w:rPr>
        <w:t>Transparency Information Changes affecting the Scheme for Financing Schools</w:t>
      </w:r>
    </w:p>
    <w:p w14:paraId="5496F791" w14:textId="77777777" w:rsidR="00C16631" w:rsidRPr="00EA1391" w:rsidRDefault="00C16631" w:rsidP="00C16631">
      <w:pPr>
        <w:ind w:left="720"/>
        <w:rPr>
          <w:rFonts w:ascii="Arial" w:hAnsi="Arial" w:cs="Arial"/>
          <w:b/>
          <w:bCs/>
          <w:u w:val="single"/>
        </w:rPr>
      </w:pPr>
    </w:p>
    <w:p w14:paraId="3EA45DE7" w14:textId="77777777" w:rsidR="004E1089" w:rsidRDefault="004E1089" w:rsidP="004E1089">
      <w:pPr>
        <w:ind w:left="720" w:hanging="720"/>
        <w:rPr>
          <w:rFonts w:ascii="Arial" w:hAnsi="Arial" w:cs="Arial"/>
        </w:rPr>
      </w:pPr>
      <w:r>
        <w:rPr>
          <w:rFonts w:ascii="Arial" w:hAnsi="Arial" w:cs="Arial"/>
        </w:rPr>
        <w:t>5</w:t>
      </w:r>
      <w:r w:rsidRPr="009F0AAE">
        <w:rPr>
          <w:rFonts w:ascii="Arial" w:hAnsi="Arial" w:cs="Arial"/>
        </w:rPr>
        <w:t>.</w:t>
      </w:r>
      <w:r>
        <w:rPr>
          <w:rFonts w:ascii="Arial" w:hAnsi="Arial" w:cs="Arial"/>
        </w:rPr>
        <w:t>1</w:t>
      </w:r>
      <w:r w:rsidRPr="009F0AAE">
        <w:rPr>
          <w:rFonts w:ascii="Arial" w:hAnsi="Arial" w:cs="Arial"/>
        </w:rPr>
        <w:tab/>
      </w:r>
      <w:r w:rsidRPr="004E1089">
        <w:rPr>
          <w:rFonts w:ascii="Arial" w:hAnsi="Arial" w:cs="Arial"/>
          <w:u w:val="single"/>
        </w:rPr>
        <w:t>3-Year Budget Plans</w:t>
      </w:r>
    </w:p>
    <w:p w14:paraId="42B333CB" w14:textId="77777777" w:rsidR="004E1089" w:rsidRDefault="004E1089" w:rsidP="00DA7F89">
      <w:pPr>
        <w:ind w:left="720"/>
        <w:rPr>
          <w:rFonts w:ascii="Arial" w:hAnsi="Arial" w:cs="Arial"/>
        </w:rPr>
      </w:pPr>
      <w:proofErr w:type="spellStart"/>
      <w:r>
        <w:rPr>
          <w:rFonts w:ascii="Arial" w:hAnsi="Arial" w:cs="Arial"/>
        </w:rPr>
        <w:t>DfE</w:t>
      </w:r>
      <w:proofErr w:type="spellEnd"/>
      <w:r>
        <w:rPr>
          <w:rFonts w:ascii="Arial" w:hAnsi="Arial" w:cs="Arial"/>
        </w:rPr>
        <w:t xml:space="preserve"> will revise the existing Scheme to require a 3-year budget plan to be provided by maintained schools to their local authority each year.</w:t>
      </w:r>
      <w:r w:rsidR="00DA7F89">
        <w:rPr>
          <w:rFonts w:ascii="Arial" w:hAnsi="Arial" w:cs="Arial"/>
        </w:rPr>
        <w:t xml:space="preserve"> </w:t>
      </w:r>
      <w:r>
        <w:rPr>
          <w:rFonts w:ascii="Arial" w:hAnsi="Arial" w:cs="Arial"/>
        </w:rPr>
        <w:t>The requirement will come into effect for the financial year 2021/22 and 3-year budget plans will need to be submitt</w:t>
      </w:r>
      <w:r w:rsidR="00175373">
        <w:rPr>
          <w:rFonts w:ascii="Arial" w:hAnsi="Arial" w:cs="Arial"/>
        </w:rPr>
        <w:t xml:space="preserve">ed by </w:t>
      </w:r>
      <w:r>
        <w:rPr>
          <w:rFonts w:ascii="Arial" w:hAnsi="Arial" w:cs="Arial"/>
        </w:rPr>
        <w:t>30 June 2021.</w:t>
      </w:r>
    </w:p>
    <w:p w14:paraId="6FD6DA85" w14:textId="77777777" w:rsidR="00DA7F89" w:rsidRDefault="00DA7F89" w:rsidP="00DA7F89">
      <w:pPr>
        <w:ind w:left="720"/>
        <w:rPr>
          <w:rFonts w:ascii="Arial" w:hAnsi="Arial" w:cs="Arial"/>
        </w:rPr>
      </w:pPr>
    </w:p>
    <w:p w14:paraId="208A101D" w14:textId="77777777" w:rsidR="004E1089" w:rsidRDefault="004E1089" w:rsidP="004E1089">
      <w:pPr>
        <w:ind w:left="720" w:hanging="720"/>
        <w:rPr>
          <w:rFonts w:ascii="Arial" w:hAnsi="Arial" w:cs="Arial"/>
          <w:lang w:eastAsia="en-GB"/>
        </w:rPr>
      </w:pPr>
      <w:r>
        <w:rPr>
          <w:rFonts w:ascii="Arial" w:hAnsi="Arial" w:cs="Arial"/>
          <w:lang w:eastAsia="en-GB"/>
        </w:rPr>
        <w:t>5.</w:t>
      </w:r>
      <w:r w:rsidR="00DA7F89">
        <w:rPr>
          <w:rFonts w:ascii="Arial" w:hAnsi="Arial" w:cs="Arial"/>
          <w:lang w:eastAsia="en-GB"/>
        </w:rPr>
        <w:t>2</w:t>
      </w:r>
      <w:r w:rsidR="00DA7F89">
        <w:rPr>
          <w:rFonts w:ascii="Arial" w:hAnsi="Arial" w:cs="Arial"/>
          <w:lang w:eastAsia="en-GB"/>
        </w:rPr>
        <w:tab/>
      </w:r>
      <w:r>
        <w:rPr>
          <w:rFonts w:ascii="Arial" w:hAnsi="Arial" w:cs="Arial"/>
          <w:lang w:eastAsia="en-GB"/>
        </w:rPr>
        <w:t xml:space="preserve">Although not currently required by the Scheme, Hartlepool schools already provide 3-year budget plans by 31 August each year. </w:t>
      </w:r>
    </w:p>
    <w:p w14:paraId="6B98DC4F" w14:textId="77777777" w:rsidR="007956D8" w:rsidRDefault="007956D8" w:rsidP="004E1089">
      <w:pPr>
        <w:ind w:left="720" w:hanging="720"/>
        <w:rPr>
          <w:rFonts w:ascii="Arial" w:hAnsi="Arial" w:cs="Arial"/>
          <w:lang w:eastAsia="en-GB"/>
        </w:rPr>
      </w:pPr>
    </w:p>
    <w:p w14:paraId="6248B03E" w14:textId="77777777" w:rsidR="007956D8" w:rsidRPr="007956D8" w:rsidRDefault="007956D8" w:rsidP="004E1089">
      <w:pPr>
        <w:ind w:left="720" w:hanging="720"/>
        <w:rPr>
          <w:rFonts w:ascii="Arial" w:hAnsi="Arial" w:cs="Arial"/>
          <w:u w:val="single"/>
          <w:lang w:eastAsia="en-GB"/>
        </w:rPr>
      </w:pPr>
      <w:r>
        <w:rPr>
          <w:rFonts w:ascii="Arial" w:hAnsi="Arial" w:cs="Arial"/>
          <w:lang w:eastAsia="en-GB"/>
        </w:rPr>
        <w:t>5.</w:t>
      </w:r>
      <w:r w:rsidR="00DA7F89">
        <w:rPr>
          <w:rFonts w:ascii="Arial" w:hAnsi="Arial" w:cs="Arial"/>
          <w:lang w:eastAsia="en-GB"/>
        </w:rPr>
        <w:t>3</w:t>
      </w:r>
      <w:r>
        <w:rPr>
          <w:rFonts w:ascii="Arial" w:hAnsi="Arial" w:cs="Arial"/>
          <w:lang w:eastAsia="en-GB"/>
        </w:rPr>
        <w:tab/>
      </w:r>
      <w:r w:rsidRPr="007956D8">
        <w:rPr>
          <w:rFonts w:ascii="Arial" w:hAnsi="Arial" w:cs="Arial"/>
          <w:u w:val="single"/>
          <w:lang w:eastAsia="en-GB"/>
        </w:rPr>
        <w:t>School Deficit Recovery Plans</w:t>
      </w:r>
    </w:p>
    <w:p w14:paraId="199E29F2" w14:textId="77777777" w:rsidR="007956D8" w:rsidRDefault="007956D8" w:rsidP="004E1089">
      <w:pPr>
        <w:ind w:left="720" w:hanging="720"/>
        <w:rPr>
          <w:rFonts w:ascii="Arial" w:hAnsi="Arial" w:cs="Arial"/>
          <w:lang w:eastAsia="en-GB"/>
        </w:rPr>
      </w:pPr>
      <w:r>
        <w:rPr>
          <w:rFonts w:ascii="Arial" w:hAnsi="Arial" w:cs="Arial"/>
          <w:lang w:eastAsia="en-GB"/>
        </w:rPr>
        <w:tab/>
        <w:t>The statutory guidance on local authority Schemes for Financing S</w:t>
      </w:r>
      <w:r w:rsidRPr="007956D8">
        <w:rPr>
          <w:rFonts w:ascii="Arial" w:hAnsi="Arial" w:cs="Arial"/>
          <w:lang w:eastAsia="en-GB"/>
        </w:rPr>
        <w:t>chools includes a requirement for schools to manage their resources effectivel</w:t>
      </w:r>
      <w:r>
        <w:rPr>
          <w:rFonts w:ascii="Arial" w:hAnsi="Arial" w:cs="Arial"/>
          <w:lang w:eastAsia="en-GB"/>
        </w:rPr>
        <w:t>y to maximise pupil outcomes. Authoritie</w:t>
      </w:r>
      <w:r w:rsidRPr="007956D8">
        <w:rPr>
          <w:rFonts w:ascii="Arial" w:hAnsi="Arial" w:cs="Arial"/>
          <w:lang w:eastAsia="en-GB"/>
        </w:rPr>
        <w:t>s are also required to have a deficit and a surplus policy within th</w:t>
      </w:r>
      <w:r>
        <w:rPr>
          <w:rFonts w:ascii="Arial" w:hAnsi="Arial" w:cs="Arial"/>
          <w:lang w:eastAsia="en-GB"/>
        </w:rPr>
        <w:t xml:space="preserve">eir Scheme and monitor </w:t>
      </w:r>
      <w:r w:rsidRPr="007956D8">
        <w:rPr>
          <w:rFonts w:ascii="Arial" w:hAnsi="Arial" w:cs="Arial"/>
          <w:lang w:eastAsia="en-GB"/>
        </w:rPr>
        <w:t>comp</w:t>
      </w:r>
      <w:r w:rsidR="00ED32DD">
        <w:rPr>
          <w:rFonts w:ascii="Arial" w:hAnsi="Arial" w:cs="Arial"/>
          <w:lang w:eastAsia="en-GB"/>
        </w:rPr>
        <w:t>liance. Across local authorities</w:t>
      </w:r>
      <w:r w:rsidRPr="007956D8">
        <w:rPr>
          <w:rFonts w:ascii="Arial" w:hAnsi="Arial" w:cs="Arial"/>
          <w:lang w:eastAsia="en-GB"/>
        </w:rPr>
        <w:t>, there is a variance in the levels of deficit that trigger the subm</w:t>
      </w:r>
      <w:r>
        <w:rPr>
          <w:rFonts w:ascii="Arial" w:hAnsi="Arial" w:cs="Arial"/>
          <w:lang w:eastAsia="en-GB"/>
        </w:rPr>
        <w:t>ission of a recovery plan</w:t>
      </w:r>
      <w:r w:rsidRPr="007956D8">
        <w:rPr>
          <w:rFonts w:ascii="Arial" w:hAnsi="Arial" w:cs="Arial"/>
          <w:lang w:eastAsia="en-GB"/>
        </w:rPr>
        <w:t>. There is</w:t>
      </w:r>
      <w:r>
        <w:rPr>
          <w:rFonts w:ascii="Arial" w:hAnsi="Arial" w:cs="Arial"/>
          <w:lang w:eastAsia="en-GB"/>
        </w:rPr>
        <w:t xml:space="preserve"> currently no requirement for Council</w:t>
      </w:r>
      <w:r w:rsidRPr="007956D8">
        <w:rPr>
          <w:rFonts w:ascii="Arial" w:hAnsi="Arial" w:cs="Arial"/>
          <w:lang w:eastAsia="en-GB"/>
        </w:rPr>
        <w:t xml:space="preserve">s to </w:t>
      </w:r>
      <w:r>
        <w:rPr>
          <w:rFonts w:ascii="Arial" w:hAnsi="Arial" w:cs="Arial"/>
          <w:lang w:eastAsia="en-GB"/>
        </w:rPr>
        <w:t xml:space="preserve">report to the </w:t>
      </w:r>
      <w:proofErr w:type="spellStart"/>
      <w:r>
        <w:rPr>
          <w:rFonts w:ascii="Arial" w:hAnsi="Arial" w:cs="Arial"/>
          <w:lang w:eastAsia="en-GB"/>
        </w:rPr>
        <w:t>DfE</w:t>
      </w:r>
      <w:proofErr w:type="spellEnd"/>
      <w:r w:rsidRPr="007956D8">
        <w:rPr>
          <w:rFonts w:ascii="Arial" w:hAnsi="Arial" w:cs="Arial"/>
          <w:lang w:eastAsia="en-GB"/>
        </w:rPr>
        <w:t xml:space="preserve"> their actions to address financial difficulty and effective resource man</w:t>
      </w:r>
      <w:r w:rsidR="00ED32DD">
        <w:rPr>
          <w:rFonts w:ascii="Arial" w:hAnsi="Arial" w:cs="Arial"/>
          <w:lang w:eastAsia="en-GB"/>
        </w:rPr>
        <w:t>agement in specific schools.</w:t>
      </w:r>
    </w:p>
    <w:p w14:paraId="63BBE036" w14:textId="77777777" w:rsidR="007956D8" w:rsidRDefault="007956D8" w:rsidP="004E1089">
      <w:pPr>
        <w:ind w:left="720" w:hanging="720"/>
        <w:rPr>
          <w:rFonts w:ascii="Arial" w:hAnsi="Arial" w:cs="Arial"/>
          <w:lang w:eastAsia="en-GB"/>
        </w:rPr>
      </w:pPr>
    </w:p>
    <w:p w14:paraId="39955368" w14:textId="17C3CEB0" w:rsidR="007956D8" w:rsidRDefault="00DA7F89" w:rsidP="007956D8">
      <w:pPr>
        <w:ind w:left="720" w:hanging="720"/>
        <w:rPr>
          <w:rFonts w:ascii="Arial" w:hAnsi="Arial" w:cs="Arial"/>
          <w:lang w:eastAsia="en-GB"/>
        </w:rPr>
      </w:pPr>
      <w:r>
        <w:rPr>
          <w:rFonts w:ascii="Arial" w:hAnsi="Arial" w:cs="Arial"/>
          <w:lang w:eastAsia="en-GB"/>
        </w:rPr>
        <w:t>5.4</w:t>
      </w:r>
      <w:r w:rsidR="007956D8">
        <w:rPr>
          <w:rFonts w:ascii="Arial" w:hAnsi="Arial" w:cs="Arial"/>
          <w:lang w:eastAsia="en-GB"/>
        </w:rPr>
        <w:tab/>
      </w:r>
      <w:proofErr w:type="spellStart"/>
      <w:r w:rsidR="007956D8">
        <w:rPr>
          <w:rFonts w:ascii="Arial" w:hAnsi="Arial" w:cs="Arial"/>
          <w:lang w:eastAsia="en-GB"/>
        </w:rPr>
        <w:t>DfE</w:t>
      </w:r>
      <w:proofErr w:type="spellEnd"/>
      <w:r w:rsidR="007956D8">
        <w:rPr>
          <w:rFonts w:ascii="Arial" w:hAnsi="Arial" w:cs="Arial"/>
          <w:lang w:eastAsia="en-GB"/>
        </w:rPr>
        <w:t xml:space="preserve"> </w:t>
      </w:r>
      <w:r w:rsidR="007956D8" w:rsidRPr="007956D8">
        <w:rPr>
          <w:rFonts w:ascii="Arial" w:hAnsi="Arial" w:cs="Arial"/>
          <w:lang w:eastAsia="en-GB"/>
        </w:rPr>
        <w:t>will make a directed revision to the Scheme for Financing Schools requiring schools to submit a recovery plan to their maintaining authority when their deficit rises above 5%.</w:t>
      </w:r>
      <w:r w:rsidR="006C38B5">
        <w:rPr>
          <w:rFonts w:ascii="Arial" w:hAnsi="Arial" w:cs="Arial"/>
          <w:lang w:eastAsia="en-GB"/>
        </w:rPr>
        <w:t xml:space="preserve"> Forum Members are aware that Hartlepool already operates a deficit clinic process for schools operating with a deficit. Establishing recovery plans and measuring key milestones against p</w:t>
      </w:r>
      <w:r w:rsidR="00DB4853">
        <w:rPr>
          <w:rFonts w:ascii="Arial" w:hAnsi="Arial" w:cs="Arial"/>
          <w:lang w:eastAsia="en-GB"/>
        </w:rPr>
        <w:t>lans are</w:t>
      </w:r>
      <w:r w:rsidR="006C38B5">
        <w:rPr>
          <w:rFonts w:ascii="Arial" w:hAnsi="Arial" w:cs="Arial"/>
          <w:lang w:eastAsia="en-GB"/>
        </w:rPr>
        <w:t xml:space="preserve"> an integral part of the current process.</w:t>
      </w:r>
    </w:p>
    <w:p w14:paraId="30AD83D1" w14:textId="77777777" w:rsidR="007E3EB1" w:rsidRDefault="007E3EB1" w:rsidP="007956D8">
      <w:pPr>
        <w:ind w:left="720" w:hanging="720"/>
        <w:rPr>
          <w:rFonts w:ascii="Arial" w:hAnsi="Arial" w:cs="Arial"/>
          <w:lang w:eastAsia="en-GB"/>
        </w:rPr>
      </w:pPr>
    </w:p>
    <w:p w14:paraId="0BA6A3E6" w14:textId="77777777" w:rsidR="007E3EB1" w:rsidRDefault="00DA7F89" w:rsidP="007956D8">
      <w:pPr>
        <w:ind w:left="720" w:hanging="720"/>
        <w:rPr>
          <w:rFonts w:ascii="Arial" w:hAnsi="Arial" w:cs="Arial"/>
          <w:lang w:eastAsia="en-GB"/>
        </w:rPr>
      </w:pPr>
      <w:r>
        <w:rPr>
          <w:rFonts w:ascii="Arial" w:hAnsi="Arial" w:cs="Arial"/>
          <w:lang w:eastAsia="en-GB"/>
        </w:rPr>
        <w:t>5.5</w:t>
      </w:r>
      <w:r w:rsidR="007E3EB1">
        <w:rPr>
          <w:rFonts w:ascii="Arial" w:hAnsi="Arial" w:cs="Arial"/>
          <w:lang w:eastAsia="en-GB"/>
        </w:rPr>
        <w:t xml:space="preserve"> </w:t>
      </w:r>
      <w:r w:rsidR="007E3EB1">
        <w:rPr>
          <w:rFonts w:ascii="Arial" w:hAnsi="Arial" w:cs="Arial"/>
          <w:lang w:eastAsia="en-GB"/>
        </w:rPr>
        <w:tab/>
      </w:r>
      <w:proofErr w:type="spellStart"/>
      <w:r w:rsidR="007E3EB1">
        <w:rPr>
          <w:rFonts w:ascii="Arial" w:hAnsi="Arial" w:cs="Arial"/>
          <w:lang w:eastAsia="en-GB"/>
        </w:rPr>
        <w:t>DfE</w:t>
      </w:r>
      <w:proofErr w:type="spellEnd"/>
      <w:r w:rsidR="007E3EB1">
        <w:rPr>
          <w:rFonts w:ascii="Arial" w:hAnsi="Arial" w:cs="Arial"/>
          <w:lang w:eastAsia="en-GB"/>
        </w:rPr>
        <w:t xml:space="preserve"> has stressed that t</w:t>
      </w:r>
      <w:r w:rsidR="007E3EB1" w:rsidRPr="007E3EB1">
        <w:rPr>
          <w:rFonts w:ascii="Arial" w:hAnsi="Arial" w:cs="Arial"/>
          <w:lang w:eastAsia="en-GB"/>
        </w:rPr>
        <w:t xml:space="preserve">he 5% threshold should not be seen as in any way giving “permission” for schools to have deficits up to that level, and that they fully support Councils who require all schools with any level of deficit to submit recovery plans. The 5% threshold will operate as an absolute minimum requirement for when a </w:t>
      </w:r>
      <w:r w:rsidR="007E3EB1" w:rsidRPr="007E3EB1">
        <w:rPr>
          <w:rFonts w:ascii="Arial" w:hAnsi="Arial" w:cs="Arial"/>
          <w:lang w:eastAsia="en-GB"/>
        </w:rPr>
        <w:lastRenderedPageBreak/>
        <w:t xml:space="preserve">recovery plan is needed. In most cases </w:t>
      </w:r>
      <w:proofErr w:type="spellStart"/>
      <w:r w:rsidR="007E3EB1" w:rsidRPr="007E3EB1">
        <w:rPr>
          <w:rFonts w:ascii="Arial" w:hAnsi="Arial" w:cs="Arial"/>
          <w:lang w:eastAsia="en-GB"/>
        </w:rPr>
        <w:t>DfE</w:t>
      </w:r>
      <w:proofErr w:type="spellEnd"/>
      <w:r w:rsidR="007E3EB1" w:rsidRPr="007E3EB1">
        <w:rPr>
          <w:rFonts w:ascii="Arial" w:hAnsi="Arial" w:cs="Arial"/>
          <w:lang w:eastAsia="en-GB"/>
        </w:rPr>
        <w:t xml:space="preserve"> would expect authorities to request recovery plans from schools where deficits are much lower.</w:t>
      </w:r>
    </w:p>
    <w:p w14:paraId="12EA6029" w14:textId="77777777" w:rsidR="007E3EB1" w:rsidRDefault="007E3EB1" w:rsidP="007956D8">
      <w:pPr>
        <w:ind w:left="720" w:hanging="720"/>
        <w:rPr>
          <w:rFonts w:ascii="Arial" w:hAnsi="Arial" w:cs="Arial"/>
          <w:lang w:eastAsia="en-GB"/>
        </w:rPr>
      </w:pPr>
    </w:p>
    <w:p w14:paraId="4477C1D0" w14:textId="77777777" w:rsidR="007E3EB1" w:rsidRDefault="007E3EB1" w:rsidP="007956D8">
      <w:pPr>
        <w:ind w:left="720" w:hanging="720"/>
        <w:rPr>
          <w:sz w:val="23"/>
          <w:szCs w:val="23"/>
        </w:rPr>
      </w:pPr>
      <w:r>
        <w:rPr>
          <w:rFonts w:ascii="Arial" w:hAnsi="Arial" w:cs="Arial"/>
          <w:lang w:eastAsia="en-GB"/>
        </w:rPr>
        <w:t>5.6</w:t>
      </w:r>
      <w:r>
        <w:rPr>
          <w:rFonts w:ascii="Arial" w:hAnsi="Arial" w:cs="Arial"/>
          <w:lang w:eastAsia="en-GB"/>
        </w:rPr>
        <w:tab/>
        <w:t xml:space="preserve">The </w:t>
      </w:r>
      <w:r w:rsidRPr="007E3EB1">
        <w:rPr>
          <w:rFonts w:ascii="Arial" w:hAnsi="Arial" w:cs="Arial"/>
          <w:lang w:eastAsia="en-GB"/>
        </w:rPr>
        <w:t>5% trigger will apply when deficits are measured as at 31 March 2021.</w:t>
      </w:r>
      <w:r>
        <w:rPr>
          <w:sz w:val="23"/>
          <w:szCs w:val="23"/>
        </w:rPr>
        <w:t xml:space="preserve"> </w:t>
      </w:r>
    </w:p>
    <w:p w14:paraId="415315E4" w14:textId="77777777" w:rsidR="007E3EB1" w:rsidRDefault="007E3EB1" w:rsidP="007956D8">
      <w:pPr>
        <w:ind w:left="720" w:hanging="720"/>
        <w:rPr>
          <w:sz w:val="23"/>
          <w:szCs w:val="23"/>
        </w:rPr>
      </w:pPr>
    </w:p>
    <w:p w14:paraId="2B7B90B0" w14:textId="77777777" w:rsidR="007E3EB1" w:rsidRDefault="007E3EB1" w:rsidP="007956D8">
      <w:pPr>
        <w:ind w:left="720" w:hanging="720"/>
        <w:rPr>
          <w:rFonts w:ascii="Arial" w:hAnsi="Arial" w:cs="Arial"/>
          <w:lang w:eastAsia="en-GB"/>
        </w:rPr>
      </w:pPr>
      <w:r w:rsidRPr="007E3EB1">
        <w:rPr>
          <w:rFonts w:ascii="Arial" w:hAnsi="Arial" w:cs="Arial"/>
          <w:lang w:eastAsia="en-GB"/>
        </w:rPr>
        <w:t>5.7</w:t>
      </w:r>
      <w:r w:rsidRPr="007E3EB1">
        <w:rPr>
          <w:rFonts w:ascii="Arial" w:hAnsi="Arial" w:cs="Arial"/>
          <w:lang w:eastAsia="en-GB"/>
        </w:rPr>
        <w:tab/>
      </w:r>
      <w:r>
        <w:rPr>
          <w:rFonts w:ascii="Arial" w:hAnsi="Arial" w:cs="Arial"/>
          <w:lang w:eastAsia="en-GB"/>
        </w:rPr>
        <w:t xml:space="preserve">In addition, </w:t>
      </w:r>
      <w:proofErr w:type="spellStart"/>
      <w:r>
        <w:rPr>
          <w:rFonts w:ascii="Arial" w:hAnsi="Arial" w:cs="Arial"/>
          <w:lang w:eastAsia="en-GB"/>
        </w:rPr>
        <w:t>DfE</w:t>
      </w:r>
      <w:proofErr w:type="spellEnd"/>
      <w:r>
        <w:rPr>
          <w:rFonts w:ascii="Arial" w:hAnsi="Arial" w:cs="Arial"/>
          <w:lang w:eastAsia="en-GB"/>
        </w:rPr>
        <w:t xml:space="preserve"> will </w:t>
      </w:r>
      <w:r w:rsidRPr="007E3EB1">
        <w:rPr>
          <w:rFonts w:ascii="Arial" w:hAnsi="Arial" w:cs="Arial"/>
          <w:lang w:eastAsia="en-GB"/>
        </w:rPr>
        <w:t>collect information on the number of recovery plans in each local authority through the DSG annual assurance return from the CFO.</w:t>
      </w:r>
    </w:p>
    <w:p w14:paraId="3E6A8701" w14:textId="77777777" w:rsidR="007956D8" w:rsidRDefault="007956D8" w:rsidP="004E1089">
      <w:pPr>
        <w:ind w:left="720" w:hanging="720"/>
        <w:rPr>
          <w:rFonts w:ascii="Arial" w:hAnsi="Arial" w:cs="Arial"/>
          <w:lang w:eastAsia="en-GB"/>
        </w:rPr>
      </w:pPr>
    </w:p>
    <w:p w14:paraId="17CA0DC1" w14:textId="77777777" w:rsidR="00244F31" w:rsidRDefault="00244F31" w:rsidP="00244F31">
      <w:pPr>
        <w:ind w:left="720" w:hanging="720"/>
        <w:rPr>
          <w:rFonts w:ascii="Arial" w:hAnsi="Arial" w:cs="Arial"/>
          <w:b/>
          <w:bCs/>
          <w:u w:val="single"/>
        </w:rPr>
      </w:pPr>
      <w:r>
        <w:rPr>
          <w:rFonts w:ascii="Arial" w:hAnsi="Arial" w:cs="Arial"/>
          <w:b/>
          <w:color w:val="000000" w:themeColor="text1"/>
        </w:rPr>
        <w:t>6</w:t>
      </w:r>
      <w:r>
        <w:rPr>
          <w:rFonts w:ascii="Arial" w:hAnsi="Arial" w:cs="Arial"/>
          <w:color w:val="000000" w:themeColor="text1"/>
        </w:rPr>
        <w:tab/>
      </w:r>
      <w:r w:rsidRPr="00244F31">
        <w:rPr>
          <w:rFonts w:ascii="Arial" w:hAnsi="Arial" w:cs="Arial"/>
          <w:b/>
          <w:color w:val="000000" w:themeColor="text1"/>
          <w:u w:val="single"/>
        </w:rPr>
        <w:t xml:space="preserve">Other </w:t>
      </w:r>
      <w:r>
        <w:rPr>
          <w:rFonts w:ascii="Arial" w:hAnsi="Arial" w:cs="Arial"/>
          <w:b/>
          <w:color w:val="000000" w:themeColor="text1"/>
          <w:u w:val="single"/>
        </w:rPr>
        <w:t>Transparency Information Changes</w:t>
      </w:r>
    </w:p>
    <w:p w14:paraId="3D7E572A" w14:textId="77777777" w:rsidR="00244F31" w:rsidRPr="00EA1391" w:rsidRDefault="00244F31" w:rsidP="00244F31">
      <w:pPr>
        <w:ind w:left="720"/>
        <w:rPr>
          <w:rFonts w:ascii="Arial" w:hAnsi="Arial" w:cs="Arial"/>
          <w:b/>
          <w:bCs/>
          <w:u w:val="single"/>
        </w:rPr>
      </w:pPr>
    </w:p>
    <w:p w14:paraId="32E2CCFC" w14:textId="77777777" w:rsidR="00C731F1" w:rsidRDefault="00244F31" w:rsidP="00244F31">
      <w:pPr>
        <w:ind w:left="720" w:hanging="720"/>
        <w:rPr>
          <w:rFonts w:ascii="Arial" w:hAnsi="Arial" w:cs="Arial"/>
        </w:rPr>
      </w:pPr>
      <w:r>
        <w:rPr>
          <w:rFonts w:ascii="Arial" w:hAnsi="Arial" w:cs="Arial"/>
        </w:rPr>
        <w:t>6</w:t>
      </w:r>
      <w:r w:rsidRPr="009F0AAE">
        <w:rPr>
          <w:rFonts w:ascii="Arial" w:hAnsi="Arial" w:cs="Arial"/>
        </w:rPr>
        <w:t>.</w:t>
      </w:r>
      <w:r>
        <w:rPr>
          <w:rFonts w:ascii="Arial" w:hAnsi="Arial" w:cs="Arial"/>
        </w:rPr>
        <w:t>1</w:t>
      </w:r>
      <w:r w:rsidRPr="009F0AAE">
        <w:rPr>
          <w:rFonts w:ascii="Arial" w:hAnsi="Arial" w:cs="Arial"/>
        </w:rPr>
        <w:tab/>
      </w:r>
      <w:r w:rsidR="00C731F1" w:rsidRPr="00C731F1">
        <w:rPr>
          <w:rFonts w:ascii="Arial" w:hAnsi="Arial" w:cs="Arial"/>
          <w:u w:val="single"/>
        </w:rPr>
        <w:t>Timeliness of Statutory Returns</w:t>
      </w:r>
    </w:p>
    <w:p w14:paraId="41DEBA83" w14:textId="77777777" w:rsidR="00244F31" w:rsidRDefault="004D1B50" w:rsidP="00C731F1">
      <w:pPr>
        <w:ind w:left="720"/>
        <w:rPr>
          <w:rFonts w:ascii="Arial" w:hAnsi="Arial" w:cs="Arial"/>
        </w:rPr>
      </w:pPr>
      <w:r>
        <w:rPr>
          <w:rFonts w:ascii="Arial" w:hAnsi="Arial" w:cs="Arial"/>
        </w:rPr>
        <w:t>Local authorities are required to submit the following returns relating to maintained schools each year:</w:t>
      </w:r>
    </w:p>
    <w:p w14:paraId="18A5FAB3" w14:textId="77777777" w:rsidR="004D1B50" w:rsidRPr="004D1B50" w:rsidRDefault="004D1B50" w:rsidP="004D1B50">
      <w:pPr>
        <w:ind w:left="1440" w:hanging="720"/>
        <w:rPr>
          <w:rFonts w:ascii="Arial" w:hAnsi="Arial" w:cs="Arial"/>
          <w:sz w:val="20"/>
        </w:rPr>
      </w:pPr>
      <w:r>
        <w:rPr>
          <w:rFonts w:ascii="Arial" w:hAnsi="Arial" w:cs="Arial"/>
        </w:rPr>
        <w:tab/>
      </w:r>
      <w:r w:rsidRPr="004D1B50">
        <w:rPr>
          <w:rFonts w:ascii="Arial" w:hAnsi="Arial" w:cs="Arial"/>
          <w:sz w:val="20"/>
        </w:rPr>
        <w:t xml:space="preserve">1. School Financial Value Standard (SFVS) </w:t>
      </w:r>
    </w:p>
    <w:p w14:paraId="328F66F7" w14:textId="77777777" w:rsidR="004D1B50" w:rsidRPr="004D1B50" w:rsidRDefault="004D1B50" w:rsidP="004D1B50">
      <w:pPr>
        <w:ind w:left="1440"/>
        <w:rPr>
          <w:rFonts w:ascii="Arial" w:hAnsi="Arial" w:cs="Arial"/>
          <w:sz w:val="20"/>
        </w:rPr>
      </w:pPr>
      <w:r w:rsidRPr="004D1B50">
        <w:rPr>
          <w:rFonts w:ascii="Arial" w:hAnsi="Arial" w:cs="Arial"/>
          <w:sz w:val="20"/>
        </w:rPr>
        <w:t xml:space="preserve">2. Dedicated Schools Grant CFO assurance statement </w:t>
      </w:r>
    </w:p>
    <w:p w14:paraId="426DE593" w14:textId="77777777" w:rsidR="004D1B50" w:rsidRPr="004D1B50" w:rsidRDefault="004D1B50" w:rsidP="004D1B50">
      <w:pPr>
        <w:ind w:left="1440"/>
        <w:rPr>
          <w:rFonts w:ascii="Arial" w:hAnsi="Arial" w:cs="Arial"/>
          <w:sz w:val="20"/>
        </w:rPr>
      </w:pPr>
      <w:r w:rsidRPr="004D1B50">
        <w:rPr>
          <w:rFonts w:ascii="Arial" w:hAnsi="Arial" w:cs="Arial"/>
          <w:sz w:val="20"/>
        </w:rPr>
        <w:t xml:space="preserve">3. Consistent Financial Reporting </w:t>
      </w:r>
    </w:p>
    <w:p w14:paraId="0D0D1C0F" w14:textId="77777777" w:rsidR="004D1B50" w:rsidRPr="004D1B50" w:rsidRDefault="004D1B50" w:rsidP="004D1B50">
      <w:pPr>
        <w:ind w:left="1440"/>
        <w:rPr>
          <w:rFonts w:ascii="Arial" w:hAnsi="Arial" w:cs="Arial"/>
          <w:sz w:val="20"/>
        </w:rPr>
      </w:pPr>
      <w:r w:rsidRPr="004D1B50">
        <w:rPr>
          <w:rFonts w:ascii="Arial" w:hAnsi="Arial" w:cs="Arial"/>
          <w:sz w:val="20"/>
        </w:rPr>
        <w:t xml:space="preserve">4. Section 251 Budget </w:t>
      </w:r>
    </w:p>
    <w:p w14:paraId="4AFA3541" w14:textId="77777777" w:rsidR="004D1B50" w:rsidRPr="004D1B50" w:rsidRDefault="004D1B50" w:rsidP="004D1B50">
      <w:pPr>
        <w:ind w:left="1440"/>
        <w:rPr>
          <w:rFonts w:ascii="Arial" w:hAnsi="Arial" w:cs="Arial"/>
          <w:color w:val="0B0C0C"/>
          <w:sz w:val="20"/>
        </w:rPr>
      </w:pPr>
      <w:r w:rsidRPr="004D1B50">
        <w:rPr>
          <w:rFonts w:ascii="Arial" w:hAnsi="Arial" w:cs="Arial"/>
          <w:sz w:val="20"/>
        </w:rPr>
        <w:t>5. Section 251 Outturn</w:t>
      </w:r>
    </w:p>
    <w:p w14:paraId="7BD9D53A" w14:textId="5FEF77BB" w:rsidR="00244F31" w:rsidRDefault="00244F31" w:rsidP="00244F31">
      <w:pPr>
        <w:pStyle w:val="NormalWeb"/>
        <w:ind w:left="720" w:hanging="720"/>
        <w:rPr>
          <w:rFonts w:ascii="Arial" w:hAnsi="Arial" w:cs="Arial"/>
        </w:rPr>
      </w:pPr>
      <w:r>
        <w:rPr>
          <w:rFonts w:ascii="Arial" w:hAnsi="Arial" w:cs="Arial"/>
        </w:rPr>
        <w:t>6</w:t>
      </w:r>
      <w:r w:rsidRPr="006A5D78">
        <w:rPr>
          <w:rFonts w:ascii="Arial" w:hAnsi="Arial" w:cs="Arial"/>
        </w:rPr>
        <w:t>.2</w:t>
      </w:r>
      <w:r>
        <w:rPr>
          <w:rFonts w:ascii="Arial" w:hAnsi="Arial" w:cs="Arial"/>
        </w:rPr>
        <w:tab/>
      </w:r>
      <w:r w:rsidR="0091246F">
        <w:rPr>
          <w:rFonts w:ascii="Arial" w:hAnsi="Arial" w:cs="Arial"/>
        </w:rPr>
        <w:t xml:space="preserve">Starting from </w:t>
      </w:r>
      <w:r w:rsidR="004D1B50">
        <w:rPr>
          <w:rFonts w:ascii="Arial" w:hAnsi="Arial" w:cs="Arial"/>
        </w:rPr>
        <w:t xml:space="preserve">returns </w:t>
      </w:r>
      <w:r w:rsidR="0091246F">
        <w:rPr>
          <w:rFonts w:ascii="Arial" w:hAnsi="Arial" w:cs="Arial"/>
        </w:rPr>
        <w:t>in</w:t>
      </w:r>
      <w:r w:rsidR="004D1B50">
        <w:rPr>
          <w:rFonts w:ascii="Arial" w:hAnsi="Arial" w:cs="Arial"/>
        </w:rPr>
        <w:t xml:space="preserve"> 2020/21, </w:t>
      </w:r>
      <w:proofErr w:type="spellStart"/>
      <w:r w:rsidR="004D1B50">
        <w:rPr>
          <w:rFonts w:ascii="Arial" w:hAnsi="Arial" w:cs="Arial"/>
        </w:rPr>
        <w:t>DfE</w:t>
      </w:r>
      <w:proofErr w:type="spellEnd"/>
      <w:r w:rsidR="004D1B50">
        <w:rPr>
          <w:rFonts w:ascii="Arial" w:hAnsi="Arial" w:cs="Arial"/>
        </w:rPr>
        <w:t xml:space="preserve"> will publish names of any local authorities submitting at least 3 late returns on their website. </w:t>
      </w:r>
    </w:p>
    <w:p w14:paraId="6ED6115F" w14:textId="77777777" w:rsidR="00C16631" w:rsidRDefault="00244F31" w:rsidP="004D1B50">
      <w:pPr>
        <w:ind w:left="720" w:hanging="720"/>
        <w:rPr>
          <w:rFonts w:ascii="Arial" w:hAnsi="Arial" w:cs="Arial"/>
          <w:lang w:eastAsia="en-GB"/>
        </w:rPr>
      </w:pPr>
      <w:r>
        <w:rPr>
          <w:rFonts w:ascii="Arial" w:hAnsi="Arial" w:cs="Arial"/>
          <w:lang w:eastAsia="en-GB"/>
        </w:rPr>
        <w:t>6.3</w:t>
      </w:r>
      <w:r>
        <w:rPr>
          <w:rFonts w:ascii="Arial" w:hAnsi="Arial" w:cs="Arial"/>
          <w:lang w:eastAsia="en-GB"/>
        </w:rPr>
        <w:tab/>
      </w:r>
      <w:r w:rsidRPr="009F0AAE">
        <w:rPr>
          <w:rFonts w:ascii="Arial" w:hAnsi="Arial" w:cs="Arial"/>
          <w:lang w:eastAsia="en-GB"/>
        </w:rPr>
        <w:t xml:space="preserve">The </w:t>
      </w:r>
      <w:r w:rsidR="004D1B50">
        <w:rPr>
          <w:rFonts w:ascii="Arial" w:hAnsi="Arial" w:cs="Arial"/>
          <w:lang w:eastAsia="en-GB"/>
        </w:rPr>
        <w:t>Council relies on timely submission of the annual SFVS from schools in order to meet the statutory deadline of 31 May.</w:t>
      </w:r>
    </w:p>
    <w:p w14:paraId="25655ABB" w14:textId="77777777" w:rsidR="00C731F1" w:rsidRDefault="00C731F1" w:rsidP="004D1B50">
      <w:pPr>
        <w:ind w:left="720" w:hanging="720"/>
        <w:rPr>
          <w:rFonts w:ascii="Arial" w:hAnsi="Arial" w:cs="Arial"/>
          <w:lang w:eastAsia="en-GB"/>
        </w:rPr>
      </w:pPr>
    </w:p>
    <w:p w14:paraId="3C567D18" w14:textId="77777777" w:rsidR="00C731F1" w:rsidRPr="00C731F1" w:rsidRDefault="00C731F1" w:rsidP="004D1B50">
      <w:pPr>
        <w:ind w:left="720" w:hanging="720"/>
        <w:rPr>
          <w:rFonts w:ascii="Arial" w:hAnsi="Arial" w:cs="Arial"/>
          <w:u w:val="single"/>
          <w:lang w:eastAsia="en-GB"/>
        </w:rPr>
      </w:pPr>
      <w:r>
        <w:rPr>
          <w:rFonts w:ascii="Arial" w:hAnsi="Arial" w:cs="Arial"/>
          <w:lang w:eastAsia="en-GB"/>
        </w:rPr>
        <w:t>6.4</w:t>
      </w:r>
      <w:r>
        <w:rPr>
          <w:rFonts w:ascii="Arial" w:hAnsi="Arial" w:cs="Arial"/>
          <w:lang w:eastAsia="en-GB"/>
        </w:rPr>
        <w:tab/>
      </w:r>
      <w:r w:rsidRPr="00C731F1">
        <w:rPr>
          <w:rFonts w:ascii="Arial" w:hAnsi="Arial" w:cs="Arial"/>
          <w:u w:val="single"/>
          <w:lang w:eastAsia="en-GB"/>
        </w:rPr>
        <w:t>Formalise Process for Deficit Recovery Plans</w:t>
      </w:r>
    </w:p>
    <w:p w14:paraId="5D09CE4B" w14:textId="77777777" w:rsidR="00C731F1" w:rsidRDefault="00C731F1" w:rsidP="004D1B50">
      <w:pPr>
        <w:ind w:left="720" w:hanging="720"/>
        <w:rPr>
          <w:rFonts w:ascii="Arial" w:hAnsi="Arial" w:cs="Arial"/>
          <w:lang w:eastAsia="en-GB"/>
        </w:rPr>
      </w:pPr>
      <w:r>
        <w:rPr>
          <w:rFonts w:ascii="Arial" w:hAnsi="Arial" w:cs="Arial"/>
          <w:lang w:eastAsia="en-GB"/>
        </w:rPr>
        <w:tab/>
        <w:t xml:space="preserve">Linked to the changes described at paragraph 5.5 above, </w:t>
      </w:r>
      <w:proofErr w:type="spellStart"/>
      <w:r>
        <w:rPr>
          <w:rFonts w:ascii="Arial" w:hAnsi="Arial" w:cs="Arial"/>
          <w:lang w:eastAsia="en-GB"/>
        </w:rPr>
        <w:t>DfE</w:t>
      </w:r>
      <w:proofErr w:type="spellEnd"/>
      <w:r>
        <w:rPr>
          <w:rFonts w:ascii="Arial" w:hAnsi="Arial" w:cs="Arial"/>
          <w:lang w:eastAsia="en-GB"/>
        </w:rPr>
        <w:t xml:space="preserve"> will </w:t>
      </w:r>
      <w:r w:rsidRPr="00C731F1">
        <w:rPr>
          <w:rFonts w:ascii="Arial" w:hAnsi="Arial" w:cs="Arial"/>
          <w:lang w:eastAsia="en-GB"/>
        </w:rPr>
        <w:t>formalise the approach to working with Councils and include a request for high level action plans from some authorities.</w:t>
      </w:r>
    </w:p>
    <w:p w14:paraId="5C3C0583" w14:textId="77777777" w:rsidR="00C731F1" w:rsidRDefault="00C731F1" w:rsidP="004D1B50">
      <w:pPr>
        <w:ind w:left="720" w:hanging="720"/>
        <w:rPr>
          <w:rFonts w:ascii="Arial" w:hAnsi="Arial" w:cs="Arial"/>
          <w:lang w:eastAsia="en-GB"/>
        </w:rPr>
      </w:pPr>
    </w:p>
    <w:p w14:paraId="05AC4C82" w14:textId="77777777" w:rsidR="00C731F1" w:rsidRPr="00C731F1" w:rsidRDefault="00C731F1" w:rsidP="00C731F1">
      <w:pPr>
        <w:pStyle w:val="Default"/>
        <w:ind w:left="720" w:hanging="720"/>
        <w:rPr>
          <w:color w:val="auto"/>
        </w:rPr>
      </w:pPr>
      <w:r>
        <w:t>6.5</w:t>
      </w:r>
      <w:r>
        <w:tab/>
        <w:t xml:space="preserve">Action plans will be requested where </w:t>
      </w:r>
      <w:r w:rsidRPr="00C731F1">
        <w:t xml:space="preserve">the number or </w:t>
      </w:r>
      <w:r w:rsidRPr="00C731F1">
        <w:rPr>
          <w:color w:val="auto"/>
        </w:rPr>
        <w:t>proportion of school revenue deficits over 5% is above a certain level across a local authority. The threshold is yet to be set and w</w:t>
      </w:r>
      <w:r w:rsidR="00ED32DD">
        <w:rPr>
          <w:color w:val="auto"/>
        </w:rPr>
        <w:t>ill</w:t>
      </w:r>
      <w:r w:rsidRPr="00C731F1">
        <w:rPr>
          <w:color w:val="auto"/>
        </w:rPr>
        <w:t xml:space="preserve"> be reviewed on an annual basis. </w:t>
      </w:r>
    </w:p>
    <w:p w14:paraId="3DFFC981" w14:textId="77777777" w:rsidR="00C731F1" w:rsidRPr="00C731F1" w:rsidRDefault="00C731F1" w:rsidP="00C731F1">
      <w:pPr>
        <w:pStyle w:val="Default"/>
        <w:ind w:left="720" w:hanging="720"/>
        <w:rPr>
          <w:color w:val="auto"/>
        </w:rPr>
      </w:pPr>
    </w:p>
    <w:p w14:paraId="18E22F22" w14:textId="77777777" w:rsidR="00C731F1" w:rsidRDefault="00C731F1" w:rsidP="00C731F1">
      <w:pPr>
        <w:pStyle w:val="Default"/>
        <w:ind w:left="720" w:hanging="720"/>
        <w:rPr>
          <w:color w:val="auto"/>
        </w:rPr>
      </w:pPr>
      <w:r w:rsidRPr="00C731F1">
        <w:rPr>
          <w:color w:val="auto"/>
        </w:rPr>
        <w:t>6.6</w:t>
      </w:r>
      <w:r w:rsidRPr="00C731F1">
        <w:rPr>
          <w:color w:val="auto"/>
        </w:rPr>
        <w:tab/>
      </w:r>
      <w:proofErr w:type="spellStart"/>
      <w:r w:rsidRPr="00C731F1">
        <w:rPr>
          <w:color w:val="auto"/>
        </w:rPr>
        <w:t>DfE</w:t>
      </w:r>
      <w:proofErr w:type="spellEnd"/>
      <w:r w:rsidRPr="00C731F1">
        <w:rPr>
          <w:color w:val="auto"/>
        </w:rPr>
        <w:t xml:space="preserve"> have stated that they would only envisage requiring action plans from a small minority of </w:t>
      </w:r>
      <w:r>
        <w:rPr>
          <w:color w:val="auto"/>
        </w:rPr>
        <w:t>local authoritie</w:t>
      </w:r>
      <w:r w:rsidRPr="00C731F1">
        <w:rPr>
          <w:color w:val="auto"/>
        </w:rPr>
        <w:t>s which have several schools with significant financial deficits.</w:t>
      </w:r>
    </w:p>
    <w:p w14:paraId="3836F9F4" w14:textId="77777777" w:rsidR="00C731F1" w:rsidRDefault="00C731F1" w:rsidP="00C731F1">
      <w:pPr>
        <w:pStyle w:val="Default"/>
        <w:ind w:left="720" w:hanging="720"/>
        <w:rPr>
          <w:color w:val="auto"/>
        </w:rPr>
      </w:pPr>
    </w:p>
    <w:p w14:paraId="301FCDDF" w14:textId="77777777" w:rsidR="00C731F1" w:rsidRDefault="00C731F1" w:rsidP="00C731F1">
      <w:pPr>
        <w:pStyle w:val="Default"/>
        <w:ind w:left="720" w:hanging="720"/>
        <w:rPr>
          <w:color w:val="auto"/>
        </w:rPr>
      </w:pPr>
      <w:r>
        <w:rPr>
          <w:color w:val="auto"/>
        </w:rPr>
        <w:t xml:space="preserve">6.7 </w:t>
      </w:r>
      <w:r>
        <w:rPr>
          <w:color w:val="auto"/>
        </w:rPr>
        <w:tab/>
        <w:t xml:space="preserve">Action plans, where appropriate, will be requested by </w:t>
      </w:r>
      <w:proofErr w:type="spellStart"/>
      <w:r>
        <w:rPr>
          <w:color w:val="auto"/>
        </w:rPr>
        <w:t>DfE</w:t>
      </w:r>
      <w:proofErr w:type="spellEnd"/>
      <w:r>
        <w:rPr>
          <w:color w:val="auto"/>
        </w:rPr>
        <w:t xml:space="preserve"> following the submission of the 2020/21 Consistent Financial Reporting (CFR) submission in summer 2021.</w:t>
      </w:r>
    </w:p>
    <w:p w14:paraId="4F29C1BF" w14:textId="77777777" w:rsidR="00A76D62" w:rsidRDefault="00A76D62" w:rsidP="00C731F1">
      <w:pPr>
        <w:pStyle w:val="Default"/>
        <w:ind w:left="720" w:hanging="720"/>
        <w:rPr>
          <w:color w:val="auto"/>
        </w:rPr>
      </w:pPr>
    </w:p>
    <w:p w14:paraId="0FFA9F25" w14:textId="77777777" w:rsidR="00A76D62" w:rsidRPr="00A76D62" w:rsidRDefault="00A76D62" w:rsidP="00C731F1">
      <w:pPr>
        <w:pStyle w:val="Default"/>
        <w:ind w:left="720" w:hanging="720"/>
        <w:rPr>
          <w:color w:val="auto"/>
          <w:u w:val="single"/>
        </w:rPr>
      </w:pPr>
      <w:r>
        <w:rPr>
          <w:color w:val="auto"/>
        </w:rPr>
        <w:t>6.8</w:t>
      </w:r>
      <w:r>
        <w:rPr>
          <w:color w:val="auto"/>
        </w:rPr>
        <w:tab/>
      </w:r>
      <w:r w:rsidRPr="00A76D62">
        <w:rPr>
          <w:color w:val="auto"/>
          <w:u w:val="single"/>
        </w:rPr>
        <w:t xml:space="preserve">Disclosure of Salary Costs </w:t>
      </w:r>
      <w:r>
        <w:rPr>
          <w:color w:val="auto"/>
          <w:u w:val="single"/>
        </w:rPr>
        <w:t>above</w:t>
      </w:r>
      <w:r w:rsidRPr="00A76D62">
        <w:rPr>
          <w:color w:val="auto"/>
          <w:u w:val="single"/>
        </w:rPr>
        <w:t xml:space="preserve"> £100k</w:t>
      </w:r>
    </w:p>
    <w:p w14:paraId="1CB8115B" w14:textId="5BC0A022" w:rsidR="00A76D62" w:rsidRPr="00A76D62" w:rsidRDefault="0091246F" w:rsidP="00A76D62">
      <w:pPr>
        <w:pStyle w:val="Default"/>
        <w:ind w:left="720"/>
        <w:rPr>
          <w:color w:val="auto"/>
        </w:rPr>
      </w:pPr>
      <w:r>
        <w:rPr>
          <w:color w:val="auto"/>
        </w:rPr>
        <w:t xml:space="preserve">The authority currently discloses all salaries above £50k in bands of £10k on behalf of schools in the Council’s annual accounts. However, </w:t>
      </w:r>
      <w:proofErr w:type="spellStart"/>
      <w:r w:rsidR="00A76D62">
        <w:rPr>
          <w:color w:val="auto"/>
        </w:rPr>
        <w:t>DfE</w:t>
      </w:r>
      <w:proofErr w:type="spellEnd"/>
      <w:r w:rsidR="00A76D62">
        <w:rPr>
          <w:color w:val="auto"/>
        </w:rPr>
        <w:t xml:space="preserve"> believe there is a significant </w:t>
      </w:r>
      <w:r w:rsidR="00A76D62" w:rsidRPr="00A76D62">
        <w:rPr>
          <w:color w:val="auto"/>
        </w:rPr>
        <w:t xml:space="preserve">disparity in public access to information on high salaries between maintained schools and academy trusts. To address this, maintained schools will be required to disclose information on </w:t>
      </w:r>
      <w:r w:rsidR="00A76D62">
        <w:rPr>
          <w:color w:val="auto"/>
        </w:rPr>
        <w:t>individuals earning over £100k in £10k bandings</w:t>
      </w:r>
      <w:r w:rsidR="00A76D62" w:rsidRPr="00A76D62">
        <w:rPr>
          <w:color w:val="auto"/>
        </w:rPr>
        <w:t xml:space="preserve"> on their website.</w:t>
      </w:r>
    </w:p>
    <w:p w14:paraId="5C7E8B67" w14:textId="77777777" w:rsidR="00A76D62" w:rsidRDefault="00A76D62" w:rsidP="00A76D62">
      <w:pPr>
        <w:pStyle w:val="Default"/>
        <w:rPr>
          <w:sz w:val="23"/>
          <w:szCs w:val="23"/>
        </w:rPr>
      </w:pPr>
    </w:p>
    <w:p w14:paraId="7DB6C2DC" w14:textId="00D123C5" w:rsidR="00A76D62" w:rsidRDefault="00A76D62" w:rsidP="00A76D62">
      <w:pPr>
        <w:pStyle w:val="Default"/>
        <w:ind w:left="720" w:hanging="720"/>
        <w:rPr>
          <w:color w:val="auto"/>
        </w:rPr>
      </w:pPr>
      <w:r w:rsidRPr="00A76D62">
        <w:rPr>
          <w:color w:val="auto"/>
        </w:rPr>
        <w:t>6.9</w:t>
      </w:r>
      <w:r w:rsidRPr="00A76D62">
        <w:rPr>
          <w:color w:val="auto"/>
        </w:rPr>
        <w:tab/>
        <w:t xml:space="preserve">Originally it was intended that this information requirement would come into force at the start of the school year in September 2020. However, </w:t>
      </w:r>
      <w:r w:rsidR="00DA7F89">
        <w:rPr>
          <w:color w:val="auto"/>
        </w:rPr>
        <w:t xml:space="preserve">owing </w:t>
      </w:r>
      <w:r w:rsidRPr="00A76D62">
        <w:rPr>
          <w:color w:val="auto"/>
        </w:rPr>
        <w:t xml:space="preserve">to delays caused by Covid-19 and in order to provide schools with a term’s notice to comply with the </w:t>
      </w:r>
      <w:r w:rsidRPr="00A76D62">
        <w:rPr>
          <w:color w:val="auto"/>
        </w:rPr>
        <w:lastRenderedPageBreak/>
        <w:t>incoming regulations, the requirement will be included in amending regulations to come into force on 1 January 2021.</w:t>
      </w:r>
    </w:p>
    <w:p w14:paraId="675E66F5" w14:textId="77777777" w:rsidR="00ED32DD" w:rsidRDefault="00ED32DD" w:rsidP="00A76D62">
      <w:pPr>
        <w:pStyle w:val="Default"/>
        <w:ind w:left="720" w:hanging="720"/>
        <w:rPr>
          <w:color w:val="auto"/>
        </w:rPr>
      </w:pPr>
    </w:p>
    <w:p w14:paraId="07CC278D" w14:textId="77777777" w:rsidR="0091246F" w:rsidRDefault="0091246F" w:rsidP="00A76D62">
      <w:pPr>
        <w:pStyle w:val="Default"/>
        <w:ind w:left="720" w:hanging="720"/>
        <w:rPr>
          <w:color w:val="auto"/>
        </w:rPr>
      </w:pPr>
    </w:p>
    <w:p w14:paraId="25B09BCC" w14:textId="77777777" w:rsidR="00A76D62" w:rsidRDefault="00A76D62" w:rsidP="00A76D62">
      <w:pPr>
        <w:pStyle w:val="Default"/>
        <w:ind w:left="720" w:hanging="720"/>
        <w:rPr>
          <w:color w:val="auto"/>
        </w:rPr>
      </w:pPr>
      <w:r>
        <w:rPr>
          <w:color w:val="auto"/>
        </w:rPr>
        <w:t>6.10</w:t>
      </w:r>
      <w:r>
        <w:rPr>
          <w:color w:val="auto"/>
        </w:rPr>
        <w:tab/>
      </w:r>
      <w:r w:rsidRPr="00A76D62">
        <w:rPr>
          <w:color w:val="auto"/>
          <w:u w:val="single"/>
        </w:rPr>
        <w:t>Reporting Income and Expenditure</w:t>
      </w:r>
    </w:p>
    <w:p w14:paraId="0355A141" w14:textId="77777777" w:rsidR="00A76D62" w:rsidRDefault="00A76D62" w:rsidP="00A76D62">
      <w:pPr>
        <w:pStyle w:val="Default"/>
        <w:ind w:left="720" w:hanging="720"/>
        <w:rPr>
          <w:color w:val="auto"/>
        </w:rPr>
      </w:pPr>
      <w:r>
        <w:rPr>
          <w:color w:val="auto"/>
        </w:rPr>
        <w:tab/>
      </w:r>
      <w:proofErr w:type="spellStart"/>
      <w:r>
        <w:rPr>
          <w:color w:val="auto"/>
        </w:rPr>
        <w:t>DfE</w:t>
      </w:r>
      <w:proofErr w:type="spellEnd"/>
      <w:r>
        <w:rPr>
          <w:color w:val="auto"/>
        </w:rPr>
        <w:t xml:space="preserve"> believe there is insufficient transparency of income and expenditure for maintained schools. To address this, maintained schools will be required to </w:t>
      </w:r>
      <w:r w:rsidRPr="00A76D62">
        <w:rPr>
          <w:color w:val="auto"/>
        </w:rPr>
        <w:t>publish annually on their websites their latest Consistent Financial Reporting</w:t>
      </w:r>
      <w:r>
        <w:rPr>
          <w:color w:val="auto"/>
        </w:rPr>
        <w:t xml:space="preserve"> (CFR)</w:t>
      </w:r>
      <w:r w:rsidRPr="00A76D62">
        <w:rPr>
          <w:color w:val="auto"/>
        </w:rPr>
        <w:t xml:space="preserve"> statement of income, expenditure and balances.</w:t>
      </w:r>
    </w:p>
    <w:p w14:paraId="0717DA50" w14:textId="77777777" w:rsidR="00A76D62" w:rsidRDefault="00A76D62" w:rsidP="00A76D62">
      <w:pPr>
        <w:pStyle w:val="Default"/>
        <w:ind w:left="720" w:hanging="720"/>
        <w:rPr>
          <w:color w:val="auto"/>
        </w:rPr>
      </w:pPr>
    </w:p>
    <w:p w14:paraId="391EDC2C" w14:textId="79412D61" w:rsidR="00A76D62" w:rsidRDefault="00A76D62" w:rsidP="00A76D62">
      <w:pPr>
        <w:pStyle w:val="Default"/>
        <w:ind w:left="720" w:hanging="720"/>
        <w:rPr>
          <w:sz w:val="23"/>
          <w:szCs w:val="23"/>
        </w:rPr>
      </w:pPr>
      <w:r>
        <w:rPr>
          <w:color w:val="auto"/>
        </w:rPr>
        <w:t>6.11</w:t>
      </w:r>
      <w:r>
        <w:rPr>
          <w:color w:val="auto"/>
        </w:rPr>
        <w:tab/>
        <w:t xml:space="preserve">The information is to be published via a link to the existing CFR published data on the gov.uk website. </w:t>
      </w:r>
      <w:r w:rsidRPr="00A76D62">
        <w:rPr>
          <w:color w:val="auto"/>
        </w:rPr>
        <w:t>Originally it was intended that this information requirement would come into force at the start of the school year in September 2020. However, due to delays caused by Covid-19 and in order to provide schools with a term’s notice to comply with the incoming regulations, the requirement will be included in amending regulations to come into force on 1 January 2021.</w:t>
      </w:r>
      <w:r>
        <w:rPr>
          <w:sz w:val="23"/>
          <w:szCs w:val="23"/>
        </w:rPr>
        <w:t xml:space="preserve"> </w:t>
      </w:r>
    </w:p>
    <w:p w14:paraId="6FF144CB" w14:textId="77777777" w:rsidR="00ED32DD" w:rsidRDefault="00ED32DD" w:rsidP="00A76D62">
      <w:pPr>
        <w:pStyle w:val="Default"/>
        <w:ind w:left="720" w:hanging="720"/>
        <w:rPr>
          <w:sz w:val="23"/>
          <w:szCs w:val="23"/>
        </w:rPr>
      </w:pPr>
    </w:p>
    <w:p w14:paraId="15E92486" w14:textId="77777777" w:rsidR="00ED32DD" w:rsidRPr="00ED32DD" w:rsidRDefault="00ED32DD" w:rsidP="00A76D62">
      <w:pPr>
        <w:pStyle w:val="Default"/>
        <w:ind w:left="720" w:hanging="720"/>
        <w:rPr>
          <w:b/>
          <w:sz w:val="23"/>
          <w:szCs w:val="23"/>
        </w:rPr>
      </w:pPr>
      <w:r w:rsidRPr="00ED32DD">
        <w:rPr>
          <w:b/>
          <w:sz w:val="23"/>
          <w:szCs w:val="23"/>
        </w:rPr>
        <w:t>7</w:t>
      </w:r>
      <w:r w:rsidRPr="00ED32DD">
        <w:rPr>
          <w:b/>
          <w:sz w:val="23"/>
          <w:szCs w:val="23"/>
        </w:rPr>
        <w:tab/>
        <w:t>Summary</w:t>
      </w:r>
    </w:p>
    <w:p w14:paraId="2C2AD710" w14:textId="77777777" w:rsidR="00ED32DD" w:rsidRDefault="00ED32DD" w:rsidP="00A76D62">
      <w:pPr>
        <w:pStyle w:val="Default"/>
        <w:ind w:left="720" w:hanging="720"/>
        <w:rPr>
          <w:sz w:val="23"/>
          <w:szCs w:val="23"/>
        </w:rPr>
      </w:pPr>
    </w:p>
    <w:p w14:paraId="02894500" w14:textId="77777777" w:rsidR="00ED32DD" w:rsidRDefault="00ED32DD" w:rsidP="00A76D62">
      <w:pPr>
        <w:pStyle w:val="Default"/>
        <w:ind w:left="720" w:hanging="720"/>
        <w:rPr>
          <w:sz w:val="23"/>
          <w:szCs w:val="23"/>
        </w:rPr>
      </w:pPr>
      <w:r>
        <w:rPr>
          <w:sz w:val="23"/>
          <w:szCs w:val="23"/>
        </w:rPr>
        <w:t>7.1</w:t>
      </w:r>
      <w:r>
        <w:rPr>
          <w:sz w:val="23"/>
          <w:szCs w:val="23"/>
        </w:rPr>
        <w:tab/>
      </w:r>
      <w:r w:rsidRPr="0091246F">
        <w:rPr>
          <w:color w:val="auto"/>
        </w:rPr>
        <w:t>The table below lists the new requirements and assigns ownership to maintained schools or the local authority.</w:t>
      </w:r>
    </w:p>
    <w:p w14:paraId="6728CFB7" w14:textId="77777777" w:rsidR="00ED32DD" w:rsidRDefault="00ED32DD" w:rsidP="00A76D62">
      <w:pPr>
        <w:pStyle w:val="Default"/>
        <w:ind w:left="720" w:hanging="720"/>
        <w:rPr>
          <w:sz w:val="23"/>
          <w:szCs w:val="23"/>
        </w:rPr>
      </w:pPr>
      <w:r>
        <w:rPr>
          <w:sz w:val="23"/>
          <w:szCs w:val="23"/>
        </w:rPr>
        <w:tab/>
      </w:r>
    </w:p>
    <w:tbl>
      <w:tblPr>
        <w:tblStyle w:val="TableGrid"/>
        <w:tblW w:w="0" w:type="auto"/>
        <w:tblInd w:w="720" w:type="dxa"/>
        <w:tblLook w:val="04A0" w:firstRow="1" w:lastRow="0" w:firstColumn="1" w:lastColumn="0" w:noHBand="0" w:noVBand="1"/>
      </w:tblPr>
      <w:tblGrid>
        <w:gridCol w:w="4520"/>
        <w:gridCol w:w="2268"/>
        <w:gridCol w:w="1843"/>
      </w:tblGrid>
      <w:tr w:rsidR="00ED32DD" w:rsidRPr="00636DBF" w14:paraId="1C98FA16" w14:textId="77777777" w:rsidTr="00636DBF">
        <w:tc>
          <w:tcPr>
            <w:tcW w:w="4520" w:type="dxa"/>
            <w:shd w:val="clear" w:color="auto" w:fill="000000" w:themeFill="text1"/>
          </w:tcPr>
          <w:p w14:paraId="23B57A99" w14:textId="77777777" w:rsidR="00ED32DD" w:rsidRPr="00636DBF" w:rsidRDefault="00ED32DD" w:rsidP="00A76D62">
            <w:pPr>
              <w:pStyle w:val="Default"/>
              <w:rPr>
                <w:b/>
                <w:color w:val="FFFFFF" w:themeColor="background1"/>
                <w:sz w:val="23"/>
                <w:szCs w:val="23"/>
              </w:rPr>
            </w:pPr>
            <w:r w:rsidRPr="00636DBF">
              <w:rPr>
                <w:b/>
                <w:color w:val="FFFFFF" w:themeColor="background1"/>
                <w:sz w:val="23"/>
                <w:szCs w:val="23"/>
              </w:rPr>
              <w:t>Requirement</w:t>
            </w:r>
          </w:p>
        </w:tc>
        <w:tc>
          <w:tcPr>
            <w:tcW w:w="2268" w:type="dxa"/>
            <w:shd w:val="clear" w:color="auto" w:fill="000000" w:themeFill="text1"/>
          </w:tcPr>
          <w:p w14:paraId="042D0545" w14:textId="77777777" w:rsidR="00ED32DD" w:rsidRPr="00636DBF" w:rsidRDefault="00636DBF" w:rsidP="00A76D62">
            <w:pPr>
              <w:pStyle w:val="Default"/>
              <w:rPr>
                <w:b/>
                <w:color w:val="FFFFFF" w:themeColor="background1"/>
                <w:sz w:val="23"/>
                <w:szCs w:val="23"/>
              </w:rPr>
            </w:pPr>
            <w:r w:rsidRPr="00636DBF">
              <w:rPr>
                <w:b/>
                <w:color w:val="FFFFFF" w:themeColor="background1"/>
                <w:sz w:val="23"/>
                <w:szCs w:val="23"/>
              </w:rPr>
              <w:t>Method</w:t>
            </w:r>
          </w:p>
        </w:tc>
        <w:tc>
          <w:tcPr>
            <w:tcW w:w="1843" w:type="dxa"/>
            <w:shd w:val="clear" w:color="auto" w:fill="000000" w:themeFill="text1"/>
          </w:tcPr>
          <w:p w14:paraId="4E2FD8B2" w14:textId="77777777" w:rsidR="00ED32DD" w:rsidRPr="00636DBF" w:rsidRDefault="00636DBF" w:rsidP="00A76D62">
            <w:pPr>
              <w:pStyle w:val="Default"/>
              <w:rPr>
                <w:b/>
                <w:color w:val="FFFFFF" w:themeColor="background1"/>
                <w:sz w:val="23"/>
                <w:szCs w:val="23"/>
              </w:rPr>
            </w:pPr>
            <w:r w:rsidRPr="00636DBF">
              <w:rPr>
                <w:b/>
                <w:color w:val="FFFFFF" w:themeColor="background1"/>
                <w:sz w:val="23"/>
                <w:szCs w:val="23"/>
              </w:rPr>
              <w:t>Ownership</w:t>
            </w:r>
          </w:p>
        </w:tc>
      </w:tr>
      <w:tr w:rsidR="00ED32DD" w14:paraId="29305A3F" w14:textId="77777777" w:rsidTr="00636DBF">
        <w:tc>
          <w:tcPr>
            <w:tcW w:w="4520" w:type="dxa"/>
          </w:tcPr>
          <w:p w14:paraId="33BED42B" w14:textId="77777777" w:rsidR="00ED32DD" w:rsidRDefault="00636DBF" w:rsidP="00A76D62">
            <w:pPr>
              <w:pStyle w:val="Default"/>
              <w:rPr>
                <w:sz w:val="23"/>
                <w:szCs w:val="23"/>
              </w:rPr>
            </w:pPr>
            <w:r>
              <w:rPr>
                <w:sz w:val="23"/>
                <w:szCs w:val="23"/>
              </w:rPr>
              <w:t>Provide fraud recovery amount</w:t>
            </w:r>
          </w:p>
        </w:tc>
        <w:tc>
          <w:tcPr>
            <w:tcW w:w="2268" w:type="dxa"/>
          </w:tcPr>
          <w:p w14:paraId="3ADE359C" w14:textId="77777777" w:rsidR="00ED32DD" w:rsidRDefault="00636DBF" w:rsidP="00A76D62">
            <w:pPr>
              <w:pStyle w:val="Default"/>
              <w:rPr>
                <w:sz w:val="23"/>
                <w:szCs w:val="23"/>
              </w:rPr>
            </w:pPr>
            <w:r>
              <w:rPr>
                <w:sz w:val="23"/>
                <w:szCs w:val="23"/>
              </w:rPr>
              <w:t>CFO assurance statement</w:t>
            </w:r>
          </w:p>
        </w:tc>
        <w:tc>
          <w:tcPr>
            <w:tcW w:w="1843" w:type="dxa"/>
          </w:tcPr>
          <w:p w14:paraId="79BB8027" w14:textId="77777777" w:rsidR="00ED32DD" w:rsidRDefault="00636DBF" w:rsidP="00A76D62">
            <w:pPr>
              <w:pStyle w:val="Default"/>
              <w:rPr>
                <w:sz w:val="23"/>
                <w:szCs w:val="23"/>
              </w:rPr>
            </w:pPr>
            <w:r>
              <w:rPr>
                <w:sz w:val="23"/>
                <w:szCs w:val="23"/>
              </w:rPr>
              <w:t>Authority</w:t>
            </w:r>
          </w:p>
        </w:tc>
      </w:tr>
      <w:tr w:rsidR="00ED32DD" w14:paraId="7D6FB58E" w14:textId="77777777" w:rsidTr="00636DBF">
        <w:tc>
          <w:tcPr>
            <w:tcW w:w="4520" w:type="dxa"/>
          </w:tcPr>
          <w:p w14:paraId="3F02E2F3" w14:textId="77777777" w:rsidR="00ED32DD" w:rsidRDefault="00636DBF" w:rsidP="00A76D62">
            <w:pPr>
              <w:pStyle w:val="Default"/>
              <w:rPr>
                <w:sz w:val="23"/>
                <w:szCs w:val="23"/>
              </w:rPr>
            </w:pPr>
            <w:r>
              <w:rPr>
                <w:sz w:val="23"/>
                <w:szCs w:val="23"/>
              </w:rPr>
              <w:t>Disclose RPTs</w:t>
            </w:r>
          </w:p>
        </w:tc>
        <w:tc>
          <w:tcPr>
            <w:tcW w:w="2268" w:type="dxa"/>
          </w:tcPr>
          <w:p w14:paraId="6CC969BA" w14:textId="77777777" w:rsidR="00ED32DD" w:rsidRDefault="00636DBF" w:rsidP="00A76D62">
            <w:pPr>
              <w:pStyle w:val="Default"/>
              <w:rPr>
                <w:sz w:val="23"/>
                <w:szCs w:val="23"/>
              </w:rPr>
            </w:pPr>
            <w:r>
              <w:rPr>
                <w:sz w:val="23"/>
                <w:szCs w:val="23"/>
              </w:rPr>
              <w:t>SFVS</w:t>
            </w:r>
          </w:p>
        </w:tc>
        <w:tc>
          <w:tcPr>
            <w:tcW w:w="1843" w:type="dxa"/>
          </w:tcPr>
          <w:p w14:paraId="05EA0287" w14:textId="77777777" w:rsidR="00ED32DD" w:rsidRDefault="00636DBF" w:rsidP="00A76D62">
            <w:pPr>
              <w:pStyle w:val="Default"/>
              <w:rPr>
                <w:sz w:val="23"/>
                <w:szCs w:val="23"/>
              </w:rPr>
            </w:pPr>
            <w:r>
              <w:rPr>
                <w:sz w:val="23"/>
                <w:szCs w:val="23"/>
              </w:rPr>
              <w:t>Schools</w:t>
            </w:r>
          </w:p>
        </w:tc>
      </w:tr>
      <w:tr w:rsidR="00ED32DD" w14:paraId="41BCC87C" w14:textId="77777777" w:rsidTr="00636DBF">
        <w:tc>
          <w:tcPr>
            <w:tcW w:w="4520" w:type="dxa"/>
          </w:tcPr>
          <w:p w14:paraId="4194F17C" w14:textId="77777777" w:rsidR="00ED32DD" w:rsidRDefault="00636DBF" w:rsidP="00A76D62">
            <w:pPr>
              <w:pStyle w:val="Default"/>
              <w:rPr>
                <w:sz w:val="23"/>
                <w:szCs w:val="23"/>
              </w:rPr>
            </w:pPr>
            <w:r>
              <w:rPr>
                <w:sz w:val="23"/>
                <w:szCs w:val="23"/>
              </w:rPr>
              <w:t>3-Year Budget Plans by 30 June</w:t>
            </w:r>
          </w:p>
        </w:tc>
        <w:tc>
          <w:tcPr>
            <w:tcW w:w="2268" w:type="dxa"/>
          </w:tcPr>
          <w:p w14:paraId="0A010747" w14:textId="77777777" w:rsidR="00ED32DD" w:rsidRDefault="00636DBF" w:rsidP="00A76D62">
            <w:pPr>
              <w:pStyle w:val="Default"/>
              <w:rPr>
                <w:sz w:val="23"/>
                <w:szCs w:val="23"/>
              </w:rPr>
            </w:pPr>
            <w:r>
              <w:rPr>
                <w:sz w:val="23"/>
                <w:szCs w:val="23"/>
              </w:rPr>
              <w:t>Scheme</w:t>
            </w:r>
          </w:p>
        </w:tc>
        <w:tc>
          <w:tcPr>
            <w:tcW w:w="1843" w:type="dxa"/>
          </w:tcPr>
          <w:p w14:paraId="6480F17A" w14:textId="77777777" w:rsidR="00ED32DD" w:rsidRDefault="00636DBF" w:rsidP="00A76D62">
            <w:pPr>
              <w:pStyle w:val="Default"/>
              <w:rPr>
                <w:sz w:val="23"/>
                <w:szCs w:val="23"/>
              </w:rPr>
            </w:pPr>
            <w:r>
              <w:rPr>
                <w:sz w:val="23"/>
                <w:szCs w:val="23"/>
              </w:rPr>
              <w:t>Schools supported by Authority</w:t>
            </w:r>
          </w:p>
        </w:tc>
      </w:tr>
      <w:tr w:rsidR="00ED32DD" w14:paraId="47D53FE5" w14:textId="77777777" w:rsidTr="00636DBF">
        <w:tc>
          <w:tcPr>
            <w:tcW w:w="4520" w:type="dxa"/>
          </w:tcPr>
          <w:p w14:paraId="02641DDC" w14:textId="77777777" w:rsidR="00ED32DD" w:rsidRDefault="00636DBF" w:rsidP="00A76D62">
            <w:pPr>
              <w:pStyle w:val="Default"/>
              <w:rPr>
                <w:sz w:val="23"/>
                <w:szCs w:val="23"/>
              </w:rPr>
            </w:pPr>
            <w:r>
              <w:rPr>
                <w:sz w:val="23"/>
                <w:szCs w:val="23"/>
              </w:rPr>
              <w:t>Deficit Recovery Plans</w:t>
            </w:r>
          </w:p>
        </w:tc>
        <w:tc>
          <w:tcPr>
            <w:tcW w:w="2268" w:type="dxa"/>
          </w:tcPr>
          <w:p w14:paraId="55DA281C" w14:textId="77777777" w:rsidR="00ED32DD" w:rsidRDefault="00636DBF" w:rsidP="00A76D62">
            <w:pPr>
              <w:pStyle w:val="Default"/>
              <w:rPr>
                <w:sz w:val="23"/>
                <w:szCs w:val="23"/>
              </w:rPr>
            </w:pPr>
            <w:r>
              <w:rPr>
                <w:sz w:val="23"/>
                <w:szCs w:val="23"/>
              </w:rPr>
              <w:t>Scheme</w:t>
            </w:r>
          </w:p>
        </w:tc>
        <w:tc>
          <w:tcPr>
            <w:tcW w:w="1843" w:type="dxa"/>
          </w:tcPr>
          <w:p w14:paraId="2D4193F1" w14:textId="77777777" w:rsidR="00ED32DD" w:rsidRDefault="00636DBF" w:rsidP="00A76D62">
            <w:pPr>
              <w:pStyle w:val="Default"/>
              <w:rPr>
                <w:sz w:val="23"/>
                <w:szCs w:val="23"/>
              </w:rPr>
            </w:pPr>
            <w:r>
              <w:rPr>
                <w:sz w:val="23"/>
                <w:szCs w:val="23"/>
              </w:rPr>
              <w:t>Schools supported by Authority</w:t>
            </w:r>
          </w:p>
        </w:tc>
      </w:tr>
      <w:tr w:rsidR="00ED32DD" w14:paraId="734A3328" w14:textId="77777777" w:rsidTr="00636DBF">
        <w:tc>
          <w:tcPr>
            <w:tcW w:w="4520" w:type="dxa"/>
          </w:tcPr>
          <w:p w14:paraId="5B0108A2" w14:textId="77777777" w:rsidR="00ED32DD" w:rsidRDefault="00550416" w:rsidP="00A76D62">
            <w:pPr>
              <w:pStyle w:val="Default"/>
              <w:rPr>
                <w:sz w:val="23"/>
                <w:szCs w:val="23"/>
              </w:rPr>
            </w:pPr>
            <w:r>
              <w:rPr>
                <w:sz w:val="23"/>
                <w:szCs w:val="23"/>
              </w:rPr>
              <w:t>Timeliness of Statutory Returns</w:t>
            </w:r>
          </w:p>
        </w:tc>
        <w:tc>
          <w:tcPr>
            <w:tcW w:w="2268" w:type="dxa"/>
          </w:tcPr>
          <w:p w14:paraId="51B523E4" w14:textId="77777777" w:rsidR="00ED32DD" w:rsidRDefault="00550416" w:rsidP="00A76D62">
            <w:pPr>
              <w:pStyle w:val="Default"/>
              <w:rPr>
                <w:sz w:val="23"/>
                <w:szCs w:val="23"/>
              </w:rPr>
            </w:pPr>
            <w:proofErr w:type="spellStart"/>
            <w:r>
              <w:rPr>
                <w:sz w:val="23"/>
                <w:szCs w:val="23"/>
              </w:rPr>
              <w:t>DfE</w:t>
            </w:r>
            <w:proofErr w:type="spellEnd"/>
            <w:r>
              <w:rPr>
                <w:sz w:val="23"/>
                <w:szCs w:val="23"/>
              </w:rPr>
              <w:t xml:space="preserve"> Website</w:t>
            </w:r>
          </w:p>
        </w:tc>
        <w:tc>
          <w:tcPr>
            <w:tcW w:w="1843" w:type="dxa"/>
          </w:tcPr>
          <w:p w14:paraId="2D2EB107" w14:textId="77777777" w:rsidR="00ED32DD" w:rsidRDefault="00550416" w:rsidP="00A76D62">
            <w:pPr>
              <w:pStyle w:val="Default"/>
              <w:rPr>
                <w:sz w:val="23"/>
                <w:szCs w:val="23"/>
              </w:rPr>
            </w:pPr>
            <w:r>
              <w:rPr>
                <w:sz w:val="23"/>
                <w:szCs w:val="23"/>
              </w:rPr>
              <w:t>Authority</w:t>
            </w:r>
          </w:p>
        </w:tc>
      </w:tr>
      <w:tr w:rsidR="00ED32DD" w14:paraId="42389EFE" w14:textId="77777777" w:rsidTr="00636DBF">
        <w:tc>
          <w:tcPr>
            <w:tcW w:w="4520" w:type="dxa"/>
          </w:tcPr>
          <w:p w14:paraId="009968AA" w14:textId="77777777" w:rsidR="00ED32DD" w:rsidRDefault="00550416" w:rsidP="00A76D62">
            <w:pPr>
              <w:pStyle w:val="Default"/>
              <w:rPr>
                <w:sz w:val="23"/>
                <w:szCs w:val="23"/>
              </w:rPr>
            </w:pPr>
            <w:r>
              <w:rPr>
                <w:sz w:val="23"/>
                <w:szCs w:val="23"/>
              </w:rPr>
              <w:t>Action plans – deficit recovery</w:t>
            </w:r>
          </w:p>
        </w:tc>
        <w:tc>
          <w:tcPr>
            <w:tcW w:w="2268" w:type="dxa"/>
          </w:tcPr>
          <w:p w14:paraId="1851013A" w14:textId="77777777" w:rsidR="00ED32DD" w:rsidRDefault="00550416" w:rsidP="00A76D62">
            <w:pPr>
              <w:pStyle w:val="Default"/>
              <w:rPr>
                <w:sz w:val="23"/>
                <w:szCs w:val="23"/>
              </w:rPr>
            </w:pPr>
            <w:r>
              <w:rPr>
                <w:sz w:val="23"/>
                <w:szCs w:val="23"/>
              </w:rPr>
              <w:t>Regulation</w:t>
            </w:r>
          </w:p>
        </w:tc>
        <w:tc>
          <w:tcPr>
            <w:tcW w:w="1843" w:type="dxa"/>
          </w:tcPr>
          <w:p w14:paraId="76A8BBC6" w14:textId="77777777" w:rsidR="00ED32DD" w:rsidRDefault="00550416" w:rsidP="00A76D62">
            <w:pPr>
              <w:pStyle w:val="Default"/>
              <w:rPr>
                <w:sz w:val="23"/>
                <w:szCs w:val="23"/>
              </w:rPr>
            </w:pPr>
            <w:r>
              <w:rPr>
                <w:sz w:val="23"/>
                <w:szCs w:val="23"/>
              </w:rPr>
              <w:t>Authority</w:t>
            </w:r>
          </w:p>
        </w:tc>
      </w:tr>
      <w:tr w:rsidR="00ED32DD" w14:paraId="36836F44" w14:textId="77777777" w:rsidTr="00636DBF">
        <w:tc>
          <w:tcPr>
            <w:tcW w:w="4520" w:type="dxa"/>
          </w:tcPr>
          <w:p w14:paraId="1138427B" w14:textId="77777777" w:rsidR="00ED32DD" w:rsidRDefault="00550416" w:rsidP="00A76D62">
            <w:pPr>
              <w:pStyle w:val="Default"/>
              <w:rPr>
                <w:sz w:val="23"/>
                <w:szCs w:val="23"/>
              </w:rPr>
            </w:pPr>
            <w:r>
              <w:rPr>
                <w:sz w:val="23"/>
                <w:szCs w:val="23"/>
              </w:rPr>
              <w:t>Disclosure of salary costs &gt; £100k</w:t>
            </w:r>
          </w:p>
        </w:tc>
        <w:tc>
          <w:tcPr>
            <w:tcW w:w="2268" w:type="dxa"/>
          </w:tcPr>
          <w:p w14:paraId="365B11BF" w14:textId="77777777" w:rsidR="00ED32DD" w:rsidRDefault="00550416" w:rsidP="00A76D62">
            <w:pPr>
              <w:pStyle w:val="Default"/>
              <w:rPr>
                <w:sz w:val="23"/>
                <w:szCs w:val="23"/>
              </w:rPr>
            </w:pPr>
            <w:r>
              <w:rPr>
                <w:sz w:val="23"/>
                <w:szCs w:val="23"/>
              </w:rPr>
              <w:t>School website</w:t>
            </w:r>
          </w:p>
        </w:tc>
        <w:tc>
          <w:tcPr>
            <w:tcW w:w="1843" w:type="dxa"/>
          </w:tcPr>
          <w:p w14:paraId="5EC4948B" w14:textId="77777777" w:rsidR="00ED32DD" w:rsidRDefault="00550416" w:rsidP="00A76D62">
            <w:pPr>
              <w:pStyle w:val="Default"/>
              <w:rPr>
                <w:sz w:val="23"/>
                <w:szCs w:val="23"/>
              </w:rPr>
            </w:pPr>
            <w:r>
              <w:rPr>
                <w:sz w:val="23"/>
                <w:szCs w:val="23"/>
              </w:rPr>
              <w:t>Schools</w:t>
            </w:r>
          </w:p>
        </w:tc>
      </w:tr>
      <w:tr w:rsidR="00550416" w14:paraId="7AA2C2C7" w14:textId="77777777" w:rsidTr="00636DBF">
        <w:tc>
          <w:tcPr>
            <w:tcW w:w="4520" w:type="dxa"/>
          </w:tcPr>
          <w:p w14:paraId="6B504437" w14:textId="77777777" w:rsidR="00550416" w:rsidRDefault="00550416" w:rsidP="00A76D62">
            <w:pPr>
              <w:pStyle w:val="Default"/>
              <w:rPr>
                <w:sz w:val="23"/>
                <w:szCs w:val="23"/>
              </w:rPr>
            </w:pPr>
            <w:r>
              <w:rPr>
                <w:sz w:val="23"/>
                <w:szCs w:val="23"/>
              </w:rPr>
              <w:t>Link to CFR</w:t>
            </w:r>
          </w:p>
        </w:tc>
        <w:tc>
          <w:tcPr>
            <w:tcW w:w="2268" w:type="dxa"/>
          </w:tcPr>
          <w:p w14:paraId="0155DAE2" w14:textId="77777777" w:rsidR="00550416" w:rsidRDefault="00550416" w:rsidP="00A76D62">
            <w:pPr>
              <w:pStyle w:val="Default"/>
              <w:rPr>
                <w:sz w:val="23"/>
                <w:szCs w:val="23"/>
              </w:rPr>
            </w:pPr>
            <w:r>
              <w:rPr>
                <w:sz w:val="23"/>
                <w:szCs w:val="23"/>
              </w:rPr>
              <w:t>School website</w:t>
            </w:r>
          </w:p>
        </w:tc>
        <w:tc>
          <w:tcPr>
            <w:tcW w:w="1843" w:type="dxa"/>
          </w:tcPr>
          <w:p w14:paraId="55BACEF7" w14:textId="77777777" w:rsidR="00550416" w:rsidRDefault="00550416" w:rsidP="00A76D62">
            <w:pPr>
              <w:pStyle w:val="Default"/>
              <w:rPr>
                <w:sz w:val="23"/>
                <w:szCs w:val="23"/>
              </w:rPr>
            </w:pPr>
            <w:r>
              <w:rPr>
                <w:sz w:val="23"/>
                <w:szCs w:val="23"/>
              </w:rPr>
              <w:t>Schools</w:t>
            </w:r>
          </w:p>
        </w:tc>
      </w:tr>
    </w:tbl>
    <w:p w14:paraId="51174AEC" w14:textId="77777777" w:rsidR="00ED32DD" w:rsidRDefault="00ED32DD" w:rsidP="00A76D62">
      <w:pPr>
        <w:pStyle w:val="Default"/>
        <w:ind w:left="720" w:hanging="720"/>
        <w:rPr>
          <w:sz w:val="23"/>
          <w:szCs w:val="23"/>
        </w:rPr>
      </w:pPr>
    </w:p>
    <w:p w14:paraId="05A218AE" w14:textId="77777777" w:rsidR="00244F31" w:rsidRDefault="00244F31" w:rsidP="009F0AAE">
      <w:pPr>
        <w:ind w:left="709" w:hanging="709"/>
        <w:rPr>
          <w:rFonts w:ascii="Arial" w:hAnsi="Arial" w:cs="Arial"/>
        </w:rPr>
      </w:pPr>
    </w:p>
    <w:p w14:paraId="36996FA1" w14:textId="77777777" w:rsidR="00576018" w:rsidRPr="00576018" w:rsidRDefault="00ED32DD" w:rsidP="00576018">
      <w:pPr>
        <w:rPr>
          <w:rFonts w:ascii="Arial" w:hAnsi="Arial" w:cs="Arial"/>
        </w:rPr>
      </w:pPr>
      <w:r>
        <w:rPr>
          <w:rFonts w:ascii="Arial" w:hAnsi="Arial" w:cs="Arial"/>
        </w:rPr>
        <w:t>8</w:t>
      </w:r>
      <w:r w:rsidR="00576018" w:rsidRPr="00576018">
        <w:rPr>
          <w:rFonts w:ascii="Arial" w:hAnsi="Arial" w:cs="Arial"/>
        </w:rPr>
        <w:tab/>
      </w:r>
      <w:r w:rsidR="00576018" w:rsidRPr="00576018">
        <w:rPr>
          <w:rFonts w:ascii="Arial" w:hAnsi="Arial" w:cs="Arial"/>
          <w:b/>
          <w:bCs/>
          <w:u w:val="single"/>
        </w:rPr>
        <w:t>Recommendations</w:t>
      </w:r>
    </w:p>
    <w:p w14:paraId="375C319B" w14:textId="77777777" w:rsidR="00576018" w:rsidRDefault="00576018" w:rsidP="00576018">
      <w:pPr>
        <w:rPr>
          <w:rFonts w:ascii="Arial" w:hAnsi="Arial" w:cs="Arial"/>
        </w:rPr>
      </w:pPr>
    </w:p>
    <w:p w14:paraId="66E7D109" w14:textId="77777777" w:rsidR="0007213A" w:rsidRDefault="00ED32DD" w:rsidP="002E6944">
      <w:pPr>
        <w:ind w:left="567" w:hanging="567"/>
        <w:rPr>
          <w:rFonts w:ascii="Arial" w:hAnsi="Arial" w:cs="Arial"/>
        </w:rPr>
      </w:pPr>
      <w:r>
        <w:rPr>
          <w:rFonts w:ascii="Arial" w:hAnsi="Arial" w:cs="Arial"/>
        </w:rPr>
        <w:t>8</w:t>
      </w:r>
      <w:r w:rsidR="00F674ED">
        <w:rPr>
          <w:rFonts w:ascii="Arial" w:hAnsi="Arial" w:cs="Arial"/>
        </w:rPr>
        <w:t>.1</w:t>
      </w:r>
      <w:r w:rsidR="00F674ED">
        <w:rPr>
          <w:rFonts w:ascii="Arial" w:hAnsi="Arial" w:cs="Arial"/>
        </w:rPr>
        <w:tab/>
      </w:r>
      <w:r w:rsidR="001D775A">
        <w:rPr>
          <w:rFonts w:ascii="Arial" w:hAnsi="Arial" w:cs="Arial"/>
        </w:rPr>
        <w:t xml:space="preserve">Forum is </w:t>
      </w:r>
      <w:r w:rsidR="0007213A">
        <w:rPr>
          <w:rFonts w:ascii="Arial" w:hAnsi="Arial" w:cs="Arial"/>
        </w:rPr>
        <w:t>asked to:</w:t>
      </w:r>
    </w:p>
    <w:p w14:paraId="664B3C48" w14:textId="77777777" w:rsidR="0007213A" w:rsidRDefault="0007213A" w:rsidP="0007213A">
      <w:pPr>
        <w:ind w:left="567"/>
        <w:rPr>
          <w:rFonts w:ascii="Arial" w:hAnsi="Arial" w:cs="Arial"/>
        </w:rPr>
      </w:pPr>
      <w:r>
        <w:rPr>
          <w:rFonts w:ascii="Arial" w:hAnsi="Arial" w:cs="Arial"/>
        </w:rPr>
        <w:t xml:space="preserve">a) </w:t>
      </w:r>
      <w:proofErr w:type="gramStart"/>
      <w:r>
        <w:rPr>
          <w:rFonts w:ascii="Arial" w:hAnsi="Arial" w:cs="Arial"/>
        </w:rPr>
        <w:t>note</w:t>
      </w:r>
      <w:proofErr w:type="gramEnd"/>
      <w:r>
        <w:rPr>
          <w:rFonts w:ascii="Arial" w:hAnsi="Arial" w:cs="Arial"/>
        </w:rPr>
        <w:t xml:space="preserve"> the </w:t>
      </w:r>
      <w:proofErr w:type="spellStart"/>
      <w:r w:rsidR="00C731F1">
        <w:rPr>
          <w:rFonts w:ascii="Arial" w:hAnsi="Arial" w:cs="Arial"/>
        </w:rPr>
        <w:t>DfE</w:t>
      </w:r>
      <w:proofErr w:type="spellEnd"/>
      <w:r>
        <w:rPr>
          <w:rFonts w:ascii="Arial" w:hAnsi="Arial" w:cs="Arial"/>
        </w:rPr>
        <w:t xml:space="preserve"> changes outlined in the report</w:t>
      </w:r>
    </w:p>
    <w:p w14:paraId="6F547337" w14:textId="77777777" w:rsidR="00ED32DD" w:rsidRDefault="00ED32DD" w:rsidP="0007213A">
      <w:pPr>
        <w:ind w:left="567"/>
        <w:rPr>
          <w:rFonts w:ascii="Arial" w:hAnsi="Arial" w:cs="Arial"/>
        </w:rPr>
      </w:pPr>
      <w:r>
        <w:rPr>
          <w:rFonts w:ascii="Arial" w:hAnsi="Arial" w:cs="Arial"/>
        </w:rPr>
        <w:t xml:space="preserve">b) </w:t>
      </w:r>
      <w:proofErr w:type="gramStart"/>
      <w:r>
        <w:rPr>
          <w:rFonts w:ascii="Arial" w:hAnsi="Arial" w:cs="Arial"/>
        </w:rPr>
        <w:t>implement</w:t>
      </w:r>
      <w:proofErr w:type="gramEnd"/>
      <w:r>
        <w:rPr>
          <w:rFonts w:ascii="Arial" w:hAnsi="Arial" w:cs="Arial"/>
        </w:rPr>
        <w:t xml:space="preserve"> the </w:t>
      </w:r>
      <w:r w:rsidR="00550416">
        <w:rPr>
          <w:rFonts w:ascii="Arial" w:hAnsi="Arial" w:cs="Arial"/>
        </w:rPr>
        <w:t xml:space="preserve">appropriate </w:t>
      </w:r>
      <w:r>
        <w:rPr>
          <w:rFonts w:ascii="Arial" w:hAnsi="Arial" w:cs="Arial"/>
        </w:rPr>
        <w:t>changes described from the effective date</w:t>
      </w:r>
    </w:p>
    <w:p w14:paraId="15D4F5C0" w14:textId="77777777" w:rsidR="0007213A" w:rsidRDefault="0007213A" w:rsidP="0007213A">
      <w:pPr>
        <w:ind w:left="567"/>
        <w:rPr>
          <w:rFonts w:ascii="Arial" w:hAnsi="Arial" w:cs="Arial"/>
        </w:rPr>
      </w:pPr>
    </w:p>
    <w:p w14:paraId="25E48877" w14:textId="77777777" w:rsidR="002E6944" w:rsidRDefault="0007213A" w:rsidP="0007213A">
      <w:pPr>
        <w:ind w:left="567"/>
        <w:rPr>
          <w:rFonts w:ascii="Arial" w:hAnsi="Arial" w:cs="Arial"/>
        </w:rPr>
      </w:pPr>
      <w:r>
        <w:rPr>
          <w:rFonts w:ascii="Arial" w:hAnsi="Arial" w:cs="Arial"/>
          <w:b/>
          <w:u w:val="single"/>
        </w:rPr>
        <w:t xml:space="preserve">Please note that only Maintained School Forum Representatives are affected by these </w:t>
      </w:r>
      <w:r w:rsidR="00C731F1">
        <w:rPr>
          <w:rFonts w:ascii="Arial" w:hAnsi="Arial" w:cs="Arial"/>
          <w:b/>
          <w:u w:val="single"/>
        </w:rPr>
        <w:t>changes.</w:t>
      </w:r>
    </w:p>
    <w:p w14:paraId="4B53FC2B" w14:textId="77777777" w:rsidR="00155095" w:rsidRDefault="00155095" w:rsidP="002E6944">
      <w:pPr>
        <w:ind w:left="567" w:hanging="567"/>
        <w:rPr>
          <w:rFonts w:ascii="Arial" w:hAnsi="Arial" w:cs="Arial"/>
        </w:rPr>
      </w:pPr>
    </w:p>
    <w:p w14:paraId="6FFDEDA3" w14:textId="77777777" w:rsidR="000659C3" w:rsidRPr="000659C3" w:rsidRDefault="000659C3">
      <w:pPr>
        <w:rPr>
          <w:rFonts w:ascii="Arial" w:hAnsi="Arial"/>
          <w:b/>
        </w:rPr>
      </w:pPr>
    </w:p>
    <w:sectPr w:rsidR="000659C3" w:rsidRPr="000659C3" w:rsidSect="005F187A">
      <w:headerReference w:type="default" r:id="rId8"/>
      <w:footerReference w:type="even" r:id="rId9"/>
      <w:footerReference w:type="default" r:id="rId10"/>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2129F" w14:textId="77777777" w:rsidR="006F45F1" w:rsidRDefault="006F45F1">
      <w:r>
        <w:separator/>
      </w:r>
    </w:p>
  </w:endnote>
  <w:endnote w:type="continuationSeparator" w:id="0">
    <w:p w14:paraId="7E15991D" w14:textId="77777777" w:rsidR="006F45F1" w:rsidRDefault="006F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6F72" w14:textId="77777777" w:rsidR="006F45F1" w:rsidRDefault="006F45F1" w:rsidP="00A97E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047F3" w14:textId="77777777" w:rsidR="006F45F1" w:rsidRDefault="006F45F1" w:rsidP="00A566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055532"/>
      <w:docPartObj>
        <w:docPartGallery w:val="Page Numbers (Bottom of Page)"/>
        <w:docPartUnique/>
      </w:docPartObj>
    </w:sdtPr>
    <w:sdtEndPr/>
    <w:sdtContent>
      <w:sdt>
        <w:sdtPr>
          <w:id w:val="565050523"/>
          <w:docPartObj>
            <w:docPartGallery w:val="Page Numbers (Top of Page)"/>
            <w:docPartUnique/>
          </w:docPartObj>
        </w:sdtPr>
        <w:sdtEndPr/>
        <w:sdtContent>
          <w:p w14:paraId="6790E5C4" w14:textId="77777777" w:rsidR="006F45F1" w:rsidRDefault="001A4F7F" w:rsidP="005F187A">
            <w:pPr>
              <w:pStyle w:val="Footer"/>
              <w:jc w:val="right"/>
            </w:pPr>
            <w:r>
              <w:rPr>
                <w:rFonts w:ascii="Arial" w:hAnsi="Arial" w:cs="Arial"/>
                <w:noProof/>
                <w:sz w:val="12"/>
                <w:szCs w:val="12"/>
              </w:rPr>
              <w:fldChar w:fldCharType="begin"/>
            </w:r>
            <w:r>
              <w:rPr>
                <w:rFonts w:ascii="Arial" w:hAnsi="Arial" w:cs="Arial"/>
                <w:noProof/>
                <w:sz w:val="12"/>
                <w:szCs w:val="12"/>
              </w:rPr>
              <w:instrText xml:space="preserve"> FILENAME  \* Lower \p  \* MERGEFORMAT </w:instrText>
            </w:r>
            <w:r>
              <w:rPr>
                <w:rFonts w:ascii="Arial" w:hAnsi="Arial" w:cs="Arial"/>
                <w:noProof/>
                <w:sz w:val="12"/>
                <w:szCs w:val="12"/>
              </w:rPr>
              <w:fldChar w:fldCharType="separate"/>
            </w:r>
            <w:r w:rsidR="008719C1">
              <w:rPr>
                <w:rFonts w:ascii="Arial" w:hAnsi="Arial" w:cs="Arial"/>
                <w:noProof/>
                <w:sz w:val="12"/>
                <w:szCs w:val="12"/>
              </w:rPr>
              <w:t>z:\child &amp; adult services\child\schools\schools forum\meetings\2020-21\14 july 2020\item x_2020 0714  updates to scheme for financing schools.docx</w:t>
            </w:r>
            <w:r>
              <w:rPr>
                <w:rFonts w:ascii="Arial" w:hAnsi="Arial" w:cs="Arial"/>
                <w:noProof/>
                <w:sz w:val="12"/>
                <w:szCs w:val="12"/>
              </w:rPr>
              <w:fldChar w:fldCharType="end"/>
            </w:r>
          </w:p>
        </w:sdtContent>
      </w:sdt>
    </w:sdtContent>
  </w:sdt>
  <w:p w14:paraId="3CCB894A" w14:textId="77777777" w:rsidR="006F45F1" w:rsidRDefault="006F45F1" w:rsidP="00A566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1C0CF" w14:textId="77777777" w:rsidR="006F45F1" w:rsidRDefault="006F45F1">
      <w:r>
        <w:separator/>
      </w:r>
    </w:p>
  </w:footnote>
  <w:footnote w:type="continuationSeparator" w:id="0">
    <w:p w14:paraId="3F6AFEA7" w14:textId="77777777" w:rsidR="006F45F1" w:rsidRDefault="006F4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BCD72" w14:textId="77777777" w:rsidR="006F45F1" w:rsidRDefault="0038127C">
    <w:pPr>
      <w:pStyle w:val="Header"/>
      <w:jc w:val="right"/>
    </w:pPr>
    <w:sdt>
      <w:sdtPr>
        <w:id w:val="565053189"/>
        <w:docPartObj>
          <w:docPartGallery w:val="Page Numbers (Top of Page)"/>
          <w:docPartUnique/>
        </w:docPartObj>
      </w:sdtPr>
      <w:sdtEndPr/>
      <w:sdtContent>
        <w:r w:rsidR="006F45F1" w:rsidRPr="005F187A">
          <w:rPr>
            <w:rFonts w:ascii="Arial" w:hAnsi="Arial" w:cs="Arial"/>
            <w:sz w:val="16"/>
            <w:szCs w:val="16"/>
          </w:rPr>
          <w:t xml:space="preserve">Page </w:t>
        </w:r>
        <w:r w:rsidR="006F45F1" w:rsidRPr="005F187A">
          <w:rPr>
            <w:rFonts w:ascii="Arial" w:hAnsi="Arial" w:cs="Arial"/>
            <w:b/>
            <w:sz w:val="16"/>
            <w:szCs w:val="16"/>
          </w:rPr>
          <w:fldChar w:fldCharType="begin"/>
        </w:r>
        <w:r w:rsidR="006F45F1" w:rsidRPr="005F187A">
          <w:rPr>
            <w:rFonts w:ascii="Arial" w:hAnsi="Arial" w:cs="Arial"/>
            <w:b/>
            <w:sz w:val="16"/>
            <w:szCs w:val="16"/>
          </w:rPr>
          <w:instrText xml:space="preserve"> PAGE </w:instrText>
        </w:r>
        <w:r w:rsidR="006F45F1" w:rsidRPr="005F187A">
          <w:rPr>
            <w:rFonts w:ascii="Arial" w:hAnsi="Arial" w:cs="Arial"/>
            <w:b/>
            <w:sz w:val="16"/>
            <w:szCs w:val="16"/>
          </w:rPr>
          <w:fldChar w:fldCharType="separate"/>
        </w:r>
        <w:r>
          <w:rPr>
            <w:rFonts w:ascii="Arial" w:hAnsi="Arial" w:cs="Arial"/>
            <w:b/>
            <w:noProof/>
            <w:sz w:val="16"/>
            <w:szCs w:val="16"/>
          </w:rPr>
          <w:t>4</w:t>
        </w:r>
        <w:r w:rsidR="006F45F1" w:rsidRPr="005F187A">
          <w:rPr>
            <w:rFonts w:ascii="Arial" w:hAnsi="Arial" w:cs="Arial"/>
            <w:b/>
            <w:sz w:val="16"/>
            <w:szCs w:val="16"/>
          </w:rPr>
          <w:fldChar w:fldCharType="end"/>
        </w:r>
        <w:r w:rsidR="006F45F1" w:rsidRPr="005F187A">
          <w:rPr>
            <w:rFonts w:ascii="Arial" w:hAnsi="Arial" w:cs="Arial"/>
            <w:sz w:val="16"/>
            <w:szCs w:val="16"/>
          </w:rPr>
          <w:t xml:space="preserve"> of </w:t>
        </w:r>
        <w:r w:rsidR="006F45F1" w:rsidRPr="005F187A">
          <w:rPr>
            <w:rFonts w:ascii="Arial" w:hAnsi="Arial" w:cs="Arial"/>
            <w:b/>
            <w:sz w:val="16"/>
            <w:szCs w:val="16"/>
          </w:rPr>
          <w:fldChar w:fldCharType="begin"/>
        </w:r>
        <w:r w:rsidR="006F45F1" w:rsidRPr="005F187A">
          <w:rPr>
            <w:rFonts w:ascii="Arial" w:hAnsi="Arial" w:cs="Arial"/>
            <w:b/>
            <w:sz w:val="16"/>
            <w:szCs w:val="16"/>
          </w:rPr>
          <w:instrText xml:space="preserve"> NUMPAGES  </w:instrText>
        </w:r>
        <w:r w:rsidR="006F45F1" w:rsidRPr="005F187A">
          <w:rPr>
            <w:rFonts w:ascii="Arial" w:hAnsi="Arial" w:cs="Arial"/>
            <w:b/>
            <w:sz w:val="16"/>
            <w:szCs w:val="16"/>
          </w:rPr>
          <w:fldChar w:fldCharType="separate"/>
        </w:r>
        <w:r>
          <w:rPr>
            <w:rFonts w:ascii="Arial" w:hAnsi="Arial" w:cs="Arial"/>
            <w:b/>
            <w:noProof/>
            <w:sz w:val="16"/>
            <w:szCs w:val="16"/>
          </w:rPr>
          <w:t>4</w:t>
        </w:r>
        <w:r w:rsidR="006F45F1" w:rsidRPr="005F187A">
          <w:rPr>
            <w:rFonts w:ascii="Arial" w:hAnsi="Arial" w:cs="Arial"/>
            <w:b/>
            <w:sz w:val="16"/>
            <w:szCs w:val="16"/>
          </w:rPr>
          <w:fldChar w:fldCharType="end"/>
        </w:r>
      </w:sdtContent>
    </w:sdt>
  </w:p>
  <w:p w14:paraId="51D554B2" w14:textId="77777777" w:rsidR="006F45F1" w:rsidRDefault="006F4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A6E"/>
    <w:multiLevelType w:val="hybridMultilevel"/>
    <w:tmpl w:val="B08EDDCE"/>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22FEC"/>
    <w:multiLevelType w:val="hybridMultilevel"/>
    <w:tmpl w:val="99C0D8D6"/>
    <w:lvl w:ilvl="0" w:tplc="E4621478">
      <w:start w:val="1"/>
      <w:numFmt w:val="decimal"/>
      <w:lvlText w:val="%1."/>
      <w:lvlJc w:val="left"/>
      <w:pPr>
        <w:ind w:left="720" w:hanging="360"/>
      </w:pPr>
      <w:rPr>
        <w:color w:val="17365D"/>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4544B86"/>
    <w:multiLevelType w:val="multilevel"/>
    <w:tmpl w:val="5D9453C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E92DEA"/>
    <w:multiLevelType w:val="multilevel"/>
    <w:tmpl w:val="6C2E868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F80CF9"/>
    <w:multiLevelType w:val="multilevel"/>
    <w:tmpl w:val="A6A81C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9B4E1E"/>
    <w:multiLevelType w:val="hybridMultilevel"/>
    <w:tmpl w:val="6CBA8B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AD4F55"/>
    <w:multiLevelType w:val="multilevel"/>
    <w:tmpl w:val="5DE208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F75415"/>
    <w:multiLevelType w:val="hybridMultilevel"/>
    <w:tmpl w:val="C78E409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3671AA6"/>
    <w:multiLevelType w:val="multilevel"/>
    <w:tmpl w:val="E5EAC930"/>
    <w:lvl w:ilvl="0">
      <w:start w:val="1"/>
      <w:numFmt w:val="decimal"/>
      <w:lvlText w:val="%1."/>
      <w:lvlJc w:val="left"/>
      <w:pPr>
        <w:tabs>
          <w:tab w:val="num" w:pos="1080"/>
        </w:tabs>
        <w:ind w:left="1080" w:hanging="72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6D6217"/>
    <w:multiLevelType w:val="hybridMultilevel"/>
    <w:tmpl w:val="A40AC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9C35AC"/>
    <w:multiLevelType w:val="hybridMultilevel"/>
    <w:tmpl w:val="8716D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5A1FF2"/>
    <w:multiLevelType w:val="multilevel"/>
    <w:tmpl w:val="938A9F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5C669E"/>
    <w:multiLevelType w:val="multilevel"/>
    <w:tmpl w:val="A6A81CF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0A48AB"/>
    <w:multiLevelType w:val="multilevel"/>
    <w:tmpl w:val="A6A81CF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9B2C73"/>
    <w:multiLevelType w:val="hybridMultilevel"/>
    <w:tmpl w:val="D7C2D02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1B">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5" w15:restartNumberingAfterBreak="0">
    <w:nsid w:val="2EDD1659"/>
    <w:multiLevelType w:val="multilevel"/>
    <w:tmpl w:val="2F3A103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9590572"/>
    <w:multiLevelType w:val="multilevel"/>
    <w:tmpl w:val="157ECA46"/>
    <w:lvl w:ilvl="0">
      <w:start w:val="2"/>
      <w:numFmt w:val="decimal"/>
      <w:lvlText w:val="%1"/>
      <w:lvlJc w:val="left"/>
      <w:pPr>
        <w:ind w:left="502"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092680"/>
    <w:multiLevelType w:val="hybridMultilevel"/>
    <w:tmpl w:val="99EEBF84"/>
    <w:lvl w:ilvl="0" w:tplc="D55E0B32">
      <w:start w:val="4"/>
      <w:numFmt w:val="decimal"/>
      <w:lvlText w:val="%1."/>
      <w:lvlJc w:val="left"/>
      <w:pPr>
        <w:ind w:left="502" w:hanging="360"/>
      </w:pPr>
      <w:rPr>
        <w:rFonts w:hint="default"/>
        <w:b/>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6D261C44"/>
    <w:multiLevelType w:val="multilevel"/>
    <w:tmpl w:val="406617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F671E1"/>
    <w:multiLevelType w:val="multilevel"/>
    <w:tmpl w:val="377C00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82534F"/>
    <w:multiLevelType w:val="hybridMultilevel"/>
    <w:tmpl w:val="103E809C"/>
    <w:lvl w:ilvl="0" w:tplc="68666A2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2B737C"/>
    <w:multiLevelType w:val="hybridMultilevel"/>
    <w:tmpl w:val="C9AC7A9A"/>
    <w:lvl w:ilvl="0" w:tplc="242051DC">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D8235A3"/>
    <w:multiLevelType w:val="multilevel"/>
    <w:tmpl w:val="B9E414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8"/>
  </w:num>
  <w:num w:numId="4">
    <w:abstractNumId w:val="2"/>
  </w:num>
  <w:num w:numId="5">
    <w:abstractNumId w:val="20"/>
  </w:num>
  <w:num w:numId="6">
    <w:abstractNumId w:val="15"/>
  </w:num>
  <w:num w:numId="7">
    <w:abstractNumId w:val="13"/>
  </w:num>
  <w:num w:numId="8">
    <w:abstractNumId w:val="4"/>
  </w:num>
  <w:num w:numId="9">
    <w:abstractNumId w:val="12"/>
  </w:num>
  <w:num w:numId="10">
    <w:abstractNumId w:val="2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9"/>
  </w:num>
  <w:num w:numId="15">
    <w:abstractNumId w:val="16"/>
  </w:num>
  <w:num w:numId="16">
    <w:abstractNumId w:val="3"/>
  </w:num>
  <w:num w:numId="17">
    <w:abstractNumId w:val="10"/>
  </w:num>
  <w:num w:numId="18">
    <w:abstractNumId w:val="17"/>
  </w:num>
  <w:num w:numId="19">
    <w:abstractNumId w:val="18"/>
  </w:num>
  <w:num w:numId="20">
    <w:abstractNumId w:val="6"/>
  </w:num>
  <w:num w:numId="21">
    <w:abstractNumId w:val="19"/>
  </w:num>
  <w:num w:numId="22">
    <w:abstractNumId w:val="5"/>
  </w:num>
  <w:num w:numId="23">
    <w:abstractNumId w:val="11"/>
  </w:num>
  <w:num w:numId="2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8C"/>
    <w:rsid w:val="00006046"/>
    <w:rsid w:val="00010596"/>
    <w:rsid w:val="000157E6"/>
    <w:rsid w:val="00015B0D"/>
    <w:rsid w:val="00016C47"/>
    <w:rsid w:val="00017F86"/>
    <w:rsid w:val="00022435"/>
    <w:rsid w:val="00023889"/>
    <w:rsid w:val="000255F6"/>
    <w:rsid w:val="00025CAE"/>
    <w:rsid w:val="0002676C"/>
    <w:rsid w:val="0002712E"/>
    <w:rsid w:val="0002762C"/>
    <w:rsid w:val="00027E44"/>
    <w:rsid w:val="00031A2B"/>
    <w:rsid w:val="00035172"/>
    <w:rsid w:val="00036B9E"/>
    <w:rsid w:val="00042C1A"/>
    <w:rsid w:val="00044D8C"/>
    <w:rsid w:val="0004518F"/>
    <w:rsid w:val="00050DA8"/>
    <w:rsid w:val="000576D0"/>
    <w:rsid w:val="000579CD"/>
    <w:rsid w:val="00060EDC"/>
    <w:rsid w:val="00062657"/>
    <w:rsid w:val="0006510E"/>
    <w:rsid w:val="000659C3"/>
    <w:rsid w:val="000717C8"/>
    <w:rsid w:val="0007213A"/>
    <w:rsid w:val="00072AD6"/>
    <w:rsid w:val="000730FD"/>
    <w:rsid w:val="00076A3E"/>
    <w:rsid w:val="00080701"/>
    <w:rsid w:val="00081603"/>
    <w:rsid w:val="000816AF"/>
    <w:rsid w:val="000870A3"/>
    <w:rsid w:val="000871DD"/>
    <w:rsid w:val="000904BC"/>
    <w:rsid w:val="00096B31"/>
    <w:rsid w:val="000A7DA7"/>
    <w:rsid w:val="000B6930"/>
    <w:rsid w:val="000B77D9"/>
    <w:rsid w:val="000C61A9"/>
    <w:rsid w:val="000C636B"/>
    <w:rsid w:val="000D01DC"/>
    <w:rsid w:val="000D1131"/>
    <w:rsid w:val="000D130D"/>
    <w:rsid w:val="000D2704"/>
    <w:rsid w:val="000D411F"/>
    <w:rsid w:val="000D524D"/>
    <w:rsid w:val="000D7BB1"/>
    <w:rsid w:val="000D7E2E"/>
    <w:rsid w:val="000E007D"/>
    <w:rsid w:val="000E18CC"/>
    <w:rsid w:val="000E1A1B"/>
    <w:rsid w:val="000E7370"/>
    <w:rsid w:val="000E73FA"/>
    <w:rsid w:val="000F0141"/>
    <w:rsid w:val="000F159C"/>
    <w:rsid w:val="000F6580"/>
    <w:rsid w:val="000F69D5"/>
    <w:rsid w:val="000F7333"/>
    <w:rsid w:val="000F75D4"/>
    <w:rsid w:val="000F7CB3"/>
    <w:rsid w:val="00106BCD"/>
    <w:rsid w:val="00107761"/>
    <w:rsid w:val="0011367C"/>
    <w:rsid w:val="0012185E"/>
    <w:rsid w:val="00122C6C"/>
    <w:rsid w:val="00127BE9"/>
    <w:rsid w:val="00127C03"/>
    <w:rsid w:val="001354B0"/>
    <w:rsid w:val="0013705D"/>
    <w:rsid w:val="00147F00"/>
    <w:rsid w:val="00147F92"/>
    <w:rsid w:val="00151D0B"/>
    <w:rsid w:val="00153604"/>
    <w:rsid w:val="00153F60"/>
    <w:rsid w:val="00155095"/>
    <w:rsid w:val="00155D0D"/>
    <w:rsid w:val="00157268"/>
    <w:rsid w:val="00157C00"/>
    <w:rsid w:val="00162062"/>
    <w:rsid w:val="00165A0D"/>
    <w:rsid w:val="00165CCE"/>
    <w:rsid w:val="001710A1"/>
    <w:rsid w:val="00171BAB"/>
    <w:rsid w:val="00172EEB"/>
    <w:rsid w:val="001747DC"/>
    <w:rsid w:val="001752DA"/>
    <w:rsid w:val="00175373"/>
    <w:rsid w:val="00181F27"/>
    <w:rsid w:val="00182076"/>
    <w:rsid w:val="00184980"/>
    <w:rsid w:val="00185126"/>
    <w:rsid w:val="00186078"/>
    <w:rsid w:val="001939EE"/>
    <w:rsid w:val="001960FF"/>
    <w:rsid w:val="001965AD"/>
    <w:rsid w:val="001A3299"/>
    <w:rsid w:val="001A465F"/>
    <w:rsid w:val="001A4F7F"/>
    <w:rsid w:val="001A644E"/>
    <w:rsid w:val="001B5346"/>
    <w:rsid w:val="001B734F"/>
    <w:rsid w:val="001B7E42"/>
    <w:rsid w:val="001C66BD"/>
    <w:rsid w:val="001D3819"/>
    <w:rsid w:val="001D3C00"/>
    <w:rsid w:val="001D5B25"/>
    <w:rsid w:val="001D775A"/>
    <w:rsid w:val="001E1743"/>
    <w:rsid w:val="001E3B91"/>
    <w:rsid w:val="001E5326"/>
    <w:rsid w:val="001F0D1D"/>
    <w:rsid w:val="001F2F83"/>
    <w:rsid w:val="001F512E"/>
    <w:rsid w:val="001F7A1E"/>
    <w:rsid w:val="002061F2"/>
    <w:rsid w:val="00207252"/>
    <w:rsid w:val="00213071"/>
    <w:rsid w:val="00215481"/>
    <w:rsid w:val="002214E2"/>
    <w:rsid w:val="0023373B"/>
    <w:rsid w:val="0023630B"/>
    <w:rsid w:val="00243B24"/>
    <w:rsid w:val="00244F31"/>
    <w:rsid w:val="00247E78"/>
    <w:rsid w:val="002522AB"/>
    <w:rsid w:val="00254F9E"/>
    <w:rsid w:val="00260196"/>
    <w:rsid w:val="0026094C"/>
    <w:rsid w:val="002614ED"/>
    <w:rsid w:val="00263866"/>
    <w:rsid w:val="002650E1"/>
    <w:rsid w:val="00265CBA"/>
    <w:rsid w:val="002678E9"/>
    <w:rsid w:val="00277A16"/>
    <w:rsid w:val="002804C0"/>
    <w:rsid w:val="00282452"/>
    <w:rsid w:val="00294964"/>
    <w:rsid w:val="00294EAA"/>
    <w:rsid w:val="0029534A"/>
    <w:rsid w:val="00297FCB"/>
    <w:rsid w:val="002A160B"/>
    <w:rsid w:val="002A268C"/>
    <w:rsid w:val="002B0EAA"/>
    <w:rsid w:val="002B3E18"/>
    <w:rsid w:val="002C0547"/>
    <w:rsid w:val="002C6500"/>
    <w:rsid w:val="002C7EE9"/>
    <w:rsid w:val="002D591E"/>
    <w:rsid w:val="002D738C"/>
    <w:rsid w:val="002E0FB0"/>
    <w:rsid w:val="002E18F4"/>
    <w:rsid w:val="002E499B"/>
    <w:rsid w:val="002E513D"/>
    <w:rsid w:val="002E6944"/>
    <w:rsid w:val="002F79E8"/>
    <w:rsid w:val="0030307E"/>
    <w:rsid w:val="003036DE"/>
    <w:rsid w:val="00304957"/>
    <w:rsid w:val="00306823"/>
    <w:rsid w:val="00306AE8"/>
    <w:rsid w:val="0030706A"/>
    <w:rsid w:val="0030773F"/>
    <w:rsid w:val="003102C5"/>
    <w:rsid w:val="003117E2"/>
    <w:rsid w:val="00311DDB"/>
    <w:rsid w:val="00314569"/>
    <w:rsid w:val="00315834"/>
    <w:rsid w:val="00315D46"/>
    <w:rsid w:val="003208F0"/>
    <w:rsid w:val="00321E39"/>
    <w:rsid w:val="00323FB7"/>
    <w:rsid w:val="00326230"/>
    <w:rsid w:val="0032696D"/>
    <w:rsid w:val="0033382A"/>
    <w:rsid w:val="00334B3D"/>
    <w:rsid w:val="0034027A"/>
    <w:rsid w:val="00341307"/>
    <w:rsid w:val="00341D0E"/>
    <w:rsid w:val="00343746"/>
    <w:rsid w:val="00343994"/>
    <w:rsid w:val="00346155"/>
    <w:rsid w:val="00353C5A"/>
    <w:rsid w:val="00355890"/>
    <w:rsid w:val="00363164"/>
    <w:rsid w:val="00374E7E"/>
    <w:rsid w:val="003756DE"/>
    <w:rsid w:val="00375AA2"/>
    <w:rsid w:val="0037702F"/>
    <w:rsid w:val="00377069"/>
    <w:rsid w:val="00380BB4"/>
    <w:rsid w:val="0038127C"/>
    <w:rsid w:val="00381832"/>
    <w:rsid w:val="0038276D"/>
    <w:rsid w:val="00383A39"/>
    <w:rsid w:val="00386155"/>
    <w:rsid w:val="0038726F"/>
    <w:rsid w:val="00391AE2"/>
    <w:rsid w:val="003920D3"/>
    <w:rsid w:val="0039238C"/>
    <w:rsid w:val="00394BFB"/>
    <w:rsid w:val="00396CAE"/>
    <w:rsid w:val="00397F55"/>
    <w:rsid w:val="003A39EF"/>
    <w:rsid w:val="003A516E"/>
    <w:rsid w:val="003A7955"/>
    <w:rsid w:val="003B087A"/>
    <w:rsid w:val="003B19A7"/>
    <w:rsid w:val="003B26A4"/>
    <w:rsid w:val="003B62E8"/>
    <w:rsid w:val="003B73BB"/>
    <w:rsid w:val="003C0233"/>
    <w:rsid w:val="003C0C17"/>
    <w:rsid w:val="003C1B4E"/>
    <w:rsid w:val="003C230C"/>
    <w:rsid w:val="003C2A00"/>
    <w:rsid w:val="003C3354"/>
    <w:rsid w:val="003C3602"/>
    <w:rsid w:val="003C3A9C"/>
    <w:rsid w:val="003C4D53"/>
    <w:rsid w:val="003D2177"/>
    <w:rsid w:val="003D24A7"/>
    <w:rsid w:val="003D3828"/>
    <w:rsid w:val="003D3ED0"/>
    <w:rsid w:val="003D461F"/>
    <w:rsid w:val="003D4799"/>
    <w:rsid w:val="003D50F9"/>
    <w:rsid w:val="003D66CD"/>
    <w:rsid w:val="003D7E0B"/>
    <w:rsid w:val="003F036D"/>
    <w:rsid w:val="003F1C2A"/>
    <w:rsid w:val="004103C4"/>
    <w:rsid w:val="00422DB6"/>
    <w:rsid w:val="00427695"/>
    <w:rsid w:val="00427B62"/>
    <w:rsid w:val="00433566"/>
    <w:rsid w:val="004338DD"/>
    <w:rsid w:val="00436C63"/>
    <w:rsid w:val="00436E52"/>
    <w:rsid w:val="004404C2"/>
    <w:rsid w:val="00444704"/>
    <w:rsid w:val="00457F4E"/>
    <w:rsid w:val="00460549"/>
    <w:rsid w:val="00461D2D"/>
    <w:rsid w:val="00462157"/>
    <w:rsid w:val="00466EDC"/>
    <w:rsid w:val="00467CF3"/>
    <w:rsid w:val="0047341B"/>
    <w:rsid w:val="00475E64"/>
    <w:rsid w:val="00476A33"/>
    <w:rsid w:val="00480169"/>
    <w:rsid w:val="00482C42"/>
    <w:rsid w:val="004852E4"/>
    <w:rsid w:val="0048685E"/>
    <w:rsid w:val="0049005B"/>
    <w:rsid w:val="0049512B"/>
    <w:rsid w:val="004951BD"/>
    <w:rsid w:val="00496161"/>
    <w:rsid w:val="00496199"/>
    <w:rsid w:val="0049690B"/>
    <w:rsid w:val="00497C2A"/>
    <w:rsid w:val="004A4A4D"/>
    <w:rsid w:val="004A6037"/>
    <w:rsid w:val="004A6A1C"/>
    <w:rsid w:val="004B1397"/>
    <w:rsid w:val="004B4B72"/>
    <w:rsid w:val="004B6CFA"/>
    <w:rsid w:val="004C0B26"/>
    <w:rsid w:val="004C19EE"/>
    <w:rsid w:val="004D1245"/>
    <w:rsid w:val="004D1316"/>
    <w:rsid w:val="004D16F6"/>
    <w:rsid w:val="004D1B50"/>
    <w:rsid w:val="004D41B4"/>
    <w:rsid w:val="004D43B3"/>
    <w:rsid w:val="004D5FD2"/>
    <w:rsid w:val="004D7F53"/>
    <w:rsid w:val="004E016F"/>
    <w:rsid w:val="004E0301"/>
    <w:rsid w:val="004E1089"/>
    <w:rsid w:val="004E36BE"/>
    <w:rsid w:val="004E6C13"/>
    <w:rsid w:val="004F0B90"/>
    <w:rsid w:val="004F1D58"/>
    <w:rsid w:val="004F76AA"/>
    <w:rsid w:val="00500735"/>
    <w:rsid w:val="005012FB"/>
    <w:rsid w:val="00505ECE"/>
    <w:rsid w:val="00507291"/>
    <w:rsid w:val="00510543"/>
    <w:rsid w:val="00512A28"/>
    <w:rsid w:val="00515B36"/>
    <w:rsid w:val="00517992"/>
    <w:rsid w:val="005211C6"/>
    <w:rsid w:val="0053102B"/>
    <w:rsid w:val="00535B72"/>
    <w:rsid w:val="00535F11"/>
    <w:rsid w:val="00536AA9"/>
    <w:rsid w:val="00540669"/>
    <w:rsid w:val="00542991"/>
    <w:rsid w:val="00543A47"/>
    <w:rsid w:val="00544B19"/>
    <w:rsid w:val="00550416"/>
    <w:rsid w:val="00550583"/>
    <w:rsid w:val="00556F5A"/>
    <w:rsid w:val="00560AEA"/>
    <w:rsid w:val="00561919"/>
    <w:rsid w:val="00561A77"/>
    <w:rsid w:val="00570E94"/>
    <w:rsid w:val="005728FD"/>
    <w:rsid w:val="00576018"/>
    <w:rsid w:val="0057675B"/>
    <w:rsid w:val="00582FDA"/>
    <w:rsid w:val="00586F0D"/>
    <w:rsid w:val="0058741E"/>
    <w:rsid w:val="005879DB"/>
    <w:rsid w:val="00595D2C"/>
    <w:rsid w:val="005A6F81"/>
    <w:rsid w:val="005B1BB3"/>
    <w:rsid w:val="005B32C7"/>
    <w:rsid w:val="005C3841"/>
    <w:rsid w:val="005C6D8F"/>
    <w:rsid w:val="005C7711"/>
    <w:rsid w:val="005C7FC7"/>
    <w:rsid w:val="005D52EE"/>
    <w:rsid w:val="005D5A83"/>
    <w:rsid w:val="005E014C"/>
    <w:rsid w:val="005E0155"/>
    <w:rsid w:val="005E28D1"/>
    <w:rsid w:val="005E595F"/>
    <w:rsid w:val="005E6BF6"/>
    <w:rsid w:val="005F1016"/>
    <w:rsid w:val="005F187A"/>
    <w:rsid w:val="005F1A50"/>
    <w:rsid w:val="005F2462"/>
    <w:rsid w:val="005F2929"/>
    <w:rsid w:val="005F73B7"/>
    <w:rsid w:val="005F7C6D"/>
    <w:rsid w:val="005F7E3B"/>
    <w:rsid w:val="00600CCD"/>
    <w:rsid w:val="0060539E"/>
    <w:rsid w:val="00610B76"/>
    <w:rsid w:val="00610C23"/>
    <w:rsid w:val="00612CB5"/>
    <w:rsid w:val="00612FB7"/>
    <w:rsid w:val="0061682E"/>
    <w:rsid w:val="00622249"/>
    <w:rsid w:val="006224FC"/>
    <w:rsid w:val="0062376D"/>
    <w:rsid w:val="00627930"/>
    <w:rsid w:val="00630EA0"/>
    <w:rsid w:val="00636DBF"/>
    <w:rsid w:val="006407A7"/>
    <w:rsid w:val="00641237"/>
    <w:rsid w:val="00641CDB"/>
    <w:rsid w:val="00642F21"/>
    <w:rsid w:val="0064391F"/>
    <w:rsid w:val="00644323"/>
    <w:rsid w:val="00650444"/>
    <w:rsid w:val="006506B3"/>
    <w:rsid w:val="006548BC"/>
    <w:rsid w:val="00656195"/>
    <w:rsid w:val="00660753"/>
    <w:rsid w:val="00660ADF"/>
    <w:rsid w:val="00661CDB"/>
    <w:rsid w:val="00662E13"/>
    <w:rsid w:val="00663563"/>
    <w:rsid w:val="00665BEE"/>
    <w:rsid w:val="006674AA"/>
    <w:rsid w:val="00667E1B"/>
    <w:rsid w:val="00667FCC"/>
    <w:rsid w:val="006709FD"/>
    <w:rsid w:val="00670CE2"/>
    <w:rsid w:val="006835E3"/>
    <w:rsid w:val="0068666D"/>
    <w:rsid w:val="00687A45"/>
    <w:rsid w:val="0069060B"/>
    <w:rsid w:val="00691F91"/>
    <w:rsid w:val="00693195"/>
    <w:rsid w:val="00694645"/>
    <w:rsid w:val="006973A3"/>
    <w:rsid w:val="006A0679"/>
    <w:rsid w:val="006A4803"/>
    <w:rsid w:val="006A5B47"/>
    <w:rsid w:val="006A5D78"/>
    <w:rsid w:val="006A67FF"/>
    <w:rsid w:val="006A7110"/>
    <w:rsid w:val="006A7ABB"/>
    <w:rsid w:val="006B2BFC"/>
    <w:rsid w:val="006B2E88"/>
    <w:rsid w:val="006B44A8"/>
    <w:rsid w:val="006B5189"/>
    <w:rsid w:val="006C10B2"/>
    <w:rsid w:val="006C3467"/>
    <w:rsid w:val="006C38B5"/>
    <w:rsid w:val="006C3FF3"/>
    <w:rsid w:val="006C6354"/>
    <w:rsid w:val="006D4FF1"/>
    <w:rsid w:val="006D63E1"/>
    <w:rsid w:val="006D6BF1"/>
    <w:rsid w:val="006E3280"/>
    <w:rsid w:val="006E5EFC"/>
    <w:rsid w:val="006F0933"/>
    <w:rsid w:val="006F11B3"/>
    <w:rsid w:val="006F1FA2"/>
    <w:rsid w:val="006F45F1"/>
    <w:rsid w:val="006F7FD0"/>
    <w:rsid w:val="00703724"/>
    <w:rsid w:val="00710C99"/>
    <w:rsid w:val="007129C3"/>
    <w:rsid w:val="00712AFD"/>
    <w:rsid w:val="00714B53"/>
    <w:rsid w:val="00722F49"/>
    <w:rsid w:val="00733A7D"/>
    <w:rsid w:val="0073741C"/>
    <w:rsid w:val="00741108"/>
    <w:rsid w:val="007411E7"/>
    <w:rsid w:val="007430CD"/>
    <w:rsid w:val="00747649"/>
    <w:rsid w:val="00750521"/>
    <w:rsid w:val="00750E20"/>
    <w:rsid w:val="0075146A"/>
    <w:rsid w:val="00752620"/>
    <w:rsid w:val="00752D27"/>
    <w:rsid w:val="007545E4"/>
    <w:rsid w:val="007569B3"/>
    <w:rsid w:val="007579FE"/>
    <w:rsid w:val="00764AB2"/>
    <w:rsid w:val="00767F5C"/>
    <w:rsid w:val="007701C4"/>
    <w:rsid w:val="00775A98"/>
    <w:rsid w:val="00777B52"/>
    <w:rsid w:val="00781808"/>
    <w:rsid w:val="00782D80"/>
    <w:rsid w:val="0078320D"/>
    <w:rsid w:val="00787E72"/>
    <w:rsid w:val="007907EA"/>
    <w:rsid w:val="0079428F"/>
    <w:rsid w:val="007949DA"/>
    <w:rsid w:val="007956D8"/>
    <w:rsid w:val="007B345D"/>
    <w:rsid w:val="007B37BF"/>
    <w:rsid w:val="007B3DD7"/>
    <w:rsid w:val="007B4B7B"/>
    <w:rsid w:val="007B4E26"/>
    <w:rsid w:val="007C08C9"/>
    <w:rsid w:val="007C0A03"/>
    <w:rsid w:val="007C10C5"/>
    <w:rsid w:val="007C1F2B"/>
    <w:rsid w:val="007C5DA3"/>
    <w:rsid w:val="007D0983"/>
    <w:rsid w:val="007D0C9C"/>
    <w:rsid w:val="007D1050"/>
    <w:rsid w:val="007D14AA"/>
    <w:rsid w:val="007D220C"/>
    <w:rsid w:val="007D2A51"/>
    <w:rsid w:val="007D401D"/>
    <w:rsid w:val="007D633A"/>
    <w:rsid w:val="007E2942"/>
    <w:rsid w:val="007E3EB1"/>
    <w:rsid w:val="007E7789"/>
    <w:rsid w:val="007F0215"/>
    <w:rsid w:val="007F0AEF"/>
    <w:rsid w:val="007F28A4"/>
    <w:rsid w:val="007F534F"/>
    <w:rsid w:val="00800506"/>
    <w:rsid w:val="00801DCC"/>
    <w:rsid w:val="00803F19"/>
    <w:rsid w:val="00806D53"/>
    <w:rsid w:val="00810528"/>
    <w:rsid w:val="008108E9"/>
    <w:rsid w:val="00815734"/>
    <w:rsid w:val="008167D2"/>
    <w:rsid w:val="00816926"/>
    <w:rsid w:val="008177D2"/>
    <w:rsid w:val="00820659"/>
    <w:rsid w:val="00820883"/>
    <w:rsid w:val="00824718"/>
    <w:rsid w:val="00827AAB"/>
    <w:rsid w:val="00841ACA"/>
    <w:rsid w:val="00847E71"/>
    <w:rsid w:val="00851576"/>
    <w:rsid w:val="008539E2"/>
    <w:rsid w:val="00856147"/>
    <w:rsid w:val="0086076D"/>
    <w:rsid w:val="00861CEB"/>
    <w:rsid w:val="008719C1"/>
    <w:rsid w:val="00872530"/>
    <w:rsid w:val="00874973"/>
    <w:rsid w:val="00876100"/>
    <w:rsid w:val="0088165F"/>
    <w:rsid w:val="00884865"/>
    <w:rsid w:val="008900F8"/>
    <w:rsid w:val="0089257C"/>
    <w:rsid w:val="008A0C66"/>
    <w:rsid w:val="008B24AA"/>
    <w:rsid w:val="008B316C"/>
    <w:rsid w:val="008B4DA2"/>
    <w:rsid w:val="008B4E8E"/>
    <w:rsid w:val="008B57E9"/>
    <w:rsid w:val="008C2AF3"/>
    <w:rsid w:val="008C700B"/>
    <w:rsid w:val="008D0240"/>
    <w:rsid w:val="008D1CAE"/>
    <w:rsid w:val="008D3CFE"/>
    <w:rsid w:val="008D49C5"/>
    <w:rsid w:val="008E2495"/>
    <w:rsid w:val="008E3455"/>
    <w:rsid w:val="008E52DF"/>
    <w:rsid w:val="008F0837"/>
    <w:rsid w:val="008F2938"/>
    <w:rsid w:val="00902D6C"/>
    <w:rsid w:val="009037E9"/>
    <w:rsid w:val="009057FC"/>
    <w:rsid w:val="0091246F"/>
    <w:rsid w:val="00913DCC"/>
    <w:rsid w:val="00920DE0"/>
    <w:rsid w:val="00927430"/>
    <w:rsid w:val="00934D5B"/>
    <w:rsid w:val="009360FA"/>
    <w:rsid w:val="009456E7"/>
    <w:rsid w:val="00947EFE"/>
    <w:rsid w:val="00960574"/>
    <w:rsid w:val="0096294C"/>
    <w:rsid w:val="00971477"/>
    <w:rsid w:val="009714D4"/>
    <w:rsid w:val="009753E3"/>
    <w:rsid w:val="0097790C"/>
    <w:rsid w:val="00977F36"/>
    <w:rsid w:val="00984BF0"/>
    <w:rsid w:val="00987986"/>
    <w:rsid w:val="00990C70"/>
    <w:rsid w:val="00990CD1"/>
    <w:rsid w:val="009927BC"/>
    <w:rsid w:val="009953D9"/>
    <w:rsid w:val="00996F3C"/>
    <w:rsid w:val="009A0BB1"/>
    <w:rsid w:val="009A101C"/>
    <w:rsid w:val="009A2240"/>
    <w:rsid w:val="009A2D11"/>
    <w:rsid w:val="009A3667"/>
    <w:rsid w:val="009A6A03"/>
    <w:rsid w:val="009A754E"/>
    <w:rsid w:val="009B1781"/>
    <w:rsid w:val="009B2040"/>
    <w:rsid w:val="009B275D"/>
    <w:rsid w:val="009B54EF"/>
    <w:rsid w:val="009C08EB"/>
    <w:rsid w:val="009C0BD7"/>
    <w:rsid w:val="009C2B9A"/>
    <w:rsid w:val="009D0583"/>
    <w:rsid w:val="009D144C"/>
    <w:rsid w:val="009D439D"/>
    <w:rsid w:val="009D79EB"/>
    <w:rsid w:val="009E0474"/>
    <w:rsid w:val="009E2C82"/>
    <w:rsid w:val="009E53E9"/>
    <w:rsid w:val="009E638D"/>
    <w:rsid w:val="009E6C90"/>
    <w:rsid w:val="009F0AAE"/>
    <w:rsid w:val="00A12E02"/>
    <w:rsid w:val="00A14396"/>
    <w:rsid w:val="00A155F8"/>
    <w:rsid w:val="00A17C62"/>
    <w:rsid w:val="00A2080D"/>
    <w:rsid w:val="00A20865"/>
    <w:rsid w:val="00A27912"/>
    <w:rsid w:val="00A32514"/>
    <w:rsid w:val="00A37875"/>
    <w:rsid w:val="00A40B8D"/>
    <w:rsid w:val="00A43229"/>
    <w:rsid w:val="00A44D37"/>
    <w:rsid w:val="00A457C1"/>
    <w:rsid w:val="00A47770"/>
    <w:rsid w:val="00A51A29"/>
    <w:rsid w:val="00A53298"/>
    <w:rsid w:val="00A53BB4"/>
    <w:rsid w:val="00A5538E"/>
    <w:rsid w:val="00A5664D"/>
    <w:rsid w:val="00A61116"/>
    <w:rsid w:val="00A61CFE"/>
    <w:rsid w:val="00A74C1A"/>
    <w:rsid w:val="00A76D62"/>
    <w:rsid w:val="00A81AA8"/>
    <w:rsid w:val="00A81C47"/>
    <w:rsid w:val="00A81D66"/>
    <w:rsid w:val="00A823D1"/>
    <w:rsid w:val="00A832CD"/>
    <w:rsid w:val="00A84F54"/>
    <w:rsid w:val="00A87386"/>
    <w:rsid w:val="00A90BFF"/>
    <w:rsid w:val="00A940F5"/>
    <w:rsid w:val="00A9456A"/>
    <w:rsid w:val="00A97E20"/>
    <w:rsid w:val="00AA0153"/>
    <w:rsid w:val="00AA765F"/>
    <w:rsid w:val="00AB2951"/>
    <w:rsid w:val="00AB3F3D"/>
    <w:rsid w:val="00AB41EF"/>
    <w:rsid w:val="00AB4795"/>
    <w:rsid w:val="00AB6AD5"/>
    <w:rsid w:val="00AC0029"/>
    <w:rsid w:val="00AC0463"/>
    <w:rsid w:val="00AC04B6"/>
    <w:rsid w:val="00AC579C"/>
    <w:rsid w:val="00AC665C"/>
    <w:rsid w:val="00AC7404"/>
    <w:rsid w:val="00AD3A6C"/>
    <w:rsid w:val="00AD575C"/>
    <w:rsid w:val="00AD5D6C"/>
    <w:rsid w:val="00AE04AD"/>
    <w:rsid w:val="00AE258F"/>
    <w:rsid w:val="00AE3BC1"/>
    <w:rsid w:val="00AE434B"/>
    <w:rsid w:val="00AE4DE8"/>
    <w:rsid w:val="00AE5BDB"/>
    <w:rsid w:val="00AE724B"/>
    <w:rsid w:val="00AF0349"/>
    <w:rsid w:val="00AF07C4"/>
    <w:rsid w:val="00AF197A"/>
    <w:rsid w:val="00B05C08"/>
    <w:rsid w:val="00B1136D"/>
    <w:rsid w:val="00B167BE"/>
    <w:rsid w:val="00B22CDB"/>
    <w:rsid w:val="00B27D97"/>
    <w:rsid w:val="00B31B67"/>
    <w:rsid w:val="00B35112"/>
    <w:rsid w:val="00B46AAA"/>
    <w:rsid w:val="00B47AC1"/>
    <w:rsid w:val="00B54345"/>
    <w:rsid w:val="00B5745D"/>
    <w:rsid w:val="00B6203B"/>
    <w:rsid w:val="00B6228F"/>
    <w:rsid w:val="00B63A2B"/>
    <w:rsid w:val="00B66BC8"/>
    <w:rsid w:val="00B67C7F"/>
    <w:rsid w:val="00B732CC"/>
    <w:rsid w:val="00B8536B"/>
    <w:rsid w:val="00B86335"/>
    <w:rsid w:val="00B90C59"/>
    <w:rsid w:val="00B9113F"/>
    <w:rsid w:val="00B921AC"/>
    <w:rsid w:val="00B92504"/>
    <w:rsid w:val="00B92C47"/>
    <w:rsid w:val="00B952EA"/>
    <w:rsid w:val="00B96480"/>
    <w:rsid w:val="00B96623"/>
    <w:rsid w:val="00BA3D18"/>
    <w:rsid w:val="00BA4D21"/>
    <w:rsid w:val="00BB0E4A"/>
    <w:rsid w:val="00BB328F"/>
    <w:rsid w:val="00BB6A65"/>
    <w:rsid w:val="00BB7367"/>
    <w:rsid w:val="00BC0CC2"/>
    <w:rsid w:val="00BC5485"/>
    <w:rsid w:val="00BC6878"/>
    <w:rsid w:val="00BD06E5"/>
    <w:rsid w:val="00BD1327"/>
    <w:rsid w:val="00BD5981"/>
    <w:rsid w:val="00BD5F08"/>
    <w:rsid w:val="00BE09E0"/>
    <w:rsid w:val="00BE26A8"/>
    <w:rsid w:val="00BE62CB"/>
    <w:rsid w:val="00BE6E4B"/>
    <w:rsid w:val="00BF158A"/>
    <w:rsid w:val="00C0195E"/>
    <w:rsid w:val="00C03663"/>
    <w:rsid w:val="00C06EAA"/>
    <w:rsid w:val="00C12E88"/>
    <w:rsid w:val="00C16631"/>
    <w:rsid w:val="00C17A56"/>
    <w:rsid w:val="00C20702"/>
    <w:rsid w:val="00C24C82"/>
    <w:rsid w:val="00C306C5"/>
    <w:rsid w:val="00C32D21"/>
    <w:rsid w:val="00C36B07"/>
    <w:rsid w:val="00C5094B"/>
    <w:rsid w:val="00C529E0"/>
    <w:rsid w:val="00C54014"/>
    <w:rsid w:val="00C60E52"/>
    <w:rsid w:val="00C627EA"/>
    <w:rsid w:val="00C72507"/>
    <w:rsid w:val="00C731F1"/>
    <w:rsid w:val="00C7362F"/>
    <w:rsid w:val="00C73840"/>
    <w:rsid w:val="00C73D61"/>
    <w:rsid w:val="00C75CA1"/>
    <w:rsid w:val="00C77D4D"/>
    <w:rsid w:val="00C82A14"/>
    <w:rsid w:val="00C84FF4"/>
    <w:rsid w:val="00C866DD"/>
    <w:rsid w:val="00C909FA"/>
    <w:rsid w:val="00C962B8"/>
    <w:rsid w:val="00CA4317"/>
    <w:rsid w:val="00CA6AC7"/>
    <w:rsid w:val="00CB0E6A"/>
    <w:rsid w:val="00CB27E8"/>
    <w:rsid w:val="00CB5DA6"/>
    <w:rsid w:val="00CC443F"/>
    <w:rsid w:val="00CC4CB2"/>
    <w:rsid w:val="00CD6644"/>
    <w:rsid w:val="00CE0BB5"/>
    <w:rsid w:val="00CE1C6D"/>
    <w:rsid w:val="00CE3A48"/>
    <w:rsid w:val="00CE3D64"/>
    <w:rsid w:val="00CE5664"/>
    <w:rsid w:val="00CE75E9"/>
    <w:rsid w:val="00CF57F6"/>
    <w:rsid w:val="00D11C9F"/>
    <w:rsid w:val="00D127F7"/>
    <w:rsid w:val="00D14517"/>
    <w:rsid w:val="00D15448"/>
    <w:rsid w:val="00D205C1"/>
    <w:rsid w:val="00D20EAC"/>
    <w:rsid w:val="00D22188"/>
    <w:rsid w:val="00D256CF"/>
    <w:rsid w:val="00D257A6"/>
    <w:rsid w:val="00D25C9D"/>
    <w:rsid w:val="00D26AA6"/>
    <w:rsid w:val="00D31D32"/>
    <w:rsid w:val="00D34B6F"/>
    <w:rsid w:val="00D35D80"/>
    <w:rsid w:val="00D43BFD"/>
    <w:rsid w:val="00D45092"/>
    <w:rsid w:val="00D51304"/>
    <w:rsid w:val="00D5313F"/>
    <w:rsid w:val="00D60441"/>
    <w:rsid w:val="00D63632"/>
    <w:rsid w:val="00D6479D"/>
    <w:rsid w:val="00D66DF9"/>
    <w:rsid w:val="00D670D5"/>
    <w:rsid w:val="00D7125E"/>
    <w:rsid w:val="00D7354E"/>
    <w:rsid w:val="00D74EEE"/>
    <w:rsid w:val="00D7625D"/>
    <w:rsid w:val="00D8289F"/>
    <w:rsid w:val="00D900D3"/>
    <w:rsid w:val="00D90D3A"/>
    <w:rsid w:val="00D97268"/>
    <w:rsid w:val="00DA7F89"/>
    <w:rsid w:val="00DB023D"/>
    <w:rsid w:val="00DB196A"/>
    <w:rsid w:val="00DB4853"/>
    <w:rsid w:val="00DB6AE7"/>
    <w:rsid w:val="00DC33C2"/>
    <w:rsid w:val="00DC4202"/>
    <w:rsid w:val="00DC5B08"/>
    <w:rsid w:val="00DC5FAF"/>
    <w:rsid w:val="00DD0957"/>
    <w:rsid w:val="00DD2402"/>
    <w:rsid w:val="00DD4B4E"/>
    <w:rsid w:val="00DD5EBF"/>
    <w:rsid w:val="00DE2129"/>
    <w:rsid w:val="00DE4C06"/>
    <w:rsid w:val="00DE5658"/>
    <w:rsid w:val="00DE56C8"/>
    <w:rsid w:val="00DF0643"/>
    <w:rsid w:val="00DF1893"/>
    <w:rsid w:val="00DF34C2"/>
    <w:rsid w:val="00DF583D"/>
    <w:rsid w:val="00DF5AC6"/>
    <w:rsid w:val="00DF60C4"/>
    <w:rsid w:val="00DF73B2"/>
    <w:rsid w:val="00E0141E"/>
    <w:rsid w:val="00E01466"/>
    <w:rsid w:val="00E06DC1"/>
    <w:rsid w:val="00E1632E"/>
    <w:rsid w:val="00E16439"/>
    <w:rsid w:val="00E1701B"/>
    <w:rsid w:val="00E25AC4"/>
    <w:rsid w:val="00E25C18"/>
    <w:rsid w:val="00E26D77"/>
    <w:rsid w:val="00E302E5"/>
    <w:rsid w:val="00E34D2A"/>
    <w:rsid w:val="00E35F54"/>
    <w:rsid w:val="00E402DF"/>
    <w:rsid w:val="00E40853"/>
    <w:rsid w:val="00E40D16"/>
    <w:rsid w:val="00E43EC0"/>
    <w:rsid w:val="00E45BDE"/>
    <w:rsid w:val="00E56794"/>
    <w:rsid w:val="00E603A1"/>
    <w:rsid w:val="00E60596"/>
    <w:rsid w:val="00E61D3F"/>
    <w:rsid w:val="00E64149"/>
    <w:rsid w:val="00E6468E"/>
    <w:rsid w:val="00E66419"/>
    <w:rsid w:val="00E76CBF"/>
    <w:rsid w:val="00E864F8"/>
    <w:rsid w:val="00E86B0D"/>
    <w:rsid w:val="00E87ADC"/>
    <w:rsid w:val="00E904BF"/>
    <w:rsid w:val="00E92E4D"/>
    <w:rsid w:val="00EA1391"/>
    <w:rsid w:val="00EB512F"/>
    <w:rsid w:val="00EB5D05"/>
    <w:rsid w:val="00ED02C8"/>
    <w:rsid w:val="00ED2209"/>
    <w:rsid w:val="00ED32DD"/>
    <w:rsid w:val="00ED7053"/>
    <w:rsid w:val="00EE590B"/>
    <w:rsid w:val="00EE59E3"/>
    <w:rsid w:val="00EE6603"/>
    <w:rsid w:val="00EE6A7D"/>
    <w:rsid w:val="00EE7969"/>
    <w:rsid w:val="00EF0394"/>
    <w:rsid w:val="00EF3E28"/>
    <w:rsid w:val="00EF742F"/>
    <w:rsid w:val="00F01570"/>
    <w:rsid w:val="00F031A4"/>
    <w:rsid w:val="00F04301"/>
    <w:rsid w:val="00F15809"/>
    <w:rsid w:val="00F1603D"/>
    <w:rsid w:val="00F17E55"/>
    <w:rsid w:val="00F208CA"/>
    <w:rsid w:val="00F22C20"/>
    <w:rsid w:val="00F25A7A"/>
    <w:rsid w:val="00F25C07"/>
    <w:rsid w:val="00F263E1"/>
    <w:rsid w:val="00F32BB6"/>
    <w:rsid w:val="00F33788"/>
    <w:rsid w:val="00F43AF6"/>
    <w:rsid w:val="00F51B18"/>
    <w:rsid w:val="00F53B5D"/>
    <w:rsid w:val="00F62D38"/>
    <w:rsid w:val="00F62D67"/>
    <w:rsid w:val="00F65C21"/>
    <w:rsid w:val="00F670D8"/>
    <w:rsid w:val="00F674ED"/>
    <w:rsid w:val="00F735F1"/>
    <w:rsid w:val="00F73D4C"/>
    <w:rsid w:val="00F80880"/>
    <w:rsid w:val="00F8165E"/>
    <w:rsid w:val="00F93043"/>
    <w:rsid w:val="00F94D33"/>
    <w:rsid w:val="00F966A3"/>
    <w:rsid w:val="00F96887"/>
    <w:rsid w:val="00F96BF8"/>
    <w:rsid w:val="00FA0E41"/>
    <w:rsid w:val="00FA36F6"/>
    <w:rsid w:val="00FA7440"/>
    <w:rsid w:val="00FB0AB9"/>
    <w:rsid w:val="00FB287D"/>
    <w:rsid w:val="00FB3674"/>
    <w:rsid w:val="00FB4266"/>
    <w:rsid w:val="00FC7676"/>
    <w:rsid w:val="00FD078F"/>
    <w:rsid w:val="00FD2639"/>
    <w:rsid w:val="00FE2AD0"/>
    <w:rsid w:val="00FE5BB6"/>
    <w:rsid w:val="00FE6D5D"/>
    <w:rsid w:val="00FF1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F1F8D"/>
  <w15:docId w15:val="{0750AC06-C886-4790-940E-DBF32FA5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A77"/>
    <w:rPr>
      <w:sz w:val="24"/>
      <w:szCs w:val="24"/>
      <w:lang w:eastAsia="en-US"/>
    </w:rPr>
  </w:style>
  <w:style w:type="paragraph" w:styleId="Heading1">
    <w:name w:val="heading 1"/>
    <w:basedOn w:val="Normal"/>
    <w:next w:val="Normal"/>
    <w:qFormat/>
    <w:rsid w:val="00561A77"/>
    <w:pPr>
      <w:keepNext/>
      <w:jc w:val="center"/>
      <w:outlineLvl w:val="0"/>
    </w:pPr>
    <w:rPr>
      <w:rFonts w:ascii="Arial" w:hAnsi="Arial" w:cs="Arial"/>
      <w:b/>
      <w:bCs/>
      <w:u w:val="single"/>
    </w:rPr>
  </w:style>
  <w:style w:type="paragraph" w:styleId="Heading2">
    <w:name w:val="heading 2"/>
    <w:basedOn w:val="Normal"/>
    <w:next w:val="Normal"/>
    <w:qFormat/>
    <w:rsid w:val="00561A77"/>
    <w:pPr>
      <w:keepNext/>
      <w:ind w:firstLine="720"/>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1A77"/>
    <w:rPr>
      <w:rFonts w:ascii="Arial" w:hAnsi="Arial" w:cs="Arial"/>
      <w:b/>
      <w:bCs/>
      <w:i/>
      <w:iCs/>
    </w:rPr>
  </w:style>
  <w:style w:type="table" w:styleId="TableGrid">
    <w:name w:val="Table Grid"/>
    <w:basedOn w:val="TableNormal"/>
    <w:rsid w:val="00641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5664D"/>
    <w:pPr>
      <w:tabs>
        <w:tab w:val="center" w:pos="4320"/>
        <w:tab w:val="right" w:pos="8640"/>
      </w:tabs>
    </w:pPr>
  </w:style>
  <w:style w:type="character" w:styleId="PageNumber">
    <w:name w:val="page number"/>
    <w:basedOn w:val="DefaultParagraphFont"/>
    <w:rsid w:val="00A5664D"/>
  </w:style>
  <w:style w:type="paragraph" w:styleId="BalloonText">
    <w:name w:val="Balloon Text"/>
    <w:basedOn w:val="Normal"/>
    <w:semiHidden/>
    <w:rsid w:val="00B96623"/>
    <w:rPr>
      <w:rFonts w:ascii="Tahoma" w:hAnsi="Tahoma" w:cs="Tahoma"/>
      <w:sz w:val="16"/>
      <w:szCs w:val="16"/>
    </w:rPr>
  </w:style>
  <w:style w:type="paragraph" w:styleId="ListParagraph">
    <w:name w:val="List Paragraph"/>
    <w:basedOn w:val="Normal"/>
    <w:uiPriority w:val="34"/>
    <w:qFormat/>
    <w:rsid w:val="00CE75E9"/>
    <w:pPr>
      <w:ind w:left="720"/>
    </w:pPr>
  </w:style>
  <w:style w:type="character" w:styleId="CommentReference">
    <w:name w:val="annotation reference"/>
    <w:basedOn w:val="DefaultParagraphFont"/>
    <w:rsid w:val="007B3DD7"/>
    <w:rPr>
      <w:sz w:val="16"/>
      <w:szCs w:val="16"/>
    </w:rPr>
  </w:style>
  <w:style w:type="paragraph" w:styleId="CommentText">
    <w:name w:val="annotation text"/>
    <w:basedOn w:val="Normal"/>
    <w:link w:val="CommentTextChar"/>
    <w:rsid w:val="007B3DD7"/>
    <w:rPr>
      <w:sz w:val="20"/>
      <w:szCs w:val="20"/>
    </w:rPr>
  </w:style>
  <w:style w:type="character" w:customStyle="1" w:styleId="CommentTextChar">
    <w:name w:val="Comment Text Char"/>
    <w:basedOn w:val="DefaultParagraphFont"/>
    <w:link w:val="CommentText"/>
    <w:rsid w:val="007B3DD7"/>
    <w:rPr>
      <w:lang w:eastAsia="en-US"/>
    </w:rPr>
  </w:style>
  <w:style w:type="paragraph" w:styleId="CommentSubject">
    <w:name w:val="annotation subject"/>
    <w:basedOn w:val="CommentText"/>
    <w:next w:val="CommentText"/>
    <w:link w:val="CommentSubjectChar"/>
    <w:rsid w:val="007B3DD7"/>
    <w:rPr>
      <w:b/>
      <w:bCs/>
    </w:rPr>
  </w:style>
  <w:style w:type="character" w:customStyle="1" w:styleId="CommentSubjectChar">
    <w:name w:val="Comment Subject Char"/>
    <w:basedOn w:val="CommentTextChar"/>
    <w:link w:val="CommentSubject"/>
    <w:rsid w:val="007B3DD7"/>
    <w:rPr>
      <w:b/>
      <w:bCs/>
      <w:lang w:eastAsia="en-US"/>
    </w:rPr>
  </w:style>
  <w:style w:type="paragraph" w:styleId="Header">
    <w:name w:val="header"/>
    <w:basedOn w:val="Normal"/>
    <w:link w:val="HeaderChar"/>
    <w:uiPriority w:val="99"/>
    <w:rsid w:val="005F187A"/>
    <w:pPr>
      <w:tabs>
        <w:tab w:val="center" w:pos="4513"/>
        <w:tab w:val="right" w:pos="9026"/>
      </w:tabs>
    </w:pPr>
  </w:style>
  <w:style w:type="character" w:customStyle="1" w:styleId="HeaderChar">
    <w:name w:val="Header Char"/>
    <w:basedOn w:val="DefaultParagraphFont"/>
    <w:link w:val="Header"/>
    <w:uiPriority w:val="99"/>
    <w:rsid w:val="005F187A"/>
    <w:rPr>
      <w:sz w:val="24"/>
      <w:szCs w:val="24"/>
      <w:lang w:eastAsia="en-US"/>
    </w:rPr>
  </w:style>
  <w:style w:type="character" w:customStyle="1" w:styleId="FooterChar">
    <w:name w:val="Footer Char"/>
    <w:basedOn w:val="DefaultParagraphFont"/>
    <w:link w:val="Footer"/>
    <w:uiPriority w:val="99"/>
    <w:rsid w:val="005F187A"/>
    <w:rPr>
      <w:sz w:val="24"/>
      <w:szCs w:val="24"/>
      <w:lang w:eastAsia="en-US"/>
    </w:rPr>
  </w:style>
  <w:style w:type="character" w:styleId="Hyperlink">
    <w:name w:val="Hyperlink"/>
    <w:basedOn w:val="DefaultParagraphFont"/>
    <w:uiPriority w:val="99"/>
    <w:semiHidden/>
    <w:unhideWhenUsed/>
    <w:rsid w:val="00B90C59"/>
    <w:rPr>
      <w:color w:val="0000FF" w:themeColor="hyperlink"/>
      <w:u w:val="single"/>
    </w:rPr>
  </w:style>
  <w:style w:type="paragraph" w:styleId="NormalWeb">
    <w:name w:val="Normal (Web)"/>
    <w:basedOn w:val="Normal"/>
    <w:uiPriority w:val="99"/>
    <w:unhideWhenUsed/>
    <w:rsid w:val="007579FE"/>
    <w:pPr>
      <w:spacing w:before="100" w:beforeAutospacing="1" w:after="100" w:afterAutospacing="1"/>
    </w:pPr>
    <w:rPr>
      <w:lang w:eastAsia="en-GB"/>
    </w:rPr>
  </w:style>
  <w:style w:type="paragraph" w:customStyle="1" w:styleId="Default">
    <w:name w:val="Default"/>
    <w:rsid w:val="00C731F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774">
      <w:bodyDiv w:val="1"/>
      <w:marLeft w:val="0"/>
      <w:marRight w:val="0"/>
      <w:marTop w:val="0"/>
      <w:marBottom w:val="0"/>
      <w:divBdr>
        <w:top w:val="none" w:sz="0" w:space="0" w:color="auto"/>
        <w:left w:val="none" w:sz="0" w:space="0" w:color="auto"/>
        <w:bottom w:val="none" w:sz="0" w:space="0" w:color="auto"/>
        <w:right w:val="none" w:sz="0" w:space="0" w:color="auto"/>
      </w:divBdr>
    </w:div>
    <w:div w:id="36470430">
      <w:bodyDiv w:val="1"/>
      <w:marLeft w:val="0"/>
      <w:marRight w:val="0"/>
      <w:marTop w:val="0"/>
      <w:marBottom w:val="0"/>
      <w:divBdr>
        <w:top w:val="none" w:sz="0" w:space="0" w:color="auto"/>
        <w:left w:val="none" w:sz="0" w:space="0" w:color="auto"/>
        <w:bottom w:val="none" w:sz="0" w:space="0" w:color="auto"/>
        <w:right w:val="none" w:sz="0" w:space="0" w:color="auto"/>
      </w:divBdr>
    </w:div>
    <w:div w:id="76750818">
      <w:bodyDiv w:val="1"/>
      <w:marLeft w:val="0"/>
      <w:marRight w:val="0"/>
      <w:marTop w:val="0"/>
      <w:marBottom w:val="0"/>
      <w:divBdr>
        <w:top w:val="none" w:sz="0" w:space="0" w:color="auto"/>
        <w:left w:val="none" w:sz="0" w:space="0" w:color="auto"/>
        <w:bottom w:val="none" w:sz="0" w:space="0" w:color="auto"/>
        <w:right w:val="none" w:sz="0" w:space="0" w:color="auto"/>
      </w:divBdr>
    </w:div>
    <w:div w:id="103235128">
      <w:bodyDiv w:val="1"/>
      <w:marLeft w:val="0"/>
      <w:marRight w:val="0"/>
      <w:marTop w:val="0"/>
      <w:marBottom w:val="0"/>
      <w:divBdr>
        <w:top w:val="none" w:sz="0" w:space="0" w:color="auto"/>
        <w:left w:val="none" w:sz="0" w:space="0" w:color="auto"/>
        <w:bottom w:val="none" w:sz="0" w:space="0" w:color="auto"/>
        <w:right w:val="none" w:sz="0" w:space="0" w:color="auto"/>
      </w:divBdr>
    </w:div>
    <w:div w:id="196545426">
      <w:bodyDiv w:val="1"/>
      <w:marLeft w:val="0"/>
      <w:marRight w:val="0"/>
      <w:marTop w:val="0"/>
      <w:marBottom w:val="0"/>
      <w:divBdr>
        <w:top w:val="none" w:sz="0" w:space="0" w:color="auto"/>
        <w:left w:val="none" w:sz="0" w:space="0" w:color="auto"/>
        <w:bottom w:val="none" w:sz="0" w:space="0" w:color="auto"/>
        <w:right w:val="none" w:sz="0" w:space="0" w:color="auto"/>
      </w:divBdr>
    </w:div>
    <w:div w:id="229733724">
      <w:bodyDiv w:val="1"/>
      <w:marLeft w:val="0"/>
      <w:marRight w:val="0"/>
      <w:marTop w:val="0"/>
      <w:marBottom w:val="0"/>
      <w:divBdr>
        <w:top w:val="none" w:sz="0" w:space="0" w:color="auto"/>
        <w:left w:val="none" w:sz="0" w:space="0" w:color="auto"/>
        <w:bottom w:val="none" w:sz="0" w:space="0" w:color="auto"/>
        <w:right w:val="none" w:sz="0" w:space="0" w:color="auto"/>
      </w:divBdr>
    </w:div>
    <w:div w:id="237329336">
      <w:bodyDiv w:val="1"/>
      <w:marLeft w:val="0"/>
      <w:marRight w:val="0"/>
      <w:marTop w:val="0"/>
      <w:marBottom w:val="0"/>
      <w:divBdr>
        <w:top w:val="none" w:sz="0" w:space="0" w:color="auto"/>
        <w:left w:val="none" w:sz="0" w:space="0" w:color="auto"/>
        <w:bottom w:val="none" w:sz="0" w:space="0" w:color="auto"/>
        <w:right w:val="none" w:sz="0" w:space="0" w:color="auto"/>
      </w:divBdr>
    </w:div>
    <w:div w:id="251354251">
      <w:bodyDiv w:val="1"/>
      <w:marLeft w:val="0"/>
      <w:marRight w:val="0"/>
      <w:marTop w:val="0"/>
      <w:marBottom w:val="0"/>
      <w:divBdr>
        <w:top w:val="none" w:sz="0" w:space="0" w:color="auto"/>
        <w:left w:val="none" w:sz="0" w:space="0" w:color="auto"/>
        <w:bottom w:val="none" w:sz="0" w:space="0" w:color="auto"/>
        <w:right w:val="none" w:sz="0" w:space="0" w:color="auto"/>
      </w:divBdr>
    </w:div>
    <w:div w:id="269313702">
      <w:bodyDiv w:val="1"/>
      <w:marLeft w:val="0"/>
      <w:marRight w:val="0"/>
      <w:marTop w:val="0"/>
      <w:marBottom w:val="0"/>
      <w:divBdr>
        <w:top w:val="none" w:sz="0" w:space="0" w:color="auto"/>
        <w:left w:val="none" w:sz="0" w:space="0" w:color="auto"/>
        <w:bottom w:val="none" w:sz="0" w:space="0" w:color="auto"/>
        <w:right w:val="none" w:sz="0" w:space="0" w:color="auto"/>
      </w:divBdr>
    </w:div>
    <w:div w:id="459497484">
      <w:bodyDiv w:val="1"/>
      <w:marLeft w:val="0"/>
      <w:marRight w:val="0"/>
      <w:marTop w:val="0"/>
      <w:marBottom w:val="0"/>
      <w:divBdr>
        <w:top w:val="none" w:sz="0" w:space="0" w:color="auto"/>
        <w:left w:val="none" w:sz="0" w:space="0" w:color="auto"/>
        <w:bottom w:val="none" w:sz="0" w:space="0" w:color="auto"/>
        <w:right w:val="none" w:sz="0" w:space="0" w:color="auto"/>
      </w:divBdr>
    </w:div>
    <w:div w:id="474834963">
      <w:bodyDiv w:val="1"/>
      <w:marLeft w:val="0"/>
      <w:marRight w:val="0"/>
      <w:marTop w:val="0"/>
      <w:marBottom w:val="0"/>
      <w:divBdr>
        <w:top w:val="none" w:sz="0" w:space="0" w:color="auto"/>
        <w:left w:val="none" w:sz="0" w:space="0" w:color="auto"/>
        <w:bottom w:val="none" w:sz="0" w:space="0" w:color="auto"/>
        <w:right w:val="none" w:sz="0" w:space="0" w:color="auto"/>
      </w:divBdr>
    </w:div>
    <w:div w:id="482353868">
      <w:bodyDiv w:val="1"/>
      <w:marLeft w:val="0"/>
      <w:marRight w:val="0"/>
      <w:marTop w:val="0"/>
      <w:marBottom w:val="0"/>
      <w:divBdr>
        <w:top w:val="none" w:sz="0" w:space="0" w:color="auto"/>
        <w:left w:val="none" w:sz="0" w:space="0" w:color="auto"/>
        <w:bottom w:val="none" w:sz="0" w:space="0" w:color="auto"/>
        <w:right w:val="none" w:sz="0" w:space="0" w:color="auto"/>
      </w:divBdr>
    </w:div>
    <w:div w:id="515316091">
      <w:bodyDiv w:val="1"/>
      <w:marLeft w:val="0"/>
      <w:marRight w:val="0"/>
      <w:marTop w:val="0"/>
      <w:marBottom w:val="0"/>
      <w:divBdr>
        <w:top w:val="none" w:sz="0" w:space="0" w:color="auto"/>
        <w:left w:val="none" w:sz="0" w:space="0" w:color="auto"/>
        <w:bottom w:val="none" w:sz="0" w:space="0" w:color="auto"/>
        <w:right w:val="none" w:sz="0" w:space="0" w:color="auto"/>
      </w:divBdr>
    </w:div>
    <w:div w:id="580875798">
      <w:bodyDiv w:val="1"/>
      <w:marLeft w:val="0"/>
      <w:marRight w:val="0"/>
      <w:marTop w:val="0"/>
      <w:marBottom w:val="0"/>
      <w:divBdr>
        <w:top w:val="none" w:sz="0" w:space="0" w:color="auto"/>
        <w:left w:val="none" w:sz="0" w:space="0" w:color="auto"/>
        <w:bottom w:val="none" w:sz="0" w:space="0" w:color="auto"/>
        <w:right w:val="none" w:sz="0" w:space="0" w:color="auto"/>
      </w:divBdr>
    </w:div>
    <w:div w:id="585387935">
      <w:bodyDiv w:val="1"/>
      <w:marLeft w:val="0"/>
      <w:marRight w:val="0"/>
      <w:marTop w:val="0"/>
      <w:marBottom w:val="0"/>
      <w:divBdr>
        <w:top w:val="none" w:sz="0" w:space="0" w:color="auto"/>
        <w:left w:val="none" w:sz="0" w:space="0" w:color="auto"/>
        <w:bottom w:val="none" w:sz="0" w:space="0" w:color="auto"/>
        <w:right w:val="none" w:sz="0" w:space="0" w:color="auto"/>
      </w:divBdr>
    </w:div>
    <w:div w:id="698357394">
      <w:bodyDiv w:val="1"/>
      <w:marLeft w:val="0"/>
      <w:marRight w:val="0"/>
      <w:marTop w:val="0"/>
      <w:marBottom w:val="0"/>
      <w:divBdr>
        <w:top w:val="none" w:sz="0" w:space="0" w:color="auto"/>
        <w:left w:val="none" w:sz="0" w:space="0" w:color="auto"/>
        <w:bottom w:val="none" w:sz="0" w:space="0" w:color="auto"/>
        <w:right w:val="none" w:sz="0" w:space="0" w:color="auto"/>
      </w:divBdr>
    </w:div>
    <w:div w:id="713698345">
      <w:bodyDiv w:val="1"/>
      <w:marLeft w:val="0"/>
      <w:marRight w:val="0"/>
      <w:marTop w:val="0"/>
      <w:marBottom w:val="0"/>
      <w:divBdr>
        <w:top w:val="none" w:sz="0" w:space="0" w:color="auto"/>
        <w:left w:val="none" w:sz="0" w:space="0" w:color="auto"/>
        <w:bottom w:val="none" w:sz="0" w:space="0" w:color="auto"/>
        <w:right w:val="none" w:sz="0" w:space="0" w:color="auto"/>
      </w:divBdr>
    </w:div>
    <w:div w:id="779759463">
      <w:bodyDiv w:val="1"/>
      <w:marLeft w:val="0"/>
      <w:marRight w:val="0"/>
      <w:marTop w:val="0"/>
      <w:marBottom w:val="0"/>
      <w:divBdr>
        <w:top w:val="none" w:sz="0" w:space="0" w:color="auto"/>
        <w:left w:val="none" w:sz="0" w:space="0" w:color="auto"/>
        <w:bottom w:val="none" w:sz="0" w:space="0" w:color="auto"/>
        <w:right w:val="none" w:sz="0" w:space="0" w:color="auto"/>
      </w:divBdr>
    </w:div>
    <w:div w:id="842160026">
      <w:bodyDiv w:val="1"/>
      <w:marLeft w:val="0"/>
      <w:marRight w:val="0"/>
      <w:marTop w:val="0"/>
      <w:marBottom w:val="0"/>
      <w:divBdr>
        <w:top w:val="none" w:sz="0" w:space="0" w:color="auto"/>
        <w:left w:val="none" w:sz="0" w:space="0" w:color="auto"/>
        <w:bottom w:val="none" w:sz="0" w:space="0" w:color="auto"/>
        <w:right w:val="none" w:sz="0" w:space="0" w:color="auto"/>
      </w:divBdr>
    </w:div>
    <w:div w:id="944458279">
      <w:bodyDiv w:val="1"/>
      <w:marLeft w:val="0"/>
      <w:marRight w:val="0"/>
      <w:marTop w:val="0"/>
      <w:marBottom w:val="0"/>
      <w:divBdr>
        <w:top w:val="none" w:sz="0" w:space="0" w:color="auto"/>
        <w:left w:val="none" w:sz="0" w:space="0" w:color="auto"/>
        <w:bottom w:val="none" w:sz="0" w:space="0" w:color="auto"/>
        <w:right w:val="none" w:sz="0" w:space="0" w:color="auto"/>
      </w:divBdr>
    </w:div>
    <w:div w:id="1013535562">
      <w:bodyDiv w:val="1"/>
      <w:marLeft w:val="0"/>
      <w:marRight w:val="0"/>
      <w:marTop w:val="0"/>
      <w:marBottom w:val="0"/>
      <w:divBdr>
        <w:top w:val="none" w:sz="0" w:space="0" w:color="auto"/>
        <w:left w:val="none" w:sz="0" w:space="0" w:color="auto"/>
        <w:bottom w:val="none" w:sz="0" w:space="0" w:color="auto"/>
        <w:right w:val="none" w:sz="0" w:space="0" w:color="auto"/>
      </w:divBdr>
    </w:div>
    <w:div w:id="1141849993">
      <w:bodyDiv w:val="1"/>
      <w:marLeft w:val="0"/>
      <w:marRight w:val="0"/>
      <w:marTop w:val="0"/>
      <w:marBottom w:val="0"/>
      <w:divBdr>
        <w:top w:val="none" w:sz="0" w:space="0" w:color="auto"/>
        <w:left w:val="none" w:sz="0" w:space="0" w:color="auto"/>
        <w:bottom w:val="none" w:sz="0" w:space="0" w:color="auto"/>
        <w:right w:val="none" w:sz="0" w:space="0" w:color="auto"/>
      </w:divBdr>
    </w:div>
    <w:div w:id="1171330618">
      <w:bodyDiv w:val="1"/>
      <w:marLeft w:val="0"/>
      <w:marRight w:val="0"/>
      <w:marTop w:val="0"/>
      <w:marBottom w:val="0"/>
      <w:divBdr>
        <w:top w:val="none" w:sz="0" w:space="0" w:color="auto"/>
        <w:left w:val="none" w:sz="0" w:space="0" w:color="auto"/>
        <w:bottom w:val="none" w:sz="0" w:space="0" w:color="auto"/>
        <w:right w:val="none" w:sz="0" w:space="0" w:color="auto"/>
      </w:divBdr>
    </w:div>
    <w:div w:id="1179155508">
      <w:bodyDiv w:val="1"/>
      <w:marLeft w:val="0"/>
      <w:marRight w:val="0"/>
      <w:marTop w:val="0"/>
      <w:marBottom w:val="0"/>
      <w:divBdr>
        <w:top w:val="none" w:sz="0" w:space="0" w:color="auto"/>
        <w:left w:val="none" w:sz="0" w:space="0" w:color="auto"/>
        <w:bottom w:val="none" w:sz="0" w:space="0" w:color="auto"/>
        <w:right w:val="none" w:sz="0" w:space="0" w:color="auto"/>
      </w:divBdr>
    </w:div>
    <w:div w:id="1304584895">
      <w:bodyDiv w:val="1"/>
      <w:marLeft w:val="0"/>
      <w:marRight w:val="0"/>
      <w:marTop w:val="0"/>
      <w:marBottom w:val="0"/>
      <w:divBdr>
        <w:top w:val="none" w:sz="0" w:space="0" w:color="auto"/>
        <w:left w:val="none" w:sz="0" w:space="0" w:color="auto"/>
        <w:bottom w:val="none" w:sz="0" w:space="0" w:color="auto"/>
        <w:right w:val="none" w:sz="0" w:space="0" w:color="auto"/>
      </w:divBdr>
    </w:div>
    <w:div w:id="1381050175">
      <w:bodyDiv w:val="1"/>
      <w:marLeft w:val="0"/>
      <w:marRight w:val="0"/>
      <w:marTop w:val="0"/>
      <w:marBottom w:val="0"/>
      <w:divBdr>
        <w:top w:val="none" w:sz="0" w:space="0" w:color="auto"/>
        <w:left w:val="none" w:sz="0" w:space="0" w:color="auto"/>
        <w:bottom w:val="none" w:sz="0" w:space="0" w:color="auto"/>
        <w:right w:val="none" w:sz="0" w:space="0" w:color="auto"/>
      </w:divBdr>
      <w:divsChild>
        <w:div w:id="95561206">
          <w:marLeft w:val="0"/>
          <w:marRight w:val="0"/>
          <w:marTop w:val="0"/>
          <w:marBottom w:val="0"/>
          <w:divBdr>
            <w:top w:val="none" w:sz="0" w:space="0" w:color="auto"/>
            <w:left w:val="none" w:sz="0" w:space="0" w:color="auto"/>
            <w:bottom w:val="none" w:sz="0" w:space="0" w:color="auto"/>
            <w:right w:val="none" w:sz="0" w:space="0" w:color="auto"/>
          </w:divBdr>
          <w:divsChild>
            <w:div w:id="97526877">
              <w:marLeft w:val="0"/>
              <w:marRight w:val="0"/>
              <w:marTop w:val="0"/>
              <w:marBottom w:val="0"/>
              <w:divBdr>
                <w:top w:val="none" w:sz="0" w:space="0" w:color="auto"/>
                <w:left w:val="none" w:sz="0" w:space="0" w:color="auto"/>
                <w:bottom w:val="none" w:sz="0" w:space="0" w:color="auto"/>
                <w:right w:val="none" w:sz="0" w:space="0" w:color="auto"/>
              </w:divBdr>
              <w:divsChild>
                <w:div w:id="1272739792">
                  <w:marLeft w:val="0"/>
                  <w:marRight w:val="0"/>
                  <w:marTop w:val="0"/>
                  <w:marBottom w:val="0"/>
                  <w:divBdr>
                    <w:top w:val="none" w:sz="0" w:space="0" w:color="auto"/>
                    <w:left w:val="none" w:sz="0" w:space="0" w:color="auto"/>
                    <w:bottom w:val="none" w:sz="0" w:space="0" w:color="auto"/>
                    <w:right w:val="none" w:sz="0" w:space="0" w:color="auto"/>
                  </w:divBdr>
                  <w:divsChild>
                    <w:div w:id="330064181">
                      <w:marLeft w:val="0"/>
                      <w:marRight w:val="0"/>
                      <w:marTop w:val="0"/>
                      <w:marBottom w:val="0"/>
                      <w:divBdr>
                        <w:top w:val="none" w:sz="0" w:space="0" w:color="auto"/>
                        <w:left w:val="none" w:sz="0" w:space="0" w:color="auto"/>
                        <w:bottom w:val="none" w:sz="0" w:space="0" w:color="auto"/>
                        <w:right w:val="none" w:sz="0" w:space="0" w:color="auto"/>
                      </w:divBdr>
                      <w:divsChild>
                        <w:div w:id="1686128198">
                          <w:marLeft w:val="0"/>
                          <w:marRight w:val="0"/>
                          <w:marTop w:val="0"/>
                          <w:marBottom w:val="0"/>
                          <w:divBdr>
                            <w:top w:val="none" w:sz="0" w:space="0" w:color="auto"/>
                            <w:left w:val="none" w:sz="0" w:space="0" w:color="auto"/>
                            <w:bottom w:val="none" w:sz="0" w:space="0" w:color="auto"/>
                            <w:right w:val="none" w:sz="0" w:space="0" w:color="auto"/>
                          </w:divBdr>
                          <w:divsChild>
                            <w:div w:id="20082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066980">
      <w:bodyDiv w:val="1"/>
      <w:marLeft w:val="0"/>
      <w:marRight w:val="0"/>
      <w:marTop w:val="0"/>
      <w:marBottom w:val="0"/>
      <w:divBdr>
        <w:top w:val="none" w:sz="0" w:space="0" w:color="auto"/>
        <w:left w:val="none" w:sz="0" w:space="0" w:color="auto"/>
        <w:bottom w:val="none" w:sz="0" w:space="0" w:color="auto"/>
        <w:right w:val="none" w:sz="0" w:space="0" w:color="auto"/>
      </w:divBdr>
    </w:div>
    <w:div w:id="1530752291">
      <w:bodyDiv w:val="1"/>
      <w:marLeft w:val="0"/>
      <w:marRight w:val="0"/>
      <w:marTop w:val="0"/>
      <w:marBottom w:val="0"/>
      <w:divBdr>
        <w:top w:val="none" w:sz="0" w:space="0" w:color="auto"/>
        <w:left w:val="none" w:sz="0" w:space="0" w:color="auto"/>
        <w:bottom w:val="none" w:sz="0" w:space="0" w:color="auto"/>
        <w:right w:val="none" w:sz="0" w:space="0" w:color="auto"/>
      </w:divBdr>
    </w:div>
    <w:div w:id="1546912996">
      <w:bodyDiv w:val="1"/>
      <w:marLeft w:val="0"/>
      <w:marRight w:val="0"/>
      <w:marTop w:val="0"/>
      <w:marBottom w:val="0"/>
      <w:divBdr>
        <w:top w:val="none" w:sz="0" w:space="0" w:color="auto"/>
        <w:left w:val="none" w:sz="0" w:space="0" w:color="auto"/>
        <w:bottom w:val="none" w:sz="0" w:space="0" w:color="auto"/>
        <w:right w:val="none" w:sz="0" w:space="0" w:color="auto"/>
      </w:divBdr>
    </w:div>
    <w:div w:id="1665740127">
      <w:bodyDiv w:val="1"/>
      <w:marLeft w:val="0"/>
      <w:marRight w:val="0"/>
      <w:marTop w:val="0"/>
      <w:marBottom w:val="0"/>
      <w:divBdr>
        <w:top w:val="none" w:sz="0" w:space="0" w:color="auto"/>
        <w:left w:val="none" w:sz="0" w:space="0" w:color="auto"/>
        <w:bottom w:val="none" w:sz="0" w:space="0" w:color="auto"/>
        <w:right w:val="none" w:sz="0" w:space="0" w:color="auto"/>
      </w:divBdr>
    </w:div>
    <w:div w:id="1717508124">
      <w:bodyDiv w:val="1"/>
      <w:marLeft w:val="0"/>
      <w:marRight w:val="0"/>
      <w:marTop w:val="0"/>
      <w:marBottom w:val="0"/>
      <w:divBdr>
        <w:top w:val="none" w:sz="0" w:space="0" w:color="auto"/>
        <w:left w:val="none" w:sz="0" w:space="0" w:color="auto"/>
        <w:bottom w:val="none" w:sz="0" w:space="0" w:color="auto"/>
        <w:right w:val="none" w:sz="0" w:space="0" w:color="auto"/>
      </w:divBdr>
    </w:div>
    <w:div w:id="1761833818">
      <w:bodyDiv w:val="1"/>
      <w:marLeft w:val="0"/>
      <w:marRight w:val="0"/>
      <w:marTop w:val="0"/>
      <w:marBottom w:val="0"/>
      <w:divBdr>
        <w:top w:val="none" w:sz="0" w:space="0" w:color="auto"/>
        <w:left w:val="none" w:sz="0" w:space="0" w:color="auto"/>
        <w:bottom w:val="none" w:sz="0" w:space="0" w:color="auto"/>
        <w:right w:val="none" w:sz="0" w:space="0" w:color="auto"/>
      </w:divBdr>
    </w:div>
    <w:div w:id="1765805557">
      <w:bodyDiv w:val="1"/>
      <w:marLeft w:val="0"/>
      <w:marRight w:val="0"/>
      <w:marTop w:val="0"/>
      <w:marBottom w:val="0"/>
      <w:divBdr>
        <w:top w:val="none" w:sz="0" w:space="0" w:color="auto"/>
        <w:left w:val="none" w:sz="0" w:space="0" w:color="auto"/>
        <w:bottom w:val="none" w:sz="0" w:space="0" w:color="auto"/>
        <w:right w:val="none" w:sz="0" w:space="0" w:color="auto"/>
      </w:divBdr>
    </w:div>
    <w:div w:id="1797796117">
      <w:bodyDiv w:val="1"/>
      <w:marLeft w:val="0"/>
      <w:marRight w:val="0"/>
      <w:marTop w:val="0"/>
      <w:marBottom w:val="0"/>
      <w:divBdr>
        <w:top w:val="none" w:sz="0" w:space="0" w:color="auto"/>
        <w:left w:val="none" w:sz="0" w:space="0" w:color="auto"/>
        <w:bottom w:val="none" w:sz="0" w:space="0" w:color="auto"/>
        <w:right w:val="none" w:sz="0" w:space="0" w:color="auto"/>
      </w:divBdr>
    </w:div>
    <w:div w:id="1901943191">
      <w:bodyDiv w:val="1"/>
      <w:marLeft w:val="0"/>
      <w:marRight w:val="0"/>
      <w:marTop w:val="0"/>
      <w:marBottom w:val="0"/>
      <w:divBdr>
        <w:top w:val="none" w:sz="0" w:space="0" w:color="auto"/>
        <w:left w:val="none" w:sz="0" w:space="0" w:color="auto"/>
        <w:bottom w:val="none" w:sz="0" w:space="0" w:color="auto"/>
        <w:right w:val="none" w:sz="0" w:space="0" w:color="auto"/>
      </w:divBdr>
    </w:div>
    <w:div w:id="1998070767">
      <w:bodyDiv w:val="1"/>
      <w:marLeft w:val="0"/>
      <w:marRight w:val="0"/>
      <w:marTop w:val="0"/>
      <w:marBottom w:val="0"/>
      <w:divBdr>
        <w:top w:val="none" w:sz="0" w:space="0" w:color="auto"/>
        <w:left w:val="none" w:sz="0" w:space="0" w:color="auto"/>
        <w:bottom w:val="none" w:sz="0" w:space="0" w:color="auto"/>
        <w:right w:val="none" w:sz="0" w:space="0" w:color="auto"/>
      </w:divBdr>
    </w:div>
    <w:div w:id="2008627214">
      <w:bodyDiv w:val="1"/>
      <w:marLeft w:val="0"/>
      <w:marRight w:val="0"/>
      <w:marTop w:val="0"/>
      <w:marBottom w:val="0"/>
      <w:divBdr>
        <w:top w:val="none" w:sz="0" w:space="0" w:color="auto"/>
        <w:left w:val="none" w:sz="0" w:space="0" w:color="auto"/>
        <w:bottom w:val="none" w:sz="0" w:space="0" w:color="auto"/>
        <w:right w:val="none" w:sz="0" w:space="0" w:color="auto"/>
      </w:divBdr>
    </w:div>
    <w:div w:id="2035305884">
      <w:bodyDiv w:val="1"/>
      <w:marLeft w:val="0"/>
      <w:marRight w:val="0"/>
      <w:marTop w:val="0"/>
      <w:marBottom w:val="0"/>
      <w:divBdr>
        <w:top w:val="none" w:sz="0" w:space="0" w:color="auto"/>
        <w:left w:val="none" w:sz="0" w:space="0" w:color="auto"/>
        <w:bottom w:val="none" w:sz="0" w:space="0" w:color="auto"/>
        <w:right w:val="none" w:sz="0" w:space="0" w:color="auto"/>
      </w:divBdr>
    </w:div>
    <w:div w:id="2057314136">
      <w:bodyDiv w:val="1"/>
      <w:marLeft w:val="0"/>
      <w:marRight w:val="0"/>
      <w:marTop w:val="0"/>
      <w:marBottom w:val="0"/>
      <w:divBdr>
        <w:top w:val="none" w:sz="0" w:space="0" w:color="auto"/>
        <w:left w:val="none" w:sz="0" w:space="0" w:color="auto"/>
        <w:bottom w:val="none" w:sz="0" w:space="0" w:color="auto"/>
        <w:right w:val="none" w:sz="0" w:space="0" w:color="auto"/>
      </w:divBdr>
    </w:div>
    <w:div w:id="2061897680">
      <w:bodyDiv w:val="1"/>
      <w:marLeft w:val="0"/>
      <w:marRight w:val="0"/>
      <w:marTop w:val="0"/>
      <w:marBottom w:val="0"/>
      <w:divBdr>
        <w:top w:val="none" w:sz="0" w:space="0" w:color="auto"/>
        <w:left w:val="none" w:sz="0" w:space="0" w:color="auto"/>
        <w:bottom w:val="none" w:sz="0" w:space="0" w:color="auto"/>
        <w:right w:val="none" w:sz="0" w:space="0" w:color="auto"/>
      </w:divBdr>
    </w:div>
    <w:div w:id="2086759695">
      <w:bodyDiv w:val="1"/>
      <w:marLeft w:val="0"/>
      <w:marRight w:val="0"/>
      <w:marTop w:val="0"/>
      <w:marBottom w:val="0"/>
      <w:divBdr>
        <w:top w:val="none" w:sz="0" w:space="0" w:color="auto"/>
        <w:left w:val="none" w:sz="0" w:space="0" w:color="auto"/>
        <w:bottom w:val="none" w:sz="0" w:space="0" w:color="auto"/>
        <w:right w:val="none" w:sz="0" w:space="0" w:color="auto"/>
      </w:divBdr>
    </w:div>
    <w:div w:id="2097942127">
      <w:bodyDiv w:val="1"/>
      <w:marLeft w:val="0"/>
      <w:marRight w:val="0"/>
      <w:marTop w:val="0"/>
      <w:marBottom w:val="0"/>
      <w:divBdr>
        <w:top w:val="none" w:sz="0" w:space="0" w:color="auto"/>
        <w:left w:val="none" w:sz="0" w:space="0" w:color="auto"/>
        <w:bottom w:val="none" w:sz="0" w:space="0" w:color="auto"/>
        <w:right w:val="none" w:sz="0" w:space="0" w:color="auto"/>
      </w:divBdr>
    </w:div>
    <w:div w:id="2128043546">
      <w:bodyDiv w:val="1"/>
      <w:marLeft w:val="0"/>
      <w:marRight w:val="0"/>
      <w:marTop w:val="0"/>
      <w:marBottom w:val="0"/>
      <w:divBdr>
        <w:top w:val="none" w:sz="0" w:space="0" w:color="auto"/>
        <w:left w:val="none" w:sz="0" w:space="0" w:color="auto"/>
        <w:bottom w:val="none" w:sz="0" w:space="0" w:color="auto"/>
        <w:right w:val="none" w:sz="0" w:space="0" w:color="auto"/>
      </w:divBdr>
    </w:div>
    <w:div w:id="213374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FA6AD-AD8F-428D-AB67-E7D602FE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7748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Report to Hartlepool Schools Forum 28th February 2007</vt:lpstr>
    </vt:vector>
  </TitlesOfParts>
  <Company>Hartlepool BC</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Hartlepool Schools Forum 28th February 2007</dc:title>
  <dc:creator>ECRSAV</dc:creator>
  <cp:lastModifiedBy>Wendy Bruce</cp:lastModifiedBy>
  <cp:revision>2</cp:revision>
  <cp:lastPrinted>2020-07-13T16:11:00Z</cp:lastPrinted>
  <dcterms:created xsi:type="dcterms:W3CDTF">2020-09-22T08:47:00Z</dcterms:created>
  <dcterms:modified xsi:type="dcterms:W3CDTF">2020-09-22T08:47:00Z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750304477</vt:i4>
  </property>
  <property fmtid="{D5CDD505-2E9C-101B-9397-08002B2CF9AE}" pid="3" name="_NewReviewCycle">
    <vt:lpwstr/>
  </property>
  <property fmtid="{D5CDD505-2E9C-101B-9397-08002B2CF9AE}" pid="4" name="_EmailSubject">
    <vt:lpwstr>Schools Forum to print</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7" name="_PreviousAdHocReviewCycleID">
    <vt:i4>-1879988737</vt:i4>
  </property>
  <property fmtid="{D5CDD505-2E9C-101B-9397-08002B2CF9AE}" pid="8" name="_ReviewingToolsShownOnce">
    <vt:lpwstr/>
  </property>
</Properties>
</file>