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81E8C" w14:textId="77777777" w:rsidR="003871F0" w:rsidRPr="00107F84"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sidRPr="00107F84">
        <w:rPr>
          <w:rFonts w:ascii="Arial" w:hAnsi="Arial" w:cs="Arial"/>
          <w:b/>
          <w:bCs/>
        </w:rPr>
        <w:t xml:space="preserve">Report to Hartlepool Schools’ Forum </w:t>
      </w:r>
      <w:r w:rsidR="00233F9C">
        <w:rPr>
          <w:rFonts w:ascii="Arial" w:hAnsi="Arial" w:cs="Arial"/>
          <w:b/>
          <w:bCs/>
        </w:rPr>
        <w:t>19 Nov</w:t>
      </w:r>
      <w:r w:rsidR="0098703B">
        <w:rPr>
          <w:rFonts w:ascii="Arial" w:hAnsi="Arial" w:cs="Arial"/>
          <w:b/>
          <w:bCs/>
        </w:rPr>
        <w:t>ember</w:t>
      </w:r>
      <w:r w:rsidR="00013AF5">
        <w:rPr>
          <w:rFonts w:ascii="Arial" w:hAnsi="Arial" w:cs="Arial"/>
          <w:b/>
          <w:bCs/>
        </w:rPr>
        <w:t xml:space="preserve"> 2020</w:t>
      </w:r>
    </w:p>
    <w:p w14:paraId="1B289A55" w14:textId="77777777" w:rsidR="003871F0" w:rsidRPr="00BD5981"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From </w:t>
      </w:r>
      <w:r w:rsidR="00013AF5">
        <w:rPr>
          <w:rFonts w:ascii="Arial" w:hAnsi="Arial" w:cs="Arial"/>
          <w:b/>
          <w:bCs/>
        </w:rPr>
        <w:t xml:space="preserve">Danielle Swainston (Assistant </w:t>
      </w:r>
      <w:r>
        <w:rPr>
          <w:rFonts w:ascii="Arial" w:hAnsi="Arial" w:cs="Arial"/>
          <w:b/>
          <w:bCs/>
        </w:rPr>
        <w:t>Director</w:t>
      </w:r>
      <w:r w:rsidR="00013AF5">
        <w:rPr>
          <w:rFonts w:ascii="Arial" w:hAnsi="Arial" w:cs="Arial"/>
          <w:b/>
          <w:bCs/>
        </w:rPr>
        <w:t xml:space="preserve"> – Joint Commissioning)</w:t>
      </w:r>
    </w:p>
    <w:p w14:paraId="7FB56E90" w14:textId="77777777" w:rsidR="001F2A93" w:rsidRDefault="001F2A93"/>
    <w:p w14:paraId="6E5F99A6" w14:textId="4A3EFFF9" w:rsidR="003871F0" w:rsidRDefault="00E471C6" w:rsidP="003871F0">
      <w:pPr>
        <w:jc w:val="center"/>
        <w:rPr>
          <w:rFonts w:ascii="Arial" w:hAnsi="Arial" w:cs="Arial"/>
          <w:b/>
          <w:u w:val="single"/>
        </w:rPr>
      </w:pPr>
      <w:r>
        <w:rPr>
          <w:rFonts w:ascii="Arial" w:hAnsi="Arial" w:cs="Arial"/>
          <w:b/>
          <w:u w:val="single"/>
        </w:rPr>
        <w:t xml:space="preserve">Item </w:t>
      </w:r>
      <w:r w:rsidR="00A722DC">
        <w:rPr>
          <w:rFonts w:ascii="Arial" w:hAnsi="Arial" w:cs="Arial"/>
          <w:b/>
          <w:u w:val="single"/>
        </w:rPr>
        <w:t>4</w:t>
      </w:r>
      <w:bookmarkStart w:id="0" w:name="_GoBack"/>
      <w:bookmarkEnd w:id="0"/>
      <w:r w:rsidR="00266910">
        <w:rPr>
          <w:rFonts w:ascii="Arial" w:hAnsi="Arial" w:cs="Arial"/>
          <w:b/>
          <w:u w:val="single"/>
        </w:rPr>
        <w:t xml:space="preserve"> </w:t>
      </w:r>
      <w:r>
        <w:rPr>
          <w:rFonts w:ascii="Arial" w:hAnsi="Arial" w:cs="Arial"/>
          <w:b/>
          <w:u w:val="single"/>
        </w:rPr>
        <w:t xml:space="preserve">: </w:t>
      </w:r>
      <w:r w:rsidR="003871F0" w:rsidRPr="003871F0">
        <w:rPr>
          <w:rFonts w:ascii="Arial" w:hAnsi="Arial" w:cs="Arial"/>
          <w:b/>
          <w:u w:val="single"/>
        </w:rPr>
        <w:t>High</w:t>
      </w:r>
      <w:r w:rsidR="003871F0">
        <w:rPr>
          <w:rFonts w:ascii="Arial" w:hAnsi="Arial" w:cs="Arial"/>
          <w:b/>
          <w:u w:val="single"/>
        </w:rPr>
        <w:t xml:space="preserve"> </w:t>
      </w:r>
      <w:r w:rsidR="009E43D5">
        <w:rPr>
          <w:rFonts w:ascii="Arial" w:hAnsi="Arial" w:cs="Arial"/>
          <w:b/>
          <w:u w:val="single"/>
        </w:rPr>
        <w:t>Needs</w:t>
      </w:r>
      <w:r w:rsidR="00013AF5">
        <w:rPr>
          <w:rFonts w:ascii="Arial" w:hAnsi="Arial" w:cs="Arial"/>
          <w:b/>
          <w:u w:val="single"/>
        </w:rPr>
        <w:t xml:space="preserve"> </w:t>
      </w:r>
      <w:r w:rsidR="001346EA">
        <w:rPr>
          <w:rFonts w:ascii="Arial" w:hAnsi="Arial" w:cs="Arial"/>
          <w:b/>
          <w:u w:val="single"/>
        </w:rPr>
        <w:t xml:space="preserve">Block </w:t>
      </w:r>
      <w:r w:rsidR="00E120DB">
        <w:rPr>
          <w:rFonts w:ascii="Arial" w:hAnsi="Arial" w:cs="Arial"/>
          <w:b/>
          <w:u w:val="single"/>
        </w:rPr>
        <w:t xml:space="preserve">2020/21 </w:t>
      </w:r>
      <w:r w:rsidR="0098703B">
        <w:rPr>
          <w:rFonts w:ascii="Arial" w:hAnsi="Arial" w:cs="Arial"/>
          <w:b/>
          <w:u w:val="single"/>
        </w:rPr>
        <w:t>Estimated Outturn</w:t>
      </w:r>
    </w:p>
    <w:p w14:paraId="64966193" w14:textId="77777777" w:rsidR="003871F0" w:rsidRDefault="003871F0" w:rsidP="003871F0">
      <w:pPr>
        <w:jc w:val="center"/>
        <w:rPr>
          <w:rFonts w:ascii="Arial" w:hAnsi="Arial" w:cs="Arial"/>
          <w:b/>
          <w:u w:val="single"/>
        </w:rPr>
      </w:pPr>
    </w:p>
    <w:p w14:paraId="058EA2E7" w14:textId="77777777" w:rsidR="003871F0" w:rsidRPr="003871F0" w:rsidRDefault="003871F0" w:rsidP="002F069C">
      <w:pPr>
        <w:pStyle w:val="ListParagraph"/>
        <w:numPr>
          <w:ilvl w:val="0"/>
          <w:numId w:val="1"/>
        </w:numPr>
        <w:ind w:hanging="720"/>
        <w:rPr>
          <w:rFonts w:ascii="Arial" w:hAnsi="Arial" w:cs="Arial"/>
        </w:rPr>
      </w:pPr>
      <w:r>
        <w:rPr>
          <w:rFonts w:ascii="Arial" w:hAnsi="Arial" w:cs="Arial"/>
          <w:b/>
          <w:u w:val="single"/>
        </w:rPr>
        <w:t>Introduction</w:t>
      </w:r>
    </w:p>
    <w:p w14:paraId="4C0C2B18" w14:textId="77777777" w:rsidR="009357D5" w:rsidRDefault="009357D5" w:rsidP="003871F0">
      <w:pPr>
        <w:ind w:left="360"/>
        <w:rPr>
          <w:rFonts w:ascii="Arial" w:hAnsi="Arial" w:cs="Arial"/>
        </w:rPr>
      </w:pPr>
    </w:p>
    <w:p w14:paraId="09DE13E2" w14:textId="77777777" w:rsidR="003871F0" w:rsidRDefault="003871F0" w:rsidP="006732F1">
      <w:pPr>
        <w:pStyle w:val="ListParagraph"/>
        <w:numPr>
          <w:ilvl w:val="1"/>
          <w:numId w:val="1"/>
        </w:numPr>
        <w:ind w:hanging="786"/>
        <w:rPr>
          <w:rFonts w:ascii="Arial" w:hAnsi="Arial" w:cs="Arial"/>
        </w:rPr>
      </w:pPr>
      <w:r w:rsidRPr="00732263">
        <w:rPr>
          <w:rFonts w:ascii="Arial" w:hAnsi="Arial" w:cs="Arial"/>
        </w:rPr>
        <w:t>The purpose of the rep</w:t>
      </w:r>
      <w:r w:rsidR="00B72C8B">
        <w:rPr>
          <w:rFonts w:ascii="Arial" w:hAnsi="Arial" w:cs="Arial"/>
        </w:rPr>
        <w:t xml:space="preserve">ort is to </w:t>
      </w:r>
      <w:r w:rsidR="0098703B">
        <w:rPr>
          <w:rFonts w:ascii="Arial" w:hAnsi="Arial" w:cs="Arial"/>
        </w:rPr>
        <w:t>outline the estimated</w:t>
      </w:r>
      <w:r w:rsidRPr="00732263">
        <w:rPr>
          <w:rFonts w:ascii="Arial" w:hAnsi="Arial" w:cs="Arial"/>
        </w:rPr>
        <w:t xml:space="preserve"> </w:t>
      </w:r>
      <w:r w:rsidR="0098703B">
        <w:rPr>
          <w:rFonts w:ascii="Arial" w:hAnsi="Arial" w:cs="Arial"/>
        </w:rPr>
        <w:t>2020/21</w:t>
      </w:r>
      <w:r w:rsidR="00507549">
        <w:rPr>
          <w:rFonts w:ascii="Arial" w:hAnsi="Arial" w:cs="Arial"/>
        </w:rPr>
        <w:t xml:space="preserve"> outturn </w:t>
      </w:r>
      <w:r w:rsidR="009E43D5">
        <w:rPr>
          <w:rFonts w:ascii="Arial" w:hAnsi="Arial" w:cs="Arial"/>
        </w:rPr>
        <w:t>for high needs services.</w:t>
      </w:r>
      <w:r w:rsidR="0098703B">
        <w:rPr>
          <w:rFonts w:ascii="Arial" w:hAnsi="Arial" w:cs="Arial"/>
        </w:rPr>
        <w:t xml:space="preserve"> </w:t>
      </w:r>
    </w:p>
    <w:p w14:paraId="27AD889D" w14:textId="77777777" w:rsidR="0098703B" w:rsidRDefault="0098703B" w:rsidP="0098703B">
      <w:pPr>
        <w:pStyle w:val="ListParagraph"/>
        <w:ind w:left="786"/>
        <w:rPr>
          <w:rFonts w:ascii="Arial" w:hAnsi="Arial" w:cs="Arial"/>
        </w:rPr>
      </w:pPr>
    </w:p>
    <w:p w14:paraId="475EBBC3" w14:textId="77777777" w:rsidR="0098703B" w:rsidRPr="00732263" w:rsidRDefault="00E33420" w:rsidP="006732F1">
      <w:pPr>
        <w:pStyle w:val="ListParagraph"/>
        <w:numPr>
          <w:ilvl w:val="1"/>
          <w:numId w:val="1"/>
        </w:numPr>
        <w:ind w:hanging="786"/>
        <w:rPr>
          <w:rFonts w:ascii="Arial" w:hAnsi="Arial" w:cs="Arial"/>
        </w:rPr>
      </w:pPr>
      <w:r>
        <w:rPr>
          <w:rFonts w:ascii="Arial" w:hAnsi="Arial" w:cs="Arial"/>
        </w:rPr>
        <w:t>As in previous years</w:t>
      </w:r>
      <w:r w:rsidR="0098703B">
        <w:rPr>
          <w:rFonts w:ascii="Arial" w:hAnsi="Arial" w:cs="Arial"/>
        </w:rPr>
        <w:t>, a range of estimates have been prepared to consider best-case, mid-case and worse-case positions.</w:t>
      </w:r>
    </w:p>
    <w:p w14:paraId="72D9B0E0" w14:textId="77777777" w:rsidR="001012E3" w:rsidRDefault="001012E3" w:rsidP="0026631E">
      <w:pPr>
        <w:pStyle w:val="ListParagraph"/>
        <w:rPr>
          <w:rFonts w:ascii="Arial" w:hAnsi="Arial" w:cs="Arial"/>
          <w:b/>
          <w:u w:val="single"/>
        </w:rPr>
      </w:pPr>
    </w:p>
    <w:p w14:paraId="368B41E2" w14:textId="77777777" w:rsidR="003871F0" w:rsidRPr="0026631E" w:rsidRDefault="003871F0" w:rsidP="0026631E">
      <w:pPr>
        <w:pStyle w:val="ListParagraph"/>
        <w:numPr>
          <w:ilvl w:val="0"/>
          <w:numId w:val="1"/>
        </w:numPr>
        <w:ind w:hanging="720"/>
        <w:rPr>
          <w:rFonts w:ascii="Arial" w:hAnsi="Arial" w:cs="Arial"/>
          <w:b/>
          <w:u w:val="single"/>
        </w:rPr>
      </w:pPr>
      <w:r w:rsidRPr="0026631E">
        <w:rPr>
          <w:rFonts w:ascii="Arial" w:hAnsi="Arial" w:cs="Arial"/>
          <w:b/>
          <w:u w:val="single"/>
        </w:rPr>
        <w:t>Background</w:t>
      </w:r>
    </w:p>
    <w:p w14:paraId="176B547E" w14:textId="77777777" w:rsidR="009357D5" w:rsidRDefault="009357D5" w:rsidP="009357D5">
      <w:pPr>
        <w:pStyle w:val="ListParagraph"/>
        <w:rPr>
          <w:rFonts w:ascii="Arial" w:hAnsi="Arial" w:cs="Arial"/>
          <w:b/>
          <w:u w:val="single"/>
        </w:rPr>
      </w:pPr>
    </w:p>
    <w:p w14:paraId="0B953401" w14:textId="77777777" w:rsidR="00ED4F3E" w:rsidRPr="0018543D" w:rsidRDefault="00013AF5" w:rsidP="0040116D">
      <w:pPr>
        <w:pStyle w:val="ListParagraph"/>
        <w:numPr>
          <w:ilvl w:val="1"/>
          <w:numId w:val="1"/>
        </w:numPr>
        <w:ind w:hanging="720"/>
        <w:rPr>
          <w:rFonts w:ascii="Arial" w:hAnsi="Arial" w:cs="Arial"/>
          <w:color w:val="FF0000"/>
        </w:rPr>
      </w:pPr>
      <w:r>
        <w:rPr>
          <w:rFonts w:ascii="Arial" w:hAnsi="Arial" w:cs="Arial"/>
        </w:rPr>
        <w:t xml:space="preserve">Financial pressures affecting the provision of services for Special Educational Needs and Disabilities (SEND) </w:t>
      </w:r>
      <w:r w:rsidR="00233F9C">
        <w:rPr>
          <w:rFonts w:ascii="Arial" w:hAnsi="Arial" w:cs="Arial"/>
        </w:rPr>
        <w:t>are</w:t>
      </w:r>
      <w:r>
        <w:rPr>
          <w:rFonts w:ascii="Arial" w:hAnsi="Arial" w:cs="Arial"/>
        </w:rPr>
        <w:t xml:space="preserve"> reported to Schools’ Fo</w:t>
      </w:r>
      <w:r w:rsidR="0098703B">
        <w:rPr>
          <w:rFonts w:ascii="Arial" w:hAnsi="Arial" w:cs="Arial"/>
        </w:rPr>
        <w:t>rum at regular intervals each year.</w:t>
      </w:r>
    </w:p>
    <w:p w14:paraId="75F8AFC0" w14:textId="77777777" w:rsidR="0018543D" w:rsidRPr="0018543D" w:rsidRDefault="0018543D" w:rsidP="0018543D">
      <w:pPr>
        <w:pStyle w:val="ListParagraph"/>
        <w:ind w:left="786"/>
        <w:rPr>
          <w:rFonts w:ascii="Arial" w:hAnsi="Arial" w:cs="Arial"/>
          <w:color w:val="FF0000"/>
        </w:rPr>
      </w:pPr>
    </w:p>
    <w:p w14:paraId="607B4B17" w14:textId="77777777" w:rsidR="001346EA" w:rsidRPr="00ED4F3E" w:rsidRDefault="0098703B" w:rsidP="001346EA">
      <w:pPr>
        <w:pStyle w:val="ListParagraph"/>
        <w:numPr>
          <w:ilvl w:val="1"/>
          <w:numId w:val="1"/>
        </w:numPr>
        <w:ind w:hanging="720"/>
        <w:rPr>
          <w:rFonts w:ascii="Arial" w:hAnsi="Arial" w:cs="Arial"/>
          <w:color w:val="FF0000"/>
        </w:rPr>
      </w:pPr>
      <w:r>
        <w:rPr>
          <w:rFonts w:ascii="Arial" w:hAnsi="Arial" w:cs="Arial"/>
        </w:rPr>
        <w:t>To support ongoing financial pressure</w:t>
      </w:r>
      <w:r w:rsidR="00891692">
        <w:rPr>
          <w:rFonts w:ascii="Arial" w:hAnsi="Arial" w:cs="Arial"/>
        </w:rPr>
        <w:t>s</w:t>
      </w:r>
      <w:r>
        <w:rPr>
          <w:rFonts w:ascii="Arial" w:hAnsi="Arial" w:cs="Arial"/>
        </w:rPr>
        <w:t xml:space="preserve"> on SEND services</w:t>
      </w:r>
      <w:r w:rsidR="001346EA">
        <w:rPr>
          <w:rFonts w:ascii="Arial" w:hAnsi="Arial" w:cs="Arial"/>
        </w:rPr>
        <w:t xml:space="preserve">, </w:t>
      </w:r>
      <w:r>
        <w:rPr>
          <w:rFonts w:ascii="Arial" w:hAnsi="Arial" w:cs="Arial"/>
        </w:rPr>
        <w:t>Schools’ Forum agreed to transfer £0.329</w:t>
      </w:r>
      <w:r w:rsidR="001346EA">
        <w:rPr>
          <w:rFonts w:ascii="Arial" w:hAnsi="Arial" w:cs="Arial"/>
        </w:rPr>
        <w:t>m from the Schools Block</w:t>
      </w:r>
      <w:r>
        <w:rPr>
          <w:rFonts w:ascii="Arial" w:hAnsi="Arial" w:cs="Arial"/>
        </w:rPr>
        <w:t xml:space="preserve"> to the High Needs Block in 2020/21</w:t>
      </w:r>
      <w:r w:rsidR="001346EA">
        <w:rPr>
          <w:rFonts w:ascii="Arial" w:hAnsi="Arial" w:cs="Arial"/>
        </w:rPr>
        <w:t xml:space="preserve"> to support the projected funding shortfall.</w:t>
      </w:r>
      <w:r>
        <w:rPr>
          <w:rFonts w:ascii="Arial" w:hAnsi="Arial" w:cs="Arial"/>
        </w:rPr>
        <w:t xml:space="preserve"> </w:t>
      </w:r>
    </w:p>
    <w:p w14:paraId="74FC9262" w14:textId="77777777" w:rsidR="001346EA" w:rsidRPr="001346EA" w:rsidRDefault="001346EA" w:rsidP="001346EA">
      <w:pPr>
        <w:pStyle w:val="ListParagraph"/>
        <w:rPr>
          <w:rFonts w:ascii="Arial" w:hAnsi="Arial" w:cs="Arial"/>
        </w:rPr>
      </w:pPr>
    </w:p>
    <w:p w14:paraId="1888C26C" w14:textId="77777777" w:rsidR="0018543D" w:rsidRPr="0098703B" w:rsidRDefault="0018543D" w:rsidP="0040116D">
      <w:pPr>
        <w:pStyle w:val="ListParagraph"/>
        <w:numPr>
          <w:ilvl w:val="1"/>
          <w:numId w:val="1"/>
        </w:numPr>
        <w:ind w:hanging="720"/>
        <w:rPr>
          <w:rFonts w:ascii="Arial" w:hAnsi="Arial" w:cs="Arial"/>
          <w:color w:val="FF0000"/>
        </w:rPr>
      </w:pPr>
      <w:r>
        <w:rPr>
          <w:rFonts w:ascii="Arial" w:hAnsi="Arial" w:cs="Arial"/>
        </w:rPr>
        <w:t xml:space="preserve">The </w:t>
      </w:r>
      <w:r w:rsidR="0098703B">
        <w:rPr>
          <w:rFonts w:ascii="Arial" w:hAnsi="Arial" w:cs="Arial"/>
        </w:rPr>
        <w:t xml:space="preserve">final outturn for 2019/20 was an overspend of £0.521m. </w:t>
      </w:r>
    </w:p>
    <w:p w14:paraId="519776C9" w14:textId="77777777" w:rsidR="0098703B" w:rsidRPr="0098703B" w:rsidRDefault="0098703B" w:rsidP="0098703B">
      <w:pPr>
        <w:pStyle w:val="ListParagraph"/>
        <w:rPr>
          <w:rFonts w:ascii="Arial" w:hAnsi="Arial" w:cs="Arial"/>
          <w:color w:val="FF0000"/>
        </w:rPr>
      </w:pPr>
    </w:p>
    <w:p w14:paraId="3AB4D6C9" w14:textId="3601242C" w:rsidR="0098703B" w:rsidRPr="0098703B" w:rsidRDefault="0098703B" w:rsidP="0040116D">
      <w:pPr>
        <w:pStyle w:val="ListParagraph"/>
        <w:numPr>
          <w:ilvl w:val="1"/>
          <w:numId w:val="1"/>
        </w:numPr>
        <w:ind w:hanging="720"/>
        <w:rPr>
          <w:rFonts w:ascii="Arial" w:hAnsi="Arial" w:cs="Arial"/>
        </w:rPr>
      </w:pPr>
      <w:r w:rsidRPr="0098703B">
        <w:rPr>
          <w:rFonts w:ascii="Arial" w:hAnsi="Arial" w:cs="Arial"/>
        </w:rPr>
        <w:t xml:space="preserve">Although overall Dedicated Schools Grant (DSG) reserves are positive, there is now a deficit on </w:t>
      </w:r>
      <w:r w:rsidR="00891692">
        <w:rPr>
          <w:rFonts w:ascii="Arial" w:hAnsi="Arial" w:cs="Arial"/>
        </w:rPr>
        <w:t xml:space="preserve">the </w:t>
      </w:r>
      <w:r w:rsidRPr="0098703B">
        <w:rPr>
          <w:rFonts w:ascii="Arial" w:hAnsi="Arial" w:cs="Arial"/>
        </w:rPr>
        <w:t>High Needs Block reserve of £0.136m that needs to be repaid.</w:t>
      </w:r>
    </w:p>
    <w:p w14:paraId="46A0A7B9" w14:textId="77777777" w:rsidR="0040116D" w:rsidRDefault="0040116D" w:rsidP="00ED4F3E">
      <w:pPr>
        <w:pStyle w:val="ListParagraph"/>
        <w:ind w:left="786"/>
        <w:rPr>
          <w:rFonts w:ascii="Arial" w:hAnsi="Arial" w:cs="Arial"/>
          <w:color w:val="FF0000"/>
        </w:rPr>
      </w:pPr>
    </w:p>
    <w:p w14:paraId="1C4F41B8" w14:textId="77777777" w:rsidR="006D4B67" w:rsidRPr="004E4BFB" w:rsidRDefault="006D4B67" w:rsidP="006D4B67">
      <w:pPr>
        <w:ind w:left="360" w:hanging="360"/>
        <w:rPr>
          <w:rFonts w:ascii="Arial" w:hAnsi="Arial" w:cs="Arial"/>
          <w:b/>
          <w:u w:val="single"/>
        </w:rPr>
      </w:pPr>
      <w:r>
        <w:rPr>
          <w:rFonts w:ascii="Arial" w:hAnsi="Arial" w:cs="Arial"/>
          <w:b/>
        </w:rPr>
        <w:t>3</w:t>
      </w:r>
      <w:r w:rsidRPr="00741D19">
        <w:rPr>
          <w:rFonts w:ascii="Arial" w:hAnsi="Arial" w:cs="Arial"/>
          <w:b/>
        </w:rPr>
        <w:t xml:space="preserve">. </w:t>
      </w:r>
      <w:r w:rsidRPr="00741D19">
        <w:rPr>
          <w:rFonts w:ascii="Arial" w:hAnsi="Arial" w:cs="Arial"/>
          <w:b/>
        </w:rPr>
        <w:tab/>
      </w:r>
      <w:r w:rsidRPr="00741D19">
        <w:rPr>
          <w:rFonts w:ascii="Arial" w:hAnsi="Arial" w:cs="Arial"/>
          <w:b/>
        </w:rPr>
        <w:tab/>
      </w:r>
      <w:r>
        <w:rPr>
          <w:rFonts w:ascii="Arial" w:hAnsi="Arial" w:cs="Arial"/>
          <w:b/>
          <w:u w:val="single"/>
        </w:rPr>
        <w:t>2020/21</w:t>
      </w:r>
      <w:r w:rsidRPr="004E4BFB">
        <w:rPr>
          <w:rFonts w:ascii="Arial" w:hAnsi="Arial" w:cs="Arial"/>
          <w:b/>
          <w:u w:val="single"/>
        </w:rPr>
        <w:t xml:space="preserve"> </w:t>
      </w:r>
      <w:r>
        <w:rPr>
          <w:rFonts w:ascii="Arial" w:hAnsi="Arial" w:cs="Arial"/>
          <w:b/>
          <w:u w:val="single"/>
        </w:rPr>
        <w:t>Funding</w:t>
      </w:r>
    </w:p>
    <w:p w14:paraId="2798FDB2" w14:textId="77777777" w:rsidR="006D4B67" w:rsidRDefault="006D4B67" w:rsidP="006D4B67">
      <w:pPr>
        <w:ind w:left="360" w:hanging="360"/>
        <w:rPr>
          <w:rFonts w:ascii="Arial" w:hAnsi="Arial" w:cs="Arial"/>
        </w:rPr>
      </w:pPr>
    </w:p>
    <w:p w14:paraId="334964F0" w14:textId="36C7D29B" w:rsidR="006D4B67" w:rsidRDefault="006D4B67" w:rsidP="006D4B67">
      <w:pPr>
        <w:ind w:left="720" w:hanging="720"/>
        <w:rPr>
          <w:rFonts w:ascii="Arial" w:hAnsi="Arial" w:cs="Arial"/>
        </w:rPr>
      </w:pPr>
      <w:r>
        <w:rPr>
          <w:rFonts w:ascii="Arial" w:hAnsi="Arial" w:cs="Arial"/>
        </w:rPr>
        <w:t>3</w:t>
      </w:r>
      <w:r w:rsidRPr="006D4B67">
        <w:rPr>
          <w:rFonts w:ascii="Arial" w:hAnsi="Arial" w:cs="Arial"/>
        </w:rPr>
        <w:t>.1</w:t>
      </w:r>
      <w:r w:rsidRPr="006D4B67">
        <w:rPr>
          <w:rFonts w:ascii="Arial" w:hAnsi="Arial" w:cs="Arial"/>
        </w:rPr>
        <w:tab/>
      </w:r>
      <w:r w:rsidR="008E7E00">
        <w:rPr>
          <w:rFonts w:ascii="Arial" w:hAnsi="Arial" w:cs="Arial"/>
        </w:rPr>
        <w:t xml:space="preserve">The </w:t>
      </w:r>
      <w:r w:rsidR="00F57842">
        <w:rPr>
          <w:rFonts w:ascii="Arial" w:hAnsi="Arial" w:cs="Arial"/>
        </w:rPr>
        <w:t xml:space="preserve">final </w:t>
      </w:r>
      <w:r w:rsidR="008E7E00">
        <w:rPr>
          <w:rFonts w:ascii="Arial" w:hAnsi="Arial" w:cs="Arial"/>
        </w:rPr>
        <w:t>High Needs Bloc</w:t>
      </w:r>
      <w:r w:rsidR="00602F79">
        <w:rPr>
          <w:rFonts w:ascii="Arial" w:hAnsi="Arial" w:cs="Arial"/>
        </w:rPr>
        <w:t>k</w:t>
      </w:r>
      <w:r w:rsidR="00F57842">
        <w:rPr>
          <w:rFonts w:ascii="Arial" w:hAnsi="Arial" w:cs="Arial"/>
        </w:rPr>
        <w:t xml:space="preserve"> budget allocation for 2020/21 is </w:t>
      </w:r>
      <w:r w:rsidR="00F57842" w:rsidRPr="00F57842">
        <w:rPr>
          <w:rFonts w:ascii="Arial" w:hAnsi="Arial" w:cs="Arial"/>
          <w:b/>
        </w:rPr>
        <w:t>£11.209m</w:t>
      </w:r>
      <w:r w:rsidR="00F57842">
        <w:rPr>
          <w:rFonts w:ascii="Arial" w:hAnsi="Arial" w:cs="Arial"/>
        </w:rPr>
        <w:t xml:space="preserve">. This </w:t>
      </w:r>
      <w:r w:rsidR="008E7E00">
        <w:rPr>
          <w:rFonts w:ascii="Arial" w:hAnsi="Arial" w:cs="Arial"/>
        </w:rPr>
        <w:t>includes the £0.329m transfer from the Schools Block.</w:t>
      </w:r>
    </w:p>
    <w:p w14:paraId="21B22BC6" w14:textId="77777777" w:rsidR="008E7E00" w:rsidRDefault="008E7E00" w:rsidP="006D4B67">
      <w:pPr>
        <w:ind w:left="720" w:hanging="720"/>
        <w:rPr>
          <w:rFonts w:ascii="Arial" w:hAnsi="Arial" w:cs="Arial"/>
        </w:rPr>
      </w:pPr>
    </w:p>
    <w:p w14:paraId="4B460393" w14:textId="77777777" w:rsidR="008E7E00" w:rsidRDefault="008E7E00" w:rsidP="006D4B67">
      <w:pPr>
        <w:ind w:left="720" w:hanging="720"/>
        <w:rPr>
          <w:rFonts w:ascii="Arial" w:hAnsi="Arial" w:cs="Arial"/>
        </w:rPr>
      </w:pPr>
      <w:r>
        <w:rPr>
          <w:rFonts w:ascii="Arial" w:hAnsi="Arial" w:cs="Arial"/>
        </w:rPr>
        <w:t>3.2</w:t>
      </w:r>
      <w:r>
        <w:rPr>
          <w:rFonts w:ascii="Arial" w:hAnsi="Arial" w:cs="Arial"/>
        </w:rPr>
        <w:tab/>
      </w:r>
      <w:r w:rsidR="009856E9">
        <w:rPr>
          <w:rFonts w:ascii="Arial" w:hAnsi="Arial" w:cs="Arial"/>
        </w:rPr>
        <w:t>High Needs Block funding</w:t>
      </w:r>
      <w:r>
        <w:rPr>
          <w:rFonts w:ascii="Arial" w:hAnsi="Arial" w:cs="Arial"/>
        </w:rPr>
        <w:t xml:space="preserve"> is subject to change during the financial year for any updates to recoupment of place funding from academies and for the final import / export adjustment based on the January census.</w:t>
      </w:r>
      <w:r w:rsidR="009D3D8F">
        <w:rPr>
          <w:rFonts w:ascii="Arial" w:hAnsi="Arial" w:cs="Arial"/>
        </w:rPr>
        <w:t xml:space="preserve"> These changes are published in July each year.</w:t>
      </w:r>
      <w:r w:rsidR="00E33420">
        <w:rPr>
          <w:rFonts w:ascii="Arial" w:hAnsi="Arial" w:cs="Arial"/>
        </w:rPr>
        <w:t xml:space="preserve"> The table below represents our final allocation for 2020/21.</w:t>
      </w:r>
    </w:p>
    <w:p w14:paraId="78E86907" w14:textId="77777777" w:rsidR="00FC4666" w:rsidRDefault="00FC4666" w:rsidP="006D4B67">
      <w:pPr>
        <w:ind w:left="720" w:hanging="720"/>
        <w:rPr>
          <w:rFonts w:ascii="Arial" w:hAnsi="Arial" w:cs="Arial"/>
        </w:rPr>
      </w:pPr>
    </w:p>
    <w:p w14:paraId="07123246" w14:textId="6A8E5EDA" w:rsidR="00FC4666" w:rsidRDefault="00FC4666" w:rsidP="006D4B67">
      <w:pPr>
        <w:ind w:left="720" w:hanging="720"/>
        <w:rPr>
          <w:rFonts w:ascii="Arial" w:hAnsi="Arial" w:cs="Arial"/>
        </w:rPr>
      </w:pPr>
      <w:r>
        <w:rPr>
          <w:rFonts w:ascii="Arial" w:hAnsi="Arial" w:cs="Arial"/>
        </w:rPr>
        <w:t>3.3</w:t>
      </w:r>
      <w:r>
        <w:rPr>
          <w:rFonts w:ascii="Arial" w:hAnsi="Arial" w:cs="Arial"/>
        </w:rPr>
        <w:tab/>
        <w:t xml:space="preserve">During this quarter, budgets have been realigned to bring together all funding relating the Horizon school and Alternative Provision into one budget category under the management of the Head Teacher. Prior to this realignment, the amounts funding the Horizon School were spread across a number of budget categories so </w:t>
      </w:r>
      <w:r w:rsidR="001012E3">
        <w:rPr>
          <w:rFonts w:ascii="Arial" w:hAnsi="Arial" w:cs="Arial"/>
        </w:rPr>
        <w:t>this change will increase transparency of spend relating to excluded pupils.</w:t>
      </w:r>
    </w:p>
    <w:p w14:paraId="00F6389D" w14:textId="77777777" w:rsidR="006013DF" w:rsidRDefault="006013DF" w:rsidP="006D4B67">
      <w:pPr>
        <w:ind w:left="720" w:hanging="720"/>
        <w:rPr>
          <w:rFonts w:ascii="Arial" w:hAnsi="Arial" w:cs="Arial"/>
        </w:rPr>
      </w:pPr>
    </w:p>
    <w:p w14:paraId="5EF7B5D4" w14:textId="77777777" w:rsidR="002F069C" w:rsidRPr="004E4BFB" w:rsidRDefault="006D4B67" w:rsidP="0040116D">
      <w:pPr>
        <w:ind w:left="360" w:hanging="360"/>
        <w:rPr>
          <w:rFonts w:ascii="Arial" w:hAnsi="Arial" w:cs="Arial"/>
          <w:b/>
          <w:u w:val="single"/>
        </w:rPr>
      </w:pPr>
      <w:r>
        <w:rPr>
          <w:rFonts w:ascii="Arial" w:hAnsi="Arial" w:cs="Arial"/>
          <w:b/>
        </w:rPr>
        <w:t>4</w:t>
      </w:r>
      <w:r w:rsidR="00741D19" w:rsidRPr="00741D19">
        <w:rPr>
          <w:rFonts w:ascii="Arial" w:hAnsi="Arial" w:cs="Arial"/>
          <w:b/>
        </w:rPr>
        <w:t xml:space="preserve">. </w:t>
      </w:r>
      <w:r w:rsidR="00741D19" w:rsidRPr="00741D19">
        <w:rPr>
          <w:rFonts w:ascii="Arial" w:hAnsi="Arial" w:cs="Arial"/>
          <w:b/>
        </w:rPr>
        <w:tab/>
      </w:r>
      <w:r w:rsidR="00741D19" w:rsidRPr="00741D19">
        <w:rPr>
          <w:rFonts w:ascii="Arial" w:hAnsi="Arial" w:cs="Arial"/>
          <w:b/>
        </w:rPr>
        <w:tab/>
      </w:r>
      <w:r w:rsidR="0098703B">
        <w:rPr>
          <w:rFonts w:ascii="Arial" w:hAnsi="Arial" w:cs="Arial"/>
          <w:b/>
          <w:u w:val="single"/>
        </w:rPr>
        <w:t>2020/21</w:t>
      </w:r>
      <w:r w:rsidR="002F069C" w:rsidRPr="004E4BFB">
        <w:rPr>
          <w:rFonts w:ascii="Arial" w:hAnsi="Arial" w:cs="Arial"/>
          <w:b/>
          <w:u w:val="single"/>
        </w:rPr>
        <w:t xml:space="preserve"> </w:t>
      </w:r>
      <w:r w:rsidR="001346EA">
        <w:rPr>
          <w:rFonts w:ascii="Arial" w:hAnsi="Arial" w:cs="Arial"/>
          <w:b/>
          <w:u w:val="single"/>
        </w:rPr>
        <w:t>Outturn</w:t>
      </w:r>
      <w:r w:rsidR="0098703B">
        <w:rPr>
          <w:rFonts w:ascii="Arial" w:hAnsi="Arial" w:cs="Arial"/>
          <w:b/>
          <w:u w:val="single"/>
        </w:rPr>
        <w:t xml:space="preserve"> Estimate</w:t>
      </w:r>
    </w:p>
    <w:p w14:paraId="60075C7B" w14:textId="77777777" w:rsidR="0051311E" w:rsidRDefault="0051311E" w:rsidP="0040116D">
      <w:pPr>
        <w:ind w:left="360" w:hanging="360"/>
        <w:rPr>
          <w:rFonts w:ascii="Arial" w:hAnsi="Arial" w:cs="Arial"/>
        </w:rPr>
      </w:pPr>
    </w:p>
    <w:p w14:paraId="1573CC0E" w14:textId="2191650C" w:rsidR="008A226A" w:rsidRDefault="002B4790" w:rsidP="003B27BE">
      <w:pPr>
        <w:ind w:left="720" w:hanging="720"/>
        <w:rPr>
          <w:rFonts w:ascii="Arial" w:hAnsi="Arial" w:cs="Arial"/>
        </w:rPr>
      </w:pPr>
      <w:r>
        <w:rPr>
          <w:rFonts w:ascii="Arial" w:hAnsi="Arial" w:cs="Arial"/>
        </w:rPr>
        <w:t>4.1</w:t>
      </w:r>
      <w:r>
        <w:rPr>
          <w:rFonts w:ascii="Arial" w:hAnsi="Arial" w:cs="Arial"/>
        </w:rPr>
        <w:tab/>
      </w:r>
      <w:r w:rsidR="0098703B">
        <w:rPr>
          <w:rFonts w:ascii="Arial" w:hAnsi="Arial" w:cs="Arial"/>
        </w:rPr>
        <w:t xml:space="preserve">Using spending and </w:t>
      </w:r>
      <w:r w:rsidR="0098703B" w:rsidRPr="00C02934">
        <w:rPr>
          <w:rFonts w:ascii="Arial" w:hAnsi="Arial" w:cs="Arial"/>
        </w:rPr>
        <w:t xml:space="preserve">projections from the first </w:t>
      </w:r>
      <w:r w:rsidR="00233F9C">
        <w:rPr>
          <w:rFonts w:ascii="Arial" w:hAnsi="Arial" w:cs="Arial"/>
        </w:rPr>
        <w:t>half</w:t>
      </w:r>
      <w:r w:rsidR="0098703B" w:rsidRPr="00C02934">
        <w:rPr>
          <w:rFonts w:ascii="Arial" w:hAnsi="Arial" w:cs="Arial"/>
        </w:rPr>
        <w:t xml:space="preserve"> of 2020/21, the mid-case estimated</w:t>
      </w:r>
      <w:r w:rsidR="00DD0E20" w:rsidRPr="00C02934">
        <w:rPr>
          <w:rFonts w:ascii="Arial" w:hAnsi="Arial" w:cs="Arial"/>
        </w:rPr>
        <w:t xml:space="preserve"> outturn </w:t>
      </w:r>
      <w:r w:rsidR="0098703B" w:rsidRPr="00C02934">
        <w:rPr>
          <w:rFonts w:ascii="Arial" w:hAnsi="Arial" w:cs="Arial"/>
        </w:rPr>
        <w:t>for 2020/21</w:t>
      </w:r>
      <w:r w:rsidR="003B27BE" w:rsidRPr="00C02934">
        <w:rPr>
          <w:rFonts w:ascii="Arial" w:hAnsi="Arial" w:cs="Arial"/>
        </w:rPr>
        <w:t xml:space="preserve"> </w:t>
      </w:r>
      <w:r w:rsidR="00AD2F4C">
        <w:rPr>
          <w:rFonts w:ascii="Arial" w:hAnsi="Arial" w:cs="Arial"/>
        </w:rPr>
        <w:t xml:space="preserve">has reduced </w:t>
      </w:r>
      <w:r w:rsidR="004263F4">
        <w:rPr>
          <w:rFonts w:ascii="Arial" w:hAnsi="Arial" w:cs="Arial"/>
        </w:rPr>
        <w:t xml:space="preserve">from an overspend of £0.155m </w:t>
      </w:r>
      <w:r w:rsidR="00AD2F4C">
        <w:rPr>
          <w:rFonts w:ascii="Arial" w:hAnsi="Arial" w:cs="Arial"/>
        </w:rPr>
        <w:t>to</w:t>
      </w:r>
      <w:r w:rsidR="00DD0E20" w:rsidRPr="00C02934">
        <w:rPr>
          <w:rFonts w:ascii="Arial" w:hAnsi="Arial" w:cs="Arial"/>
        </w:rPr>
        <w:t xml:space="preserve"> </w:t>
      </w:r>
      <w:r w:rsidR="00246152">
        <w:rPr>
          <w:rFonts w:ascii="Arial" w:hAnsi="Arial" w:cs="Arial"/>
        </w:rPr>
        <w:t>an overspend</w:t>
      </w:r>
      <w:r w:rsidR="001346EA" w:rsidRPr="00C02934">
        <w:rPr>
          <w:rFonts w:ascii="Arial" w:hAnsi="Arial" w:cs="Arial"/>
        </w:rPr>
        <w:t xml:space="preserve"> of </w:t>
      </w:r>
      <w:r w:rsidR="005D205F" w:rsidRPr="00AD2F4C">
        <w:rPr>
          <w:rFonts w:ascii="Arial" w:hAnsi="Arial" w:cs="Arial"/>
          <w:b/>
        </w:rPr>
        <w:t>£0.</w:t>
      </w:r>
      <w:r w:rsidR="00B65FAE">
        <w:rPr>
          <w:rFonts w:ascii="Arial" w:hAnsi="Arial" w:cs="Arial"/>
          <w:b/>
        </w:rPr>
        <w:t>037</w:t>
      </w:r>
      <w:r w:rsidR="00187032" w:rsidRPr="00AD2F4C">
        <w:rPr>
          <w:rFonts w:ascii="Arial" w:hAnsi="Arial" w:cs="Arial"/>
          <w:b/>
        </w:rPr>
        <w:t>m</w:t>
      </w:r>
      <w:r w:rsidR="00187032" w:rsidRPr="00C02934">
        <w:rPr>
          <w:rFonts w:ascii="Arial" w:hAnsi="Arial" w:cs="Arial"/>
        </w:rPr>
        <w:t>. This</w:t>
      </w:r>
      <w:r w:rsidR="00187032">
        <w:rPr>
          <w:rFonts w:ascii="Arial" w:hAnsi="Arial" w:cs="Arial"/>
        </w:rPr>
        <w:t xml:space="preserve"> is summarised by each area of spend in the table below. </w:t>
      </w:r>
      <w:r w:rsidR="008A226A">
        <w:rPr>
          <w:rFonts w:ascii="Arial" w:hAnsi="Arial" w:cs="Arial"/>
        </w:rPr>
        <w:t xml:space="preserve">The paragraphs that follow explain the </w:t>
      </w:r>
      <w:r w:rsidR="0098703B">
        <w:rPr>
          <w:rFonts w:ascii="Arial" w:hAnsi="Arial" w:cs="Arial"/>
        </w:rPr>
        <w:t>key variances to budget</w:t>
      </w:r>
      <w:r w:rsidR="00233F9C">
        <w:rPr>
          <w:rFonts w:ascii="Arial" w:hAnsi="Arial" w:cs="Arial"/>
        </w:rPr>
        <w:t xml:space="preserve"> using the mid-case projection</w:t>
      </w:r>
      <w:r w:rsidR="008A226A">
        <w:rPr>
          <w:rFonts w:ascii="Arial" w:hAnsi="Arial" w:cs="Arial"/>
        </w:rPr>
        <w:t>.</w:t>
      </w:r>
    </w:p>
    <w:p w14:paraId="7DECD513" w14:textId="77777777" w:rsidR="00F57842" w:rsidRDefault="00F57842" w:rsidP="003B27BE">
      <w:pPr>
        <w:ind w:left="720" w:hanging="720"/>
        <w:rPr>
          <w:rFonts w:ascii="Arial" w:hAnsi="Arial" w:cs="Arial"/>
        </w:rPr>
      </w:pPr>
    </w:p>
    <w:p w14:paraId="01B728BA" w14:textId="77777777" w:rsidR="00F57842" w:rsidRDefault="00F57842" w:rsidP="003B27BE">
      <w:pPr>
        <w:ind w:left="720" w:hanging="720"/>
        <w:rPr>
          <w:rFonts w:ascii="Arial" w:hAnsi="Arial" w:cs="Arial"/>
        </w:rPr>
      </w:pPr>
    </w:p>
    <w:p w14:paraId="1667E1BF" w14:textId="77777777" w:rsidR="004E4BFB" w:rsidRDefault="004E4BFB" w:rsidP="0040116D">
      <w:pPr>
        <w:ind w:left="360" w:hanging="360"/>
        <w:rPr>
          <w:rFonts w:ascii="Arial" w:hAnsi="Arial" w:cs="Arial"/>
        </w:rPr>
      </w:pPr>
    </w:p>
    <w:tbl>
      <w:tblPr>
        <w:tblW w:w="10001" w:type="dxa"/>
        <w:tblInd w:w="-5" w:type="dxa"/>
        <w:tblLook w:val="04A0" w:firstRow="1" w:lastRow="0" w:firstColumn="1" w:lastColumn="0" w:noHBand="0" w:noVBand="1"/>
      </w:tblPr>
      <w:tblGrid>
        <w:gridCol w:w="2357"/>
        <w:gridCol w:w="1236"/>
        <w:gridCol w:w="1341"/>
        <w:gridCol w:w="222"/>
        <w:gridCol w:w="1132"/>
        <w:gridCol w:w="1237"/>
        <w:gridCol w:w="222"/>
        <w:gridCol w:w="1017"/>
        <w:gridCol w:w="1237"/>
      </w:tblGrid>
      <w:tr w:rsidR="006D4B67" w:rsidRPr="006670F8" w14:paraId="6AA83937" w14:textId="77777777" w:rsidTr="00B65FAE">
        <w:trPr>
          <w:trHeight w:val="276"/>
        </w:trPr>
        <w:tc>
          <w:tcPr>
            <w:tcW w:w="2357" w:type="dxa"/>
            <w:tcBorders>
              <w:top w:val="single" w:sz="4" w:space="0" w:color="auto"/>
              <w:left w:val="single" w:sz="4" w:space="0" w:color="auto"/>
              <w:bottom w:val="single" w:sz="4" w:space="0" w:color="auto"/>
              <w:right w:val="nil"/>
            </w:tcBorders>
            <w:shd w:val="clear" w:color="000000" w:fill="000000"/>
            <w:noWrap/>
            <w:vAlign w:val="bottom"/>
          </w:tcPr>
          <w:p w14:paraId="2A4C19C1" w14:textId="77777777" w:rsidR="006D4B67" w:rsidRPr="0051272C" w:rsidRDefault="006D4B67" w:rsidP="002138C8">
            <w:pPr>
              <w:jc w:val="center"/>
              <w:rPr>
                <w:rFonts w:ascii="Arial" w:hAnsi="Arial" w:cs="Arial"/>
                <w:color w:val="FFFFFF"/>
              </w:rPr>
            </w:pPr>
          </w:p>
        </w:tc>
        <w:tc>
          <w:tcPr>
            <w:tcW w:w="2577" w:type="dxa"/>
            <w:gridSpan w:val="2"/>
            <w:tcBorders>
              <w:top w:val="single" w:sz="4" w:space="0" w:color="auto"/>
              <w:left w:val="single" w:sz="4" w:space="0" w:color="auto"/>
              <w:bottom w:val="single" w:sz="4" w:space="0" w:color="auto"/>
              <w:right w:val="single" w:sz="4" w:space="0" w:color="auto"/>
            </w:tcBorders>
            <w:shd w:val="clear" w:color="000000" w:fill="000000"/>
            <w:noWrap/>
            <w:vAlign w:val="bottom"/>
          </w:tcPr>
          <w:p w14:paraId="4484D1E3" w14:textId="77777777" w:rsidR="006D4B67" w:rsidRPr="00512A39" w:rsidRDefault="006D4B67" w:rsidP="002138C8">
            <w:pPr>
              <w:jc w:val="center"/>
              <w:rPr>
                <w:rFonts w:ascii="Arial" w:hAnsi="Arial" w:cs="Arial"/>
                <w:color w:val="FFFFFF"/>
              </w:rPr>
            </w:pPr>
            <w:r w:rsidRPr="00512A39">
              <w:rPr>
                <w:rFonts w:ascii="Arial" w:hAnsi="Arial" w:cs="Arial"/>
                <w:color w:val="FFFFFF"/>
                <w:sz w:val="22"/>
                <w:szCs w:val="22"/>
              </w:rPr>
              <w:t>Worse Case</w:t>
            </w:r>
          </w:p>
        </w:tc>
        <w:tc>
          <w:tcPr>
            <w:tcW w:w="222" w:type="dxa"/>
            <w:tcBorders>
              <w:top w:val="single" w:sz="4" w:space="0" w:color="auto"/>
              <w:left w:val="single" w:sz="4" w:space="0" w:color="auto"/>
              <w:bottom w:val="single" w:sz="4" w:space="0" w:color="auto"/>
              <w:right w:val="single" w:sz="4" w:space="0" w:color="auto"/>
            </w:tcBorders>
            <w:shd w:val="clear" w:color="000000" w:fill="000000"/>
          </w:tcPr>
          <w:p w14:paraId="3674C3F6" w14:textId="77777777" w:rsidR="006D4B67" w:rsidRDefault="006D4B67" w:rsidP="002138C8">
            <w:pPr>
              <w:jc w:val="center"/>
              <w:rPr>
                <w:rFonts w:ascii="Arial" w:hAnsi="Arial" w:cs="Arial"/>
                <w:color w:val="FFFFFF"/>
              </w:rPr>
            </w:pPr>
          </w:p>
        </w:tc>
        <w:tc>
          <w:tcPr>
            <w:tcW w:w="2369" w:type="dxa"/>
            <w:gridSpan w:val="2"/>
            <w:tcBorders>
              <w:top w:val="single" w:sz="4" w:space="0" w:color="auto"/>
              <w:left w:val="single" w:sz="4" w:space="0" w:color="auto"/>
              <w:bottom w:val="single" w:sz="4" w:space="0" w:color="auto"/>
              <w:right w:val="single" w:sz="4" w:space="0" w:color="auto"/>
            </w:tcBorders>
            <w:shd w:val="clear" w:color="000000" w:fill="000000"/>
          </w:tcPr>
          <w:p w14:paraId="388E8DAF" w14:textId="77777777" w:rsidR="006D4B67" w:rsidRDefault="006D4B67" w:rsidP="002138C8">
            <w:pPr>
              <w:jc w:val="center"/>
              <w:rPr>
                <w:rFonts w:ascii="Arial" w:hAnsi="Arial" w:cs="Arial"/>
                <w:color w:val="FFFFFF"/>
              </w:rPr>
            </w:pPr>
            <w:r>
              <w:rPr>
                <w:rFonts w:ascii="Arial" w:hAnsi="Arial" w:cs="Arial"/>
                <w:color w:val="FFFFFF"/>
                <w:sz w:val="22"/>
                <w:szCs w:val="22"/>
              </w:rPr>
              <w:t>Mid Case</w:t>
            </w:r>
          </w:p>
        </w:tc>
        <w:tc>
          <w:tcPr>
            <w:tcW w:w="222" w:type="dxa"/>
            <w:tcBorders>
              <w:top w:val="single" w:sz="4" w:space="0" w:color="auto"/>
              <w:left w:val="single" w:sz="4" w:space="0" w:color="auto"/>
              <w:bottom w:val="single" w:sz="4" w:space="0" w:color="auto"/>
              <w:right w:val="single" w:sz="4" w:space="0" w:color="auto"/>
            </w:tcBorders>
            <w:shd w:val="clear" w:color="000000" w:fill="000000"/>
          </w:tcPr>
          <w:p w14:paraId="4FDE39D5" w14:textId="77777777" w:rsidR="006D4B67" w:rsidRDefault="006D4B67" w:rsidP="002138C8">
            <w:pPr>
              <w:jc w:val="center"/>
              <w:rPr>
                <w:rFonts w:ascii="Arial" w:hAnsi="Arial" w:cs="Arial"/>
                <w:color w:val="FFFFFF"/>
              </w:rPr>
            </w:pPr>
          </w:p>
        </w:tc>
        <w:tc>
          <w:tcPr>
            <w:tcW w:w="2254" w:type="dxa"/>
            <w:gridSpan w:val="2"/>
            <w:tcBorders>
              <w:top w:val="single" w:sz="4" w:space="0" w:color="auto"/>
              <w:left w:val="single" w:sz="4" w:space="0" w:color="auto"/>
              <w:bottom w:val="single" w:sz="4" w:space="0" w:color="auto"/>
              <w:right w:val="single" w:sz="4" w:space="0" w:color="auto"/>
            </w:tcBorders>
            <w:shd w:val="clear" w:color="000000" w:fill="000000"/>
          </w:tcPr>
          <w:p w14:paraId="1B5D7041" w14:textId="77777777" w:rsidR="006D4B67" w:rsidRDefault="006D4B67" w:rsidP="002138C8">
            <w:pPr>
              <w:jc w:val="center"/>
              <w:rPr>
                <w:rFonts w:ascii="Arial" w:hAnsi="Arial" w:cs="Arial"/>
                <w:color w:val="FFFFFF"/>
              </w:rPr>
            </w:pPr>
            <w:r>
              <w:rPr>
                <w:rFonts w:ascii="Arial" w:hAnsi="Arial" w:cs="Arial"/>
                <w:color w:val="FFFFFF"/>
                <w:sz w:val="22"/>
                <w:szCs w:val="22"/>
              </w:rPr>
              <w:t>Best Case</w:t>
            </w:r>
          </w:p>
        </w:tc>
      </w:tr>
      <w:tr w:rsidR="006D4B67" w:rsidRPr="006670F8" w14:paraId="22B91CD4" w14:textId="77777777" w:rsidTr="00B65FAE">
        <w:trPr>
          <w:trHeight w:val="276"/>
        </w:trPr>
        <w:tc>
          <w:tcPr>
            <w:tcW w:w="2357" w:type="dxa"/>
            <w:tcBorders>
              <w:top w:val="single" w:sz="4" w:space="0" w:color="auto"/>
              <w:left w:val="single" w:sz="4" w:space="0" w:color="auto"/>
              <w:bottom w:val="single" w:sz="4" w:space="0" w:color="auto"/>
              <w:right w:val="nil"/>
            </w:tcBorders>
            <w:shd w:val="clear" w:color="000000" w:fill="000000"/>
            <w:noWrap/>
            <w:vAlign w:val="bottom"/>
            <w:hideMark/>
          </w:tcPr>
          <w:p w14:paraId="52A7D762" w14:textId="77777777" w:rsidR="006D4B67" w:rsidRPr="0051272C" w:rsidRDefault="006D4B67" w:rsidP="002138C8">
            <w:pPr>
              <w:jc w:val="center"/>
              <w:rPr>
                <w:rFonts w:ascii="Arial" w:hAnsi="Arial" w:cs="Arial"/>
                <w:color w:val="FFFFFF"/>
              </w:rPr>
            </w:pPr>
            <w:r>
              <w:rPr>
                <w:rFonts w:ascii="Arial" w:hAnsi="Arial" w:cs="Arial"/>
                <w:color w:val="FFFFFF"/>
                <w:sz w:val="22"/>
                <w:szCs w:val="22"/>
              </w:rPr>
              <w:t>High Needs Expenditure 2020/21</w:t>
            </w:r>
          </w:p>
        </w:tc>
        <w:tc>
          <w:tcPr>
            <w:tcW w:w="1236"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0BFEB3BB"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Projection</w:t>
            </w:r>
          </w:p>
          <w:p w14:paraId="4541BA57"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£m</w:t>
            </w:r>
          </w:p>
        </w:tc>
        <w:tc>
          <w:tcPr>
            <w:tcW w:w="1341" w:type="dxa"/>
            <w:tcBorders>
              <w:top w:val="single" w:sz="4" w:space="0" w:color="auto"/>
              <w:left w:val="single" w:sz="4" w:space="0" w:color="auto"/>
              <w:bottom w:val="single" w:sz="4" w:space="0" w:color="auto"/>
              <w:right w:val="single" w:sz="4" w:space="0" w:color="auto"/>
            </w:tcBorders>
            <w:shd w:val="clear" w:color="000000" w:fill="000000"/>
          </w:tcPr>
          <w:p w14:paraId="0596784C"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Variance Over/(under) Spend</w:t>
            </w:r>
          </w:p>
          <w:p w14:paraId="7891A32B"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£m</w:t>
            </w:r>
          </w:p>
        </w:tc>
        <w:tc>
          <w:tcPr>
            <w:tcW w:w="222" w:type="dxa"/>
            <w:tcBorders>
              <w:top w:val="single" w:sz="4" w:space="0" w:color="auto"/>
              <w:left w:val="single" w:sz="4" w:space="0" w:color="auto"/>
              <w:bottom w:val="single" w:sz="4" w:space="0" w:color="auto"/>
              <w:right w:val="single" w:sz="4" w:space="0" w:color="auto"/>
            </w:tcBorders>
            <w:shd w:val="clear" w:color="000000" w:fill="000000"/>
          </w:tcPr>
          <w:p w14:paraId="062DA53B" w14:textId="77777777" w:rsidR="006D4B67" w:rsidRPr="00A06DE7" w:rsidRDefault="006D4B67" w:rsidP="002138C8">
            <w:pPr>
              <w:jc w:val="center"/>
              <w:rPr>
                <w:rFonts w:ascii="Arial" w:hAnsi="Arial" w:cs="Arial"/>
                <w:color w:val="FFFFFF"/>
                <w:sz w:val="18"/>
                <w:szCs w:val="18"/>
              </w:rPr>
            </w:pPr>
          </w:p>
        </w:tc>
        <w:tc>
          <w:tcPr>
            <w:tcW w:w="1132" w:type="dxa"/>
            <w:tcBorders>
              <w:top w:val="single" w:sz="4" w:space="0" w:color="auto"/>
              <w:left w:val="single" w:sz="4" w:space="0" w:color="auto"/>
              <w:bottom w:val="single" w:sz="4" w:space="0" w:color="auto"/>
              <w:right w:val="single" w:sz="4" w:space="0" w:color="auto"/>
            </w:tcBorders>
            <w:shd w:val="clear" w:color="000000" w:fill="000000"/>
            <w:vAlign w:val="bottom"/>
          </w:tcPr>
          <w:p w14:paraId="20287E9C"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Projection</w:t>
            </w:r>
          </w:p>
          <w:p w14:paraId="4C8DE6A9"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£m</w:t>
            </w:r>
          </w:p>
        </w:tc>
        <w:tc>
          <w:tcPr>
            <w:tcW w:w="1237" w:type="dxa"/>
            <w:tcBorders>
              <w:top w:val="single" w:sz="4" w:space="0" w:color="auto"/>
              <w:left w:val="single" w:sz="4" w:space="0" w:color="auto"/>
              <w:bottom w:val="single" w:sz="4" w:space="0" w:color="auto"/>
              <w:right w:val="single" w:sz="4" w:space="0" w:color="auto"/>
            </w:tcBorders>
            <w:shd w:val="clear" w:color="000000" w:fill="000000"/>
          </w:tcPr>
          <w:p w14:paraId="7AD6BFE0"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Variance</w:t>
            </w:r>
          </w:p>
          <w:p w14:paraId="1B8BF674"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Over/(under) Spend</w:t>
            </w:r>
          </w:p>
          <w:p w14:paraId="637A8034"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£m</w:t>
            </w:r>
          </w:p>
        </w:tc>
        <w:tc>
          <w:tcPr>
            <w:tcW w:w="222" w:type="dxa"/>
            <w:tcBorders>
              <w:top w:val="single" w:sz="4" w:space="0" w:color="auto"/>
              <w:left w:val="single" w:sz="4" w:space="0" w:color="auto"/>
              <w:bottom w:val="single" w:sz="4" w:space="0" w:color="auto"/>
              <w:right w:val="single" w:sz="4" w:space="0" w:color="auto"/>
            </w:tcBorders>
            <w:shd w:val="clear" w:color="000000" w:fill="000000"/>
          </w:tcPr>
          <w:p w14:paraId="6D953057" w14:textId="77777777" w:rsidR="006D4B67" w:rsidRPr="00A06DE7" w:rsidRDefault="006D4B67" w:rsidP="002138C8">
            <w:pPr>
              <w:jc w:val="center"/>
              <w:rPr>
                <w:rFonts w:ascii="Arial" w:hAnsi="Arial" w:cs="Arial"/>
                <w:color w:val="FFFFFF"/>
                <w:sz w:val="18"/>
                <w:szCs w:val="18"/>
              </w:rPr>
            </w:pPr>
          </w:p>
        </w:tc>
        <w:tc>
          <w:tcPr>
            <w:tcW w:w="1017" w:type="dxa"/>
            <w:tcBorders>
              <w:top w:val="single" w:sz="4" w:space="0" w:color="auto"/>
              <w:left w:val="single" w:sz="4" w:space="0" w:color="auto"/>
              <w:bottom w:val="single" w:sz="4" w:space="0" w:color="auto"/>
              <w:right w:val="single" w:sz="4" w:space="0" w:color="auto"/>
            </w:tcBorders>
            <w:shd w:val="clear" w:color="000000" w:fill="000000"/>
            <w:vAlign w:val="bottom"/>
          </w:tcPr>
          <w:p w14:paraId="0F6C7790"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Projection</w:t>
            </w:r>
          </w:p>
          <w:p w14:paraId="4F338FD3"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£m</w:t>
            </w:r>
          </w:p>
        </w:tc>
        <w:tc>
          <w:tcPr>
            <w:tcW w:w="1237" w:type="dxa"/>
            <w:tcBorders>
              <w:top w:val="single" w:sz="4" w:space="0" w:color="auto"/>
              <w:left w:val="single" w:sz="4" w:space="0" w:color="auto"/>
              <w:bottom w:val="single" w:sz="4" w:space="0" w:color="auto"/>
              <w:right w:val="single" w:sz="4" w:space="0" w:color="auto"/>
            </w:tcBorders>
            <w:shd w:val="clear" w:color="000000" w:fill="000000"/>
          </w:tcPr>
          <w:p w14:paraId="08217A8E"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Variance Over/(under) Spend</w:t>
            </w:r>
          </w:p>
          <w:p w14:paraId="07675874" w14:textId="77777777" w:rsidR="006D4B67" w:rsidRPr="00A06DE7" w:rsidRDefault="006D4B67" w:rsidP="002138C8">
            <w:pPr>
              <w:jc w:val="center"/>
              <w:rPr>
                <w:rFonts w:ascii="Arial" w:hAnsi="Arial" w:cs="Arial"/>
                <w:color w:val="FFFFFF"/>
                <w:sz w:val="18"/>
                <w:szCs w:val="18"/>
              </w:rPr>
            </w:pPr>
            <w:r w:rsidRPr="00A06DE7">
              <w:rPr>
                <w:rFonts w:ascii="Arial" w:hAnsi="Arial" w:cs="Arial"/>
                <w:color w:val="FFFFFF"/>
                <w:sz w:val="18"/>
                <w:szCs w:val="18"/>
              </w:rPr>
              <w:t>£m</w:t>
            </w:r>
          </w:p>
        </w:tc>
      </w:tr>
      <w:tr w:rsidR="00257CA2" w:rsidRPr="006670F8" w14:paraId="311250CA" w14:textId="77777777" w:rsidTr="00B65FAE">
        <w:trPr>
          <w:trHeight w:val="417"/>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3BDD1" w14:textId="77777777" w:rsidR="00257CA2" w:rsidRPr="0051272C" w:rsidRDefault="00257CA2" w:rsidP="00257CA2">
            <w:pPr>
              <w:rPr>
                <w:rFonts w:ascii="Arial" w:hAnsi="Arial" w:cs="Arial"/>
                <w:color w:val="000000"/>
              </w:rPr>
            </w:pPr>
            <w:r w:rsidRPr="0051272C">
              <w:rPr>
                <w:rFonts w:ascii="Arial" w:hAnsi="Arial" w:cs="Arial"/>
                <w:color w:val="000000"/>
                <w:sz w:val="22"/>
                <w:szCs w:val="22"/>
              </w:rPr>
              <w:t>Place funding</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5DBBB" w14:textId="7804039F" w:rsidR="00257CA2" w:rsidRPr="00037372" w:rsidRDefault="00257CA2" w:rsidP="00257CA2">
            <w:pPr>
              <w:jc w:val="right"/>
              <w:rPr>
                <w:rFonts w:ascii="Arial" w:hAnsi="Arial" w:cs="Arial"/>
                <w:color w:val="000000"/>
              </w:rPr>
            </w:pPr>
            <w:r w:rsidRPr="00037372">
              <w:rPr>
                <w:rFonts w:ascii="Arial" w:hAnsi="Arial" w:cs="Arial"/>
                <w:color w:val="000000"/>
                <w:sz w:val="22"/>
                <w:szCs w:val="22"/>
              </w:rPr>
              <w:t>1.366</w:t>
            </w:r>
          </w:p>
        </w:tc>
        <w:tc>
          <w:tcPr>
            <w:tcW w:w="1341" w:type="dxa"/>
            <w:tcBorders>
              <w:top w:val="single" w:sz="4" w:space="0" w:color="auto"/>
              <w:left w:val="single" w:sz="4" w:space="0" w:color="auto"/>
              <w:bottom w:val="single" w:sz="4" w:space="0" w:color="auto"/>
              <w:right w:val="single" w:sz="4" w:space="0" w:color="auto"/>
            </w:tcBorders>
            <w:vAlign w:val="bottom"/>
          </w:tcPr>
          <w:p w14:paraId="552B88D9" w14:textId="4D0BDFB9" w:rsidR="00257CA2" w:rsidRPr="00037372" w:rsidRDefault="00257CA2" w:rsidP="00257CA2">
            <w:pPr>
              <w:jc w:val="right"/>
              <w:rPr>
                <w:rFonts w:ascii="Arial" w:hAnsi="Arial" w:cs="Arial"/>
                <w:color w:val="000000"/>
              </w:rPr>
            </w:pPr>
            <w:r w:rsidRPr="00037372">
              <w:rPr>
                <w:rFonts w:ascii="Arial" w:hAnsi="Arial" w:cs="Arial"/>
                <w:color w:val="000000"/>
                <w:sz w:val="22"/>
                <w:szCs w:val="22"/>
              </w:rPr>
              <w:t>-</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022DC69A" w14:textId="77777777" w:rsidR="00257CA2" w:rsidRPr="00411684" w:rsidRDefault="00257CA2" w:rsidP="00257CA2">
            <w:pPr>
              <w:jc w:val="right"/>
              <w:rPr>
                <w:rFonts w:ascii="Arial" w:hAnsi="Arial" w:cs="Arial"/>
                <w:color w:val="000000"/>
              </w:rPr>
            </w:pPr>
          </w:p>
        </w:tc>
        <w:tc>
          <w:tcPr>
            <w:tcW w:w="1132" w:type="dxa"/>
            <w:tcBorders>
              <w:top w:val="single" w:sz="4" w:space="0" w:color="auto"/>
              <w:left w:val="single" w:sz="4" w:space="0" w:color="auto"/>
              <w:bottom w:val="single" w:sz="4" w:space="0" w:color="auto"/>
              <w:right w:val="single" w:sz="4" w:space="0" w:color="auto"/>
            </w:tcBorders>
            <w:vAlign w:val="bottom"/>
          </w:tcPr>
          <w:p w14:paraId="3128A649" w14:textId="77777777" w:rsidR="00257CA2" w:rsidRPr="00037372" w:rsidRDefault="00257CA2" w:rsidP="00257CA2">
            <w:pPr>
              <w:jc w:val="right"/>
              <w:rPr>
                <w:rFonts w:ascii="Arial" w:hAnsi="Arial" w:cs="Arial"/>
                <w:color w:val="000000"/>
              </w:rPr>
            </w:pPr>
            <w:r w:rsidRPr="00037372">
              <w:rPr>
                <w:rFonts w:ascii="Arial" w:hAnsi="Arial" w:cs="Arial"/>
                <w:color w:val="000000"/>
                <w:sz w:val="22"/>
                <w:szCs w:val="22"/>
              </w:rPr>
              <w:t>1.366</w:t>
            </w:r>
          </w:p>
        </w:tc>
        <w:tc>
          <w:tcPr>
            <w:tcW w:w="1237" w:type="dxa"/>
            <w:tcBorders>
              <w:top w:val="single" w:sz="4" w:space="0" w:color="auto"/>
              <w:left w:val="single" w:sz="4" w:space="0" w:color="auto"/>
              <w:bottom w:val="single" w:sz="4" w:space="0" w:color="auto"/>
              <w:right w:val="single" w:sz="4" w:space="0" w:color="auto"/>
            </w:tcBorders>
            <w:vAlign w:val="bottom"/>
          </w:tcPr>
          <w:p w14:paraId="7F801C07" w14:textId="77777777" w:rsidR="00257CA2" w:rsidRPr="00037372" w:rsidRDefault="00257CA2" w:rsidP="00257CA2">
            <w:pPr>
              <w:jc w:val="right"/>
              <w:rPr>
                <w:rFonts w:ascii="Arial" w:hAnsi="Arial" w:cs="Arial"/>
                <w:color w:val="000000"/>
              </w:rPr>
            </w:pPr>
            <w:r w:rsidRPr="00037372">
              <w:rPr>
                <w:rFonts w:ascii="Arial" w:hAnsi="Arial" w:cs="Arial"/>
                <w:color w:val="000000"/>
                <w:sz w:val="22"/>
                <w:szCs w:val="22"/>
              </w:rPr>
              <w:t>-</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70C043C2" w14:textId="77777777" w:rsidR="00257CA2" w:rsidRPr="00C02934" w:rsidRDefault="00257CA2" w:rsidP="00257CA2">
            <w:pPr>
              <w:jc w:val="right"/>
              <w:rPr>
                <w:rFonts w:ascii="Arial" w:hAnsi="Arial" w:cs="Arial"/>
                <w:color w:val="000000"/>
              </w:rPr>
            </w:pPr>
          </w:p>
        </w:tc>
        <w:tc>
          <w:tcPr>
            <w:tcW w:w="1017" w:type="dxa"/>
            <w:tcBorders>
              <w:top w:val="single" w:sz="4" w:space="0" w:color="auto"/>
              <w:left w:val="single" w:sz="4" w:space="0" w:color="auto"/>
              <w:bottom w:val="single" w:sz="4" w:space="0" w:color="auto"/>
              <w:right w:val="single" w:sz="4" w:space="0" w:color="auto"/>
            </w:tcBorders>
            <w:vAlign w:val="bottom"/>
          </w:tcPr>
          <w:p w14:paraId="1AF45633" w14:textId="253D4AE9" w:rsidR="00257CA2" w:rsidRPr="00037372" w:rsidRDefault="00257CA2" w:rsidP="00257CA2">
            <w:pPr>
              <w:jc w:val="right"/>
              <w:rPr>
                <w:rFonts w:ascii="Arial" w:hAnsi="Arial" w:cs="Arial"/>
                <w:color w:val="000000"/>
              </w:rPr>
            </w:pPr>
            <w:r w:rsidRPr="00037372">
              <w:rPr>
                <w:rFonts w:ascii="Arial" w:hAnsi="Arial" w:cs="Arial"/>
                <w:color w:val="000000"/>
                <w:sz w:val="22"/>
                <w:szCs w:val="22"/>
              </w:rPr>
              <w:t>1.366</w:t>
            </w:r>
          </w:p>
        </w:tc>
        <w:tc>
          <w:tcPr>
            <w:tcW w:w="1237" w:type="dxa"/>
            <w:tcBorders>
              <w:top w:val="single" w:sz="4" w:space="0" w:color="auto"/>
              <w:left w:val="single" w:sz="4" w:space="0" w:color="auto"/>
              <w:bottom w:val="single" w:sz="4" w:space="0" w:color="auto"/>
              <w:right w:val="single" w:sz="4" w:space="0" w:color="auto"/>
            </w:tcBorders>
            <w:vAlign w:val="bottom"/>
          </w:tcPr>
          <w:p w14:paraId="2A9BAB96" w14:textId="3B6F91CE" w:rsidR="00257CA2" w:rsidRPr="00037372" w:rsidRDefault="00257CA2" w:rsidP="00257CA2">
            <w:pPr>
              <w:jc w:val="right"/>
              <w:rPr>
                <w:rFonts w:ascii="Arial" w:hAnsi="Arial" w:cs="Arial"/>
                <w:color w:val="000000"/>
              </w:rPr>
            </w:pPr>
            <w:r w:rsidRPr="00037372">
              <w:rPr>
                <w:rFonts w:ascii="Arial" w:hAnsi="Arial" w:cs="Arial"/>
                <w:color w:val="000000"/>
                <w:sz w:val="22"/>
                <w:szCs w:val="22"/>
              </w:rPr>
              <w:t>-</w:t>
            </w:r>
          </w:p>
        </w:tc>
      </w:tr>
      <w:tr w:rsidR="00257CA2" w:rsidRPr="006670F8" w14:paraId="14F569C3" w14:textId="77777777" w:rsidTr="00B65FAE">
        <w:trPr>
          <w:trHeight w:val="276"/>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2312C" w14:textId="77777777" w:rsidR="00257CA2" w:rsidRPr="0051272C" w:rsidRDefault="00257CA2" w:rsidP="00257CA2">
            <w:pPr>
              <w:rPr>
                <w:rFonts w:ascii="Arial" w:hAnsi="Arial" w:cs="Arial"/>
                <w:color w:val="000000"/>
              </w:rPr>
            </w:pPr>
            <w:r w:rsidRPr="0051272C">
              <w:rPr>
                <w:rFonts w:ascii="Arial" w:hAnsi="Arial" w:cs="Arial"/>
                <w:color w:val="000000"/>
                <w:sz w:val="22"/>
                <w:szCs w:val="22"/>
              </w:rPr>
              <w:t>Independent school fees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52C05" w14:textId="574401E4" w:rsidR="00257CA2" w:rsidRPr="00257CA2" w:rsidRDefault="00257CA2" w:rsidP="00257CA2">
            <w:pPr>
              <w:jc w:val="right"/>
              <w:rPr>
                <w:rFonts w:ascii="Arial" w:hAnsi="Arial" w:cs="Arial"/>
                <w:color w:val="000000"/>
              </w:rPr>
            </w:pPr>
            <w:r w:rsidRPr="00257CA2">
              <w:rPr>
                <w:rFonts w:ascii="Arial" w:hAnsi="Arial" w:cs="Arial"/>
                <w:color w:val="000000"/>
                <w:sz w:val="22"/>
                <w:szCs w:val="22"/>
              </w:rPr>
              <w:t>2.939</w:t>
            </w:r>
          </w:p>
        </w:tc>
        <w:tc>
          <w:tcPr>
            <w:tcW w:w="1341" w:type="dxa"/>
            <w:tcBorders>
              <w:top w:val="single" w:sz="4" w:space="0" w:color="auto"/>
              <w:left w:val="single" w:sz="4" w:space="0" w:color="auto"/>
              <w:bottom w:val="single" w:sz="4" w:space="0" w:color="auto"/>
              <w:right w:val="single" w:sz="4" w:space="0" w:color="auto"/>
            </w:tcBorders>
            <w:vAlign w:val="bottom"/>
          </w:tcPr>
          <w:p w14:paraId="504676C9" w14:textId="67097D8A" w:rsidR="00257CA2" w:rsidRPr="00257CA2" w:rsidRDefault="00257CA2" w:rsidP="00257CA2">
            <w:pPr>
              <w:jc w:val="right"/>
              <w:rPr>
                <w:rFonts w:ascii="Arial" w:hAnsi="Arial" w:cs="Arial"/>
                <w:color w:val="000000"/>
              </w:rPr>
            </w:pPr>
            <w:r w:rsidRPr="00257CA2">
              <w:rPr>
                <w:rFonts w:ascii="Arial" w:hAnsi="Arial" w:cs="Arial"/>
                <w:color w:val="000000"/>
                <w:sz w:val="22"/>
                <w:szCs w:val="22"/>
              </w:rPr>
              <w:t>0.184</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3A47D4FC" w14:textId="77777777" w:rsidR="00257CA2" w:rsidRPr="00411684" w:rsidRDefault="00257CA2" w:rsidP="00257CA2">
            <w:pPr>
              <w:jc w:val="right"/>
              <w:rPr>
                <w:rFonts w:ascii="Arial" w:hAnsi="Arial" w:cs="Arial"/>
                <w:color w:val="000000"/>
              </w:rPr>
            </w:pPr>
          </w:p>
        </w:tc>
        <w:tc>
          <w:tcPr>
            <w:tcW w:w="1132" w:type="dxa"/>
            <w:tcBorders>
              <w:top w:val="single" w:sz="4" w:space="0" w:color="auto"/>
              <w:left w:val="single" w:sz="4" w:space="0" w:color="auto"/>
              <w:bottom w:val="single" w:sz="4" w:space="0" w:color="auto"/>
              <w:right w:val="single" w:sz="4" w:space="0" w:color="auto"/>
            </w:tcBorders>
            <w:vAlign w:val="bottom"/>
          </w:tcPr>
          <w:p w14:paraId="70C2AAD3" w14:textId="36413D52" w:rsidR="00257CA2" w:rsidRPr="00037372" w:rsidRDefault="00257CA2" w:rsidP="00257CA2">
            <w:pPr>
              <w:jc w:val="right"/>
              <w:rPr>
                <w:rFonts w:ascii="Arial" w:hAnsi="Arial" w:cs="Arial"/>
                <w:color w:val="000000"/>
              </w:rPr>
            </w:pPr>
            <w:r>
              <w:rPr>
                <w:rFonts w:ascii="Arial" w:hAnsi="Arial" w:cs="Arial"/>
                <w:color w:val="000000"/>
                <w:sz w:val="22"/>
                <w:szCs w:val="22"/>
              </w:rPr>
              <w:t>2.905</w:t>
            </w:r>
          </w:p>
        </w:tc>
        <w:tc>
          <w:tcPr>
            <w:tcW w:w="1237" w:type="dxa"/>
            <w:tcBorders>
              <w:top w:val="single" w:sz="4" w:space="0" w:color="auto"/>
              <w:left w:val="single" w:sz="4" w:space="0" w:color="auto"/>
              <w:bottom w:val="single" w:sz="4" w:space="0" w:color="auto"/>
              <w:right w:val="single" w:sz="4" w:space="0" w:color="auto"/>
            </w:tcBorders>
            <w:vAlign w:val="bottom"/>
          </w:tcPr>
          <w:p w14:paraId="77205457" w14:textId="13635460" w:rsidR="00257CA2" w:rsidRPr="00037372" w:rsidRDefault="00257CA2" w:rsidP="00257CA2">
            <w:pPr>
              <w:jc w:val="right"/>
              <w:rPr>
                <w:rFonts w:ascii="Arial" w:hAnsi="Arial" w:cs="Arial"/>
                <w:color w:val="000000"/>
              </w:rPr>
            </w:pPr>
            <w:r>
              <w:rPr>
                <w:rFonts w:ascii="Arial" w:hAnsi="Arial" w:cs="Arial"/>
                <w:color w:val="000000"/>
                <w:sz w:val="22"/>
                <w:szCs w:val="22"/>
              </w:rPr>
              <w:t>0.150</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2E5078D4" w14:textId="77777777" w:rsidR="00257CA2" w:rsidRPr="00C02934" w:rsidRDefault="00257CA2" w:rsidP="00257CA2">
            <w:pPr>
              <w:jc w:val="right"/>
              <w:rPr>
                <w:rFonts w:ascii="Arial" w:hAnsi="Arial" w:cs="Arial"/>
                <w:color w:val="000000"/>
              </w:rPr>
            </w:pPr>
          </w:p>
        </w:tc>
        <w:tc>
          <w:tcPr>
            <w:tcW w:w="1017" w:type="dxa"/>
            <w:tcBorders>
              <w:top w:val="single" w:sz="4" w:space="0" w:color="auto"/>
              <w:left w:val="single" w:sz="4" w:space="0" w:color="auto"/>
              <w:bottom w:val="single" w:sz="4" w:space="0" w:color="auto"/>
              <w:right w:val="single" w:sz="4" w:space="0" w:color="auto"/>
            </w:tcBorders>
            <w:vAlign w:val="bottom"/>
          </w:tcPr>
          <w:p w14:paraId="60383428" w14:textId="3F6FA677" w:rsidR="00257CA2" w:rsidRPr="003A2193" w:rsidRDefault="003A2193" w:rsidP="00257CA2">
            <w:pPr>
              <w:jc w:val="right"/>
              <w:rPr>
                <w:rFonts w:ascii="Arial" w:hAnsi="Arial" w:cs="Arial"/>
                <w:color w:val="000000"/>
              </w:rPr>
            </w:pPr>
            <w:r w:rsidRPr="003A2193">
              <w:rPr>
                <w:rFonts w:ascii="Arial" w:hAnsi="Arial" w:cs="Arial"/>
                <w:color w:val="000000"/>
                <w:sz w:val="22"/>
                <w:szCs w:val="22"/>
              </w:rPr>
              <w:t>2.755</w:t>
            </w:r>
          </w:p>
        </w:tc>
        <w:tc>
          <w:tcPr>
            <w:tcW w:w="1237" w:type="dxa"/>
            <w:tcBorders>
              <w:top w:val="single" w:sz="4" w:space="0" w:color="auto"/>
              <w:left w:val="single" w:sz="4" w:space="0" w:color="auto"/>
              <w:bottom w:val="single" w:sz="4" w:space="0" w:color="auto"/>
              <w:right w:val="single" w:sz="4" w:space="0" w:color="auto"/>
            </w:tcBorders>
            <w:vAlign w:val="bottom"/>
          </w:tcPr>
          <w:p w14:paraId="6735C5E2" w14:textId="39520457" w:rsidR="00257CA2" w:rsidRPr="003A2193" w:rsidRDefault="003A2193" w:rsidP="00257CA2">
            <w:pPr>
              <w:jc w:val="right"/>
              <w:rPr>
                <w:rFonts w:ascii="Arial" w:hAnsi="Arial" w:cs="Arial"/>
                <w:color w:val="000000"/>
              </w:rPr>
            </w:pPr>
            <w:r w:rsidRPr="003A2193">
              <w:rPr>
                <w:rFonts w:ascii="Arial" w:hAnsi="Arial" w:cs="Arial"/>
                <w:color w:val="000000"/>
                <w:sz w:val="22"/>
                <w:szCs w:val="22"/>
              </w:rPr>
              <w:t>-</w:t>
            </w:r>
          </w:p>
        </w:tc>
      </w:tr>
      <w:tr w:rsidR="00257CA2" w:rsidRPr="006670F8" w14:paraId="40745BA6" w14:textId="77777777" w:rsidTr="00B65FAE">
        <w:trPr>
          <w:trHeight w:val="276"/>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71E94" w14:textId="77777777" w:rsidR="00257CA2" w:rsidRPr="0051272C" w:rsidRDefault="00257CA2" w:rsidP="00257CA2">
            <w:pPr>
              <w:rPr>
                <w:rFonts w:ascii="Arial" w:hAnsi="Arial" w:cs="Arial"/>
                <w:color w:val="000000"/>
              </w:rPr>
            </w:pPr>
            <w:r w:rsidRPr="0051272C">
              <w:rPr>
                <w:rFonts w:ascii="Arial" w:hAnsi="Arial" w:cs="Arial"/>
                <w:color w:val="000000"/>
                <w:sz w:val="22"/>
                <w:szCs w:val="22"/>
              </w:rPr>
              <w:t>Out of Area top-ups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CEB35" w14:textId="7221FEAE" w:rsidR="00257CA2" w:rsidRPr="00257CA2" w:rsidRDefault="00257CA2" w:rsidP="00257CA2">
            <w:pPr>
              <w:jc w:val="right"/>
              <w:rPr>
                <w:rFonts w:ascii="Arial" w:hAnsi="Arial" w:cs="Arial"/>
                <w:color w:val="000000"/>
              </w:rPr>
            </w:pPr>
            <w:r w:rsidRPr="00257CA2">
              <w:rPr>
                <w:rFonts w:ascii="Arial" w:hAnsi="Arial" w:cs="Arial"/>
                <w:color w:val="000000"/>
                <w:sz w:val="22"/>
                <w:szCs w:val="22"/>
              </w:rPr>
              <w:t>0.437</w:t>
            </w:r>
          </w:p>
        </w:tc>
        <w:tc>
          <w:tcPr>
            <w:tcW w:w="1341" w:type="dxa"/>
            <w:tcBorders>
              <w:top w:val="single" w:sz="4" w:space="0" w:color="auto"/>
              <w:left w:val="single" w:sz="4" w:space="0" w:color="auto"/>
              <w:bottom w:val="single" w:sz="4" w:space="0" w:color="auto"/>
              <w:right w:val="single" w:sz="4" w:space="0" w:color="auto"/>
            </w:tcBorders>
            <w:vAlign w:val="bottom"/>
          </w:tcPr>
          <w:p w14:paraId="6F28291E" w14:textId="1D345A77" w:rsidR="00257CA2" w:rsidRPr="00257CA2" w:rsidRDefault="00257CA2" w:rsidP="00257CA2">
            <w:pPr>
              <w:jc w:val="right"/>
              <w:rPr>
                <w:rFonts w:ascii="Arial" w:hAnsi="Arial" w:cs="Arial"/>
                <w:color w:val="000000"/>
              </w:rPr>
            </w:pPr>
            <w:r w:rsidRPr="00257CA2">
              <w:rPr>
                <w:rFonts w:ascii="Arial" w:hAnsi="Arial" w:cs="Arial"/>
                <w:color w:val="000000"/>
                <w:sz w:val="22"/>
                <w:szCs w:val="22"/>
              </w:rPr>
              <w:t>(0.005)</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72BE4E12" w14:textId="77777777" w:rsidR="00257CA2" w:rsidRPr="00411684" w:rsidRDefault="00257CA2" w:rsidP="00257CA2">
            <w:pPr>
              <w:jc w:val="right"/>
              <w:rPr>
                <w:rFonts w:ascii="Arial" w:hAnsi="Arial" w:cs="Arial"/>
                <w:color w:val="000000"/>
              </w:rPr>
            </w:pPr>
          </w:p>
        </w:tc>
        <w:tc>
          <w:tcPr>
            <w:tcW w:w="1132" w:type="dxa"/>
            <w:tcBorders>
              <w:top w:val="single" w:sz="4" w:space="0" w:color="auto"/>
              <w:left w:val="single" w:sz="4" w:space="0" w:color="auto"/>
              <w:bottom w:val="single" w:sz="4" w:space="0" w:color="auto"/>
              <w:right w:val="single" w:sz="4" w:space="0" w:color="auto"/>
            </w:tcBorders>
            <w:vAlign w:val="bottom"/>
          </w:tcPr>
          <w:p w14:paraId="09C5F138" w14:textId="77777777" w:rsidR="00257CA2" w:rsidRPr="00037372" w:rsidRDefault="00257CA2" w:rsidP="00257CA2">
            <w:pPr>
              <w:jc w:val="right"/>
              <w:rPr>
                <w:rFonts w:ascii="Arial" w:hAnsi="Arial" w:cs="Arial"/>
                <w:color w:val="000000"/>
              </w:rPr>
            </w:pPr>
            <w:r>
              <w:rPr>
                <w:rFonts w:ascii="Arial" w:hAnsi="Arial" w:cs="Arial"/>
                <w:color w:val="000000"/>
                <w:sz w:val="22"/>
                <w:szCs w:val="22"/>
              </w:rPr>
              <w:t>0.417</w:t>
            </w:r>
          </w:p>
        </w:tc>
        <w:tc>
          <w:tcPr>
            <w:tcW w:w="1237" w:type="dxa"/>
            <w:tcBorders>
              <w:top w:val="single" w:sz="4" w:space="0" w:color="auto"/>
              <w:left w:val="single" w:sz="4" w:space="0" w:color="auto"/>
              <w:bottom w:val="single" w:sz="4" w:space="0" w:color="auto"/>
              <w:right w:val="single" w:sz="4" w:space="0" w:color="auto"/>
            </w:tcBorders>
            <w:vAlign w:val="bottom"/>
          </w:tcPr>
          <w:p w14:paraId="09C39B62" w14:textId="77777777" w:rsidR="00257CA2" w:rsidRPr="00037372" w:rsidRDefault="00257CA2" w:rsidP="00257CA2">
            <w:pPr>
              <w:jc w:val="right"/>
              <w:rPr>
                <w:rFonts w:ascii="Arial" w:hAnsi="Arial" w:cs="Arial"/>
                <w:color w:val="000000"/>
              </w:rPr>
            </w:pPr>
            <w:r>
              <w:rPr>
                <w:rFonts w:ascii="Arial" w:hAnsi="Arial" w:cs="Arial"/>
                <w:color w:val="000000"/>
                <w:sz w:val="22"/>
                <w:szCs w:val="22"/>
              </w:rPr>
              <w:t>(0.025)</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302CAE42" w14:textId="77777777" w:rsidR="00257CA2" w:rsidRPr="00C02934" w:rsidRDefault="00257CA2" w:rsidP="00257CA2">
            <w:pPr>
              <w:jc w:val="right"/>
              <w:rPr>
                <w:rFonts w:ascii="Arial" w:hAnsi="Arial" w:cs="Arial"/>
                <w:color w:val="000000"/>
              </w:rPr>
            </w:pPr>
          </w:p>
        </w:tc>
        <w:tc>
          <w:tcPr>
            <w:tcW w:w="1017" w:type="dxa"/>
            <w:tcBorders>
              <w:top w:val="single" w:sz="4" w:space="0" w:color="auto"/>
              <w:left w:val="single" w:sz="4" w:space="0" w:color="auto"/>
              <w:bottom w:val="single" w:sz="4" w:space="0" w:color="auto"/>
              <w:right w:val="single" w:sz="4" w:space="0" w:color="auto"/>
            </w:tcBorders>
            <w:vAlign w:val="bottom"/>
          </w:tcPr>
          <w:p w14:paraId="3D25E189" w14:textId="1A7D40AB" w:rsidR="00257CA2" w:rsidRPr="003A2193" w:rsidRDefault="003A2193" w:rsidP="00257CA2">
            <w:pPr>
              <w:jc w:val="right"/>
              <w:rPr>
                <w:rFonts w:ascii="Arial" w:hAnsi="Arial" w:cs="Arial"/>
                <w:color w:val="000000"/>
              </w:rPr>
            </w:pPr>
            <w:r w:rsidRPr="003A2193">
              <w:rPr>
                <w:rFonts w:ascii="Arial" w:hAnsi="Arial" w:cs="Arial"/>
                <w:color w:val="000000"/>
                <w:sz w:val="22"/>
                <w:szCs w:val="22"/>
              </w:rPr>
              <w:t>0.397</w:t>
            </w:r>
          </w:p>
        </w:tc>
        <w:tc>
          <w:tcPr>
            <w:tcW w:w="1237" w:type="dxa"/>
            <w:tcBorders>
              <w:top w:val="single" w:sz="4" w:space="0" w:color="auto"/>
              <w:left w:val="single" w:sz="4" w:space="0" w:color="auto"/>
              <w:bottom w:val="single" w:sz="4" w:space="0" w:color="auto"/>
              <w:right w:val="single" w:sz="4" w:space="0" w:color="auto"/>
            </w:tcBorders>
            <w:vAlign w:val="bottom"/>
          </w:tcPr>
          <w:p w14:paraId="714A0A27" w14:textId="5226A966" w:rsidR="00257CA2" w:rsidRPr="003A2193" w:rsidRDefault="003A2193" w:rsidP="00257CA2">
            <w:pPr>
              <w:jc w:val="right"/>
              <w:rPr>
                <w:rFonts w:ascii="Arial" w:hAnsi="Arial" w:cs="Arial"/>
                <w:color w:val="000000"/>
              </w:rPr>
            </w:pPr>
            <w:r w:rsidRPr="003A2193">
              <w:rPr>
                <w:rFonts w:ascii="Arial" w:hAnsi="Arial" w:cs="Arial"/>
                <w:color w:val="000000"/>
                <w:sz w:val="22"/>
                <w:szCs w:val="22"/>
              </w:rPr>
              <w:t>(0.045)</w:t>
            </w:r>
          </w:p>
        </w:tc>
      </w:tr>
      <w:tr w:rsidR="00257CA2" w:rsidRPr="006670F8" w14:paraId="36406302" w14:textId="77777777" w:rsidTr="00B65FAE">
        <w:trPr>
          <w:trHeight w:val="276"/>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CD548" w14:textId="77777777" w:rsidR="00257CA2" w:rsidRPr="0051272C" w:rsidRDefault="00257CA2" w:rsidP="00257CA2">
            <w:pPr>
              <w:rPr>
                <w:rFonts w:ascii="Arial" w:hAnsi="Arial" w:cs="Arial"/>
                <w:color w:val="000000"/>
              </w:rPr>
            </w:pPr>
            <w:r w:rsidRPr="0051272C">
              <w:rPr>
                <w:rFonts w:ascii="Arial" w:hAnsi="Arial" w:cs="Arial"/>
                <w:color w:val="000000"/>
                <w:sz w:val="22"/>
                <w:szCs w:val="22"/>
              </w:rPr>
              <w:t>Top-up funding and support</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F0D29" w14:textId="3A630B9B" w:rsidR="00257CA2" w:rsidRPr="00257CA2" w:rsidRDefault="00257CA2" w:rsidP="00257CA2">
            <w:pPr>
              <w:jc w:val="right"/>
              <w:rPr>
                <w:rFonts w:ascii="Arial" w:hAnsi="Arial" w:cs="Arial"/>
                <w:color w:val="000000"/>
              </w:rPr>
            </w:pPr>
            <w:r w:rsidRPr="00257CA2">
              <w:rPr>
                <w:rFonts w:ascii="Arial" w:hAnsi="Arial" w:cs="Arial"/>
                <w:color w:val="000000"/>
                <w:sz w:val="22"/>
                <w:szCs w:val="22"/>
              </w:rPr>
              <w:t>4.600</w:t>
            </w:r>
          </w:p>
        </w:tc>
        <w:tc>
          <w:tcPr>
            <w:tcW w:w="1341" w:type="dxa"/>
            <w:tcBorders>
              <w:top w:val="single" w:sz="4" w:space="0" w:color="auto"/>
              <w:left w:val="single" w:sz="4" w:space="0" w:color="auto"/>
              <w:bottom w:val="single" w:sz="4" w:space="0" w:color="auto"/>
              <w:right w:val="single" w:sz="4" w:space="0" w:color="auto"/>
            </w:tcBorders>
            <w:vAlign w:val="bottom"/>
          </w:tcPr>
          <w:p w14:paraId="0E68CE37" w14:textId="21CE7926" w:rsidR="00257CA2" w:rsidRPr="00257CA2" w:rsidRDefault="003A2193" w:rsidP="00257CA2">
            <w:pPr>
              <w:jc w:val="right"/>
              <w:rPr>
                <w:rFonts w:ascii="Arial" w:hAnsi="Arial" w:cs="Arial"/>
                <w:color w:val="000000"/>
              </w:rPr>
            </w:pPr>
            <w:r>
              <w:rPr>
                <w:rFonts w:ascii="Arial" w:hAnsi="Arial" w:cs="Arial"/>
                <w:color w:val="000000"/>
                <w:sz w:val="22"/>
                <w:szCs w:val="22"/>
              </w:rPr>
              <w:t>(0.056)</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65BBD23E" w14:textId="77777777" w:rsidR="00257CA2" w:rsidRPr="00411684" w:rsidRDefault="00257CA2" w:rsidP="00257CA2">
            <w:pPr>
              <w:jc w:val="right"/>
              <w:rPr>
                <w:rFonts w:ascii="Arial" w:hAnsi="Arial" w:cs="Arial"/>
                <w:color w:val="000000"/>
              </w:rPr>
            </w:pPr>
          </w:p>
        </w:tc>
        <w:tc>
          <w:tcPr>
            <w:tcW w:w="1132" w:type="dxa"/>
            <w:tcBorders>
              <w:top w:val="single" w:sz="4" w:space="0" w:color="auto"/>
              <w:left w:val="single" w:sz="4" w:space="0" w:color="auto"/>
              <w:bottom w:val="single" w:sz="4" w:space="0" w:color="auto"/>
              <w:right w:val="single" w:sz="4" w:space="0" w:color="auto"/>
            </w:tcBorders>
            <w:vAlign w:val="bottom"/>
          </w:tcPr>
          <w:p w14:paraId="717D928D" w14:textId="77777777" w:rsidR="00257CA2" w:rsidRPr="00037372" w:rsidRDefault="00257CA2" w:rsidP="00257CA2">
            <w:pPr>
              <w:jc w:val="right"/>
              <w:rPr>
                <w:rFonts w:ascii="Arial" w:hAnsi="Arial" w:cs="Arial"/>
                <w:color w:val="000000"/>
              </w:rPr>
            </w:pPr>
            <w:r>
              <w:rPr>
                <w:rFonts w:ascii="Arial" w:hAnsi="Arial" w:cs="Arial"/>
                <w:color w:val="000000"/>
                <w:sz w:val="22"/>
                <w:szCs w:val="22"/>
              </w:rPr>
              <w:t>4.512</w:t>
            </w:r>
          </w:p>
        </w:tc>
        <w:tc>
          <w:tcPr>
            <w:tcW w:w="1237" w:type="dxa"/>
            <w:tcBorders>
              <w:top w:val="single" w:sz="4" w:space="0" w:color="auto"/>
              <w:left w:val="single" w:sz="4" w:space="0" w:color="auto"/>
              <w:bottom w:val="single" w:sz="4" w:space="0" w:color="auto"/>
              <w:right w:val="single" w:sz="4" w:space="0" w:color="auto"/>
            </w:tcBorders>
            <w:vAlign w:val="bottom"/>
          </w:tcPr>
          <w:p w14:paraId="796C18FD" w14:textId="77777777" w:rsidR="00257CA2" w:rsidRPr="00037372" w:rsidRDefault="00257CA2" w:rsidP="00257CA2">
            <w:pPr>
              <w:jc w:val="right"/>
              <w:rPr>
                <w:rFonts w:ascii="Arial" w:hAnsi="Arial" w:cs="Arial"/>
                <w:color w:val="000000"/>
              </w:rPr>
            </w:pPr>
            <w:r>
              <w:rPr>
                <w:rFonts w:ascii="Arial" w:hAnsi="Arial" w:cs="Arial"/>
                <w:color w:val="000000"/>
                <w:sz w:val="22"/>
                <w:szCs w:val="22"/>
              </w:rPr>
              <w:t>(0.144)</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4307A629" w14:textId="77777777" w:rsidR="00257CA2" w:rsidRPr="00C02934" w:rsidRDefault="00257CA2" w:rsidP="00257CA2">
            <w:pPr>
              <w:jc w:val="right"/>
              <w:rPr>
                <w:rFonts w:ascii="Arial" w:hAnsi="Arial" w:cs="Arial"/>
                <w:color w:val="000000"/>
              </w:rPr>
            </w:pPr>
          </w:p>
        </w:tc>
        <w:tc>
          <w:tcPr>
            <w:tcW w:w="1017" w:type="dxa"/>
            <w:tcBorders>
              <w:top w:val="single" w:sz="4" w:space="0" w:color="auto"/>
              <w:left w:val="single" w:sz="4" w:space="0" w:color="auto"/>
              <w:bottom w:val="single" w:sz="4" w:space="0" w:color="auto"/>
              <w:right w:val="single" w:sz="4" w:space="0" w:color="auto"/>
            </w:tcBorders>
            <w:vAlign w:val="bottom"/>
          </w:tcPr>
          <w:p w14:paraId="177E3D4D" w14:textId="2717D098" w:rsidR="00257CA2" w:rsidRPr="003A2193" w:rsidRDefault="003A2193" w:rsidP="00257CA2">
            <w:pPr>
              <w:jc w:val="right"/>
              <w:rPr>
                <w:rFonts w:ascii="Arial" w:hAnsi="Arial" w:cs="Arial"/>
                <w:color w:val="000000"/>
              </w:rPr>
            </w:pPr>
            <w:r w:rsidRPr="003A2193">
              <w:rPr>
                <w:rFonts w:ascii="Arial" w:hAnsi="Arial" w:cs="Arial"/>
                <w:color w:val="000000"/>
                <w:sz w:val="22"/>
                <w:szCs w:val="22"/>
              </w:rPr>
              <w:t>4.421</w:t>
            </w:r>
          </w:p>
        </w:tc>
        <w:tc>
          <w:tcPr>
            <w:tcW w:w="1237" w:type="dxa"/>
            <w:tcBorders>
              <w:top w:val="single" w:sz="4" w:space="0" w:color="auto"/>
              <w:left w:val="single" w:sz="4" w:space="0" w:color="auto"/>
              <w:bottom w:val="single" w:sz="4" w:space="0" w:color="auto"/>
              <w:right w:val="single" w:sz="4" w:space="0" w:color="auto"/>
            </w:tcBorders>
            <w:vAlign w:val="bottom"/>
          </w:tcPr>
          <w:p w14:paraId="6102749C" w14:textId="6D245679" w:rsidR="00257CA2" w:rsidRPr="003A2193" w:rsidRDefault="003A2193" w:rsidP="003A2193">
            <w:pPr>
              <w:jc w:val="right"/>
              <w:rPr>
                <w:rFonts w:ascii="Arial" w:hAnsi="Arial" w:cs="Arial"/>
                <w:color w:val="000000"/>
              </w:rPr>
            </w:pPr>
            <w:r w:rsidRPr="003A2193">
              <w:rPr>
                <w:rFonts w:ascii="Arial" w:hAnsi="Arial" w:cs="Arial"/>
                <w:color w:val="000000"/>
                <w:sz w:val="22"/>
                <w:szCs w:val="22"/>
              </w:rPr>
              <w:t>(0.</w:t>
            </w:r>
            <w:r>
              <w:rPr>
                <w:rFonts w:ascii="Arial" w:hAnsi="Arial" w:cs="Arial"/>
                <w:color w:val="000000"/>
                <w:sz w:val="22"/>
                <w:szCs w:val="22"/>
              </w:rPr>
              <w:t>235</w:t>
            </w:r>
            <w:r w:rsidRPr="003A2193">
              <w:rPr>
                <w:rFonts w:ascii="Arial" w:hAnsi="Arial" w:cs="Arial"/>
                <w:color w:val="000000"/>
                <w:sz w:val="22"/>
                <w:szCs w:val="22"/>
              </w:rPr>
              <w:t>)</w:t>
            </w:r>
          </w:p>
        </w:tc>
      </w:tr>
      <w:tr w:rsidR="00257CA2" w:rsidRPr="006670F8" w14:paraId="71F786D7" w14:textId="77777777" w:rsidTr="00B65FAE">
        <w:trPr>
          <w:trHeight w:val="276"/>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31180" w14:textId="77777777" w:rsidR="00257CA2" w:rsidRPr="0051272C" w:rsidRDefault="00257CA2" w:rsidP="00257CA2">
            <w:pPr>
              <w:rPr>
                <w:rFonts w:ascii="Arial" w:hAnsi="Arial" w:cs="Arial"/>
                <w:color w:val="000000"/>
              </w:rPr>
            </w:pPr>
            <w:r>
              <w:rPr>
                <w:rFonts w:ascii="Arial" w:hAnsi="Arial" w:cs="Arial"/>
                <w:color w:val="000000"/>
                <w:sz w:val="22"/>
                <w:szCs w:val="22"/>
              </w:rPr>
              <w:t>Horizon School and AP</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34A2B" w14:textId="40203882" w:rsidR="00257CA2" w:rsidRPr="00037372" w:rsidRDefault="00257CA2" w:rsidP="00257CA2">
            <w:pPr>
              <w:jc w:val="right"/>
              <w:rPr>
                <w:rFonts w:ascii="Arial" w:hAnsi="Arial" w:cs="Arial"/>
                <w:color w:val="000000"/>
              </w:rPr>
            </w:pPr>
            <w:r>
              <w:rPr>
                <w:rFonts w:ascii="Arial" w:hAnsi="Arial" w:cs="Arial"/>
                <w:color w:val="000000"/>
                <w:sz w:val="22"/>
                <w:szCs w:val="22"/>
              </w:rPr>
              <w:t>0.745</w:t>
            </w:r>
          </w:p>
        </w:tc>
        <w:tc>
          <w:tcPr>
            <w:tcW w:w="1341" w:type="dxa"/>
            <w:tcBorders>
              <w:top w:val="single" w:sz="4" w:space="0" w:color="auto"/>
              <w:left w:val="single" w:sz="4" w:space="0" w:color="auto"/>
              <w:bottom w:val="single" w:sz="4" w:space="0" w:color="auto"/>
              <w:right w:val="single" w:sz="4" w:space="0" w:color="auto"/>
            </w:tcBorders>
            <w:vAlign w:val="bottom"/>
          </w:tcPr>
          <w:p w14:paraId="7F213852" w14:textId="2F24B742" w:rsidR="00257CA2" w:rsidRPr="00037372" w:rsidRDefault="00257CA2" w:rsidP="00257CA2">
            <w:pPr>
              <w:jc w:val="right"/>
              <w:rPr>
                <w:rFonts w:ascii="Arial" w:hAnsi="Arial" w:cs="Arial"/>
                <w:color w:val="000000"/>
              </w:rPr>
            </w:pPr>
            <w:r>
              <w:rPr>
                <w:rFonts w:ascii="Arial" w:hAnsi="Arial" w:cs="Arial"/>
                <w:color w:val="000000"/>
                <w:sz w:val="22"/>
                <w:szCs w:val="22"/>
              </w:rPr>
              <w:t>0.028</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387AA6CA" w14:textId="77777777" w:rsidR="00257CA2" w:rsidRPr="00411684" w:rsidRDefault="00257CA2" w:rsidP="00257CA2">
            <w:pPr>
              <w:jc w:val="right"/>
              <w:rPr>
                <w:rFonts w:ascii="Arial" w:hAnsi="Arial" w:cs="Arial"/>
                <w:color w:val="000000"/>
              </w:rPr>
            </w:pPr>
          </w:p>
        </w:tc>
        <w:tc>
          <w:tcPr>
            <w:tcW w:w="1132" w:type="dxa"/>
            <w:tcBorders>
              <w:top w:val="single" w:sz="4" w:space="0" w:color="auto"/>
              <w:left w:val="single" w:sz="4" w:space="0" w:color="auto"/>
              <w:bottom w:val="single" w:sz="4" w:space="0" w:color="auto"/>
              <w:right w:val="single" w:sz="4" w:space="0" w:color="auto"/>
            </w:tcBorders>
            <w:vAlign w:val="bottom"/>
          </w:tcPr>
          <w:p w14:paraId="545D56BE" w14:textId="77777777" w:rsidR="00257CA2" w:rsidRPr="00037372" w:rsidRDefault="00257CA2" w:rsidP="00257CA2">
            <w:pPr>
              <w:jc w:val="right"/>
              <w:rPr>
                <w:rFonts w:ascii="Arial" w:hAnsi="Arial" w:cs="Arial"/>
                <w:color w:val="000000"/>
              </w:rPr>
            </w:pPr>
            <w:r>
              <w:rPr>
                <w:rFonts w:ascii="Arial" w:hAnsi="Arial" w:cs="Arial"/>
                <w:color w:val="000000"/>
                <w:sz w:val="22"/>
                <w:szCs w:val="22"/>
              </w:rPr>
              <w:t>0.745</w:t>
            </w:r>
          </w:p>
        </w:tc>
        <w:tc>
          <w:tcPr>
            <w:tcW w:w="1237" w:type="dxa"/>
            <w:tcBorders>
              <w:top w:val="single" w:sz="4" w:space="0" w:color="auto"/>
              <w:left w:val="single" w:sz="4" w:space="0" w:color="auto"/>
              <w:bottom w:val="single" w:sz="4" w:space="0" w:color="auto"/>
              <w:right w:val="single" w:sz="4" w:space="0" w:color="auto"/>
            </w:tcBorders>
            <w:vAlign w:val="bottom"/>
          </w:tcPr>
          <w:p w14:paraId="1BD59C2E" w14:textId="77777777" w:rsidR="00257CA2" w:rsidRPr="00037372" w:rsidRDefault="00257CA2" w:rsidP="00257CA2">
            <w:pPr>
              <w:jc w:val="right"/>
              <w:rPr>
                <w:rFonts w:ascii="Arial" w:hAnsi="Arial" w:cs="Arial"/>
                <w:color w:val="000000"/>
              </w:rPr>
            </w:pPr>
            <w:r>
              <w:rPr>
                <w:rFonts w:ascii="Arial" w:hAnsi="Arial" w:cs="Arial"/>
                <w:color w:val="000000"/>
                <w:sz w:val="22"/>
                <w:szCs w:val="22"/>
              </w:rPr>
              <w:t>0.028</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6CD54C6D" w14:textId="77777777" w:rsidR="00257CA2" w:rsidRPr="00C02934" w:rsidRDefault="00257CA2" w:rsidP="00257CA2">
            <w:pPr>
              <w:jc w:val="right"/>
              <w:rPr>
                <w:rFonts w:ascii="Arial" w:hAnsi="Arial" w:cs="Arial"/>
                <w:color w:val="000000"/>
              </w:rPr>
            </w:pPr>
          </w:p>
        </w:tc>
        <w:tc>
          <w:tcPr>
            <w:tcW w:w="1017" w:type="dxa"/>
            <w:tcBorders>
              <w:top w:val="single" w:sz="4" w:space="0" w:color="auto"/>
              <w:left w:val="single" w:sz="4" w:space="0" w:color="auto"/>
              <w:bottom w:val="single" w:sz="4" w:space="0" w:color="auto"/>
              <w:right w:val="single" w:sz="4" w:space="0" w:color="auto"/>
            </w:tcBorders>
            <w:vAlign w:val="bottom"/>
          </w:tcPr>
          <w:p w14:paraId="4DE1E8E2" w14:textId="506DCC59" w:rsidR="00257CA2" w:rsidRPr="003A2193" w:rsidRDefault="00257CA2" w:rsidP="00257CA2">
            <w:pPr>
              <w:jc w:val="right"/>
              <w:rPr>
                <w:rFonts w:ascii="Arial" w:hAnsi="Arial" w:cs="Arial"/>
                <w:color w:val="000000"/>
              </w:rPr>
            </w:pPr>
            <w:r>
              <w:rPr>
                <w:rFonts w:ascii="Arial" w:hAnsi="Arial" w:cs="Arial"/>
                <w:color w:val="000000"/>
                <w:sz w:val="22"/>
                <w:szCs w:val="22"/>
              </w:rPr>
              <w:t>0.745</w:t>
            </w:r>
          </w:p>
        </w:tc>
        <w:tc>
          <w:tcPr>
            <w:tcW w:w="1237" w:type="dxa"/>
            <w:tcBorders>
              <w:top w:val="single" w:sz="4" w:space="0" w:color="auto"/>
              <w:left w:val="single" w:sz="4" w:space="0" w:color="auto"/>
              <w:bottom w:val="single" w:sz="4" w:space="0" w:color="auto"/>
              <w:right w:val="single" w:sz="4" w:space="0" w:color="auto"/>
            </w:tcBorders>
            <w:vAlign w:val="bottom"/>
          </w:tcPr>
          <w:p w14:paraId="6EB00688" w14:textId="1F45517E" w:rsidR="00257CA2" w:rsidRPr="003A2193" w:rsidRDefault="00257CA2" w:rsidP="00257CA2">
            <w:pPr>
              <w:jc w:val="right"/>
              <w:rPr>
                <w:rFonts w:ascii="Arial" w:hAnsi="Arial" w:cs="Arial"/>
                <w:color w:val="000000"/>
              </w:rPr>
            </w:pPr>
            <w:r>
              <w:rPr>
                <w:rFonts w:ascii="Arial" w:hAnsi="Arial" w:cs="Arial"/>
                <w:color w:val="000000"/>
                <w:sz w:val="22"/>
                <w:szCs w:val="22"/>
              </w:rPr>
              <w:t>0.028</w:t>
            </w:r>
          </w:p>
        </w:tc>
      </w:tr>
      <w:tr w:rsidR="00257CA2" w:rsidRPr="006670F8" w14:paraId="11D26219" w14:textId="77777777" w:rsidTr="00B65FAE">
        <w:trPr>
          <w:trHeight w:val="276"/>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CD4A0" w14:textId="77777777" w:rsidR="00257CA2" w:rsidRPr="0051272C" w:rsidRDefault="00257CA2" w:rsidP="00257CA2">
            <w:pPr>
              <w:rPr>
                <w:rFonts w:ascii="Arial" w:hAnsi="Arial" w:cs="Arial"/>
                <w:color w:val="000000"/>
              </w:rPr>
            </w:pPr>
            <w:r>
              <w:rPr>
                <w:rFonts w:ascii="Arial" w:hAnsi="Arial" w:cs="Arial"/>
                <w:color w:val="000000"/>
                <w:sz w:val="22"/>
                <w:szCs w:val="22"/>
              </w:rPr>
              <w:t>SEMH Free School</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5D4F7" w14:textId="3D085BEA" w:rsidR="00257CA2" w:rsidRPr="00C02934" w:rsidRDefault="00257CA2" w:rsidP="00257CA2">
            <w:pPr>
              <w:jc w:val="right"/>
              <w:rPr>
                <w:rFonts w:ascii="Arial" w:hAnsi="Arial" w:cs="Arial"/>
                <w:color w:val="000000"/>
              </w:rPr>
            </w:pPr>
            <w:r w:rsidRPr="00C02934">
              <w:rPr>
                <w:rFonts w:ascii="Arial" w:hAnsi="Arial" w:cs="Arial"/>
                <w:color w:val="000000"/>
                <w:sz w:val="22"/>
                <w:szCs w:val="22"/>
              </w:rPr>
              <w:t>0.001</w:t>
            </w:r>
          </w:p>
        </w:tc>
        <w:tc>
          <w:tcPr>
            <w:tcW w:w="1341" w:type="dxa"/>
            <w:tcBorders>
              <w:top w:val="single" w:sz="4" w:space="0" w:color="auto"/>
              <w:left w:val="single" w:sz="4" w:space="0" w:color="auto"/>
              <w:bottom w:val="single" w:sz="4" w:space="0" w:color="auto"/>
              <w:right w:val="single" w:sz="4" w:space="0" w:color="auto"/>
            </w:tcBorders>
            <w:vAlign w:val="bottom"/>
          </w:tcPr>
          <w:p w14:paraId="0077F594" w14:textId="04BAFC53" w:rsidR="00257CA2" w:rsidRPr="00C02934" w:rsidRDefault="00257CA2" w:rsidP="00257CA2">
            <w:pPr>
              <w:jc w:val="right"/>
              <w:rPr>
                <w:rFonts w:ascii="Arial" w:hAnsi="Arial" w:cs="Arial"/>
                <w:color w:val="000000"/>
              </w:rPr>
            </w:pPr>
            <w:r>
              <w:rPr>
                <w:rFonts w:ascii="Arial" w:hAnsi="Arial" w:cs="Arial"/>
                <w:color w:val="000000"/>
                <w:sz w:val="22"/>
                <w:szCs w:val="22"/>
              </w:rPr>
              <w:t>(0.062)</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1514ED2F" w14:textId="77777777" w:rsidR="00257CA2" w:rsidRPr="00411684" w:rsidRDefault="00257CA2" w:rsidP="00257CA2">
            <w:pPr>
              <w:jc w:val="right"/>
              <w:rPr>
                <w:rFonts w:ascii="Arial" w:hAnsi="Arial" w:cs="Arial"/>
                <w:color w:val="000000"/>
              </w:rPr>
            </w:pPr>
          </w:p>
        </w:tc>
        <w:tc>
          <w:tcPr>
            <w:tcW w:w="1132" w:type="dxa"/>
            <w:tcBorders>
              <w:top w:val="single" w:sz="4" w:space="0" w:color="auto"/>
              <w:left w:val="single" w:sz="4" w:space="0" w:color="auto"/>
              <w:bottom w:val="single" w:sz="4" w:space="0" w:color="auto"/>
              <w:right w:val="single" w:sz="4" w:space="0" w:color="auto"/>
            </w:tcBorders>
            <w:vAlign w:val="bottom"/>
          </w:tcPr>
          <w:p w14:paraId="5EDBE350" w14:textId="77777777" w:rsidR="00257CA2" w:rsidRPr="00C02934" w:rsidRDefault="00257CA2" w:rsidP="00257CA2">
            <w:pPr>
              <w:jc w:val="right"/>
              <w:rPr>
                <w:rFonts w:ascii="Arial" w:hAnsi="Arial" w:cs="Arial"/>
                <w:color w:val="000000"/>
              </w:rPr>
            </w:pPr>
            <w:r w:rsidRPr="00C02934">
              <w:rPr>
                <w:rFonts w:ascii="Arial" w:hAnsi="Arial" w:cs="Arial"/>
                <w:color w:val="000000"/>
                <w:sz w:val="22"/>
                <w:szCs w:val="22"/>
              </w:rPr>
              <w:t>0.001</w:t>
            </w:r>
          </w:p>
        </w:tc>
        <w:tc>
          <w:tcPr>
            <w:tcW w:w="1237" w:type="dxa"/>
            <w:tcBorders>
              <w:top w:val="single" w:sz="4" w:space="0" w:color="auto"/>
              <w:left w:val="single" w:sz="4" w:space="0" w:color="auto"/>
              <w:bottom w:val="single" w:sz="4" w:space="0" w:color="auto"/>
              <w:right w:val="single" w:sz="4" w:space="0" w:color="auto"/>
            </w:tcBorders>
            <w:vAlign w:val="bottom"/>
          </w:tcPr>
          <w:p w14:paraId="34AC6518" w14:textId="77777777" w:rsidR="00257CA2" w:rsidRPr="00C02934" w:rsidRDefault="00257CA2" w:rsidP="00257CA2">
            <w:pPr>
              <w:jc w:val="right"/>
              <w:rPr>
                <w:rFonts w:ascii="Arial" w:hAnsi="Arial" w:cs="Arial"/>
                <w:color w:val="000000"/>
              </w:rPr>
            </w:pPr>
            <w:r>
              <w:rPr>
                <w:rFonts w:ascii="Arial" w:hAnsi="Arial" w:cs="Arial"/>
                <w:color w:val="000000"/>
                <w:sz w:val="22"/>
                <w:szCs w:val="22"/>
              </w:rPr>
              <w:t>(0.062)</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54AF109A" w14:textId="77777777" w:rsidR="00257CA2" w:rsidRPr="00C02934" w:rsidRDefault="00257CA2" w:rsidP="00257CA2">
            <w:pPr>
              <w:jc w:val="right"/>
              <w:rPr>
                <w:rFonts w:ascii="Arial" w:hAnsi="Arial" w:cs="Arial"/>
                <w:color w:val="000000"/>
              </w:rPr>
            </w:pPr>
          </w:p>
        </w:tc>
        <w:tc>
          <w:tcPr>
            <w:tcW w:w="1017" w:type="dxa"/>
            <w:tcBorders>
              <w:top w:val="single" w:sz="4" w:space="0" w:color="auto"/>
              <w:left w:val="single" w:sz="4" w:space="0" w:color="auto"/>
              <w:bottom w:val="single" w:sz="4" w:space="0" w:color="auto"/>
              <w:right w:val="single" w:sz="4" w:space="0" w:color="auto"/>
            </w:tcBorders>
            <w:vAlign w:val="bottom"/>
          </w:tcPr>
          <w:p w14:paraId="5B1CB757" w14:textId="4DA01EAF" w:rsidR="00257CA2" w:rsidRPr="003A2193" w:rsidRDefault="00257CA2" w:rsidP="00257CA2">
            <w:pPr>
              <w:jc w:val="right"/>
              <w:rPr>
                <w:rFonts w:ascii="Arial" w:hAnsi="Arial" w:cs="Arial"/>
                <w:color w:val="000000"/>
              </w:rPr>
            </w:pPr>
            <w:r w:rsidRPr="00C02934">
              <w:rPr>
                <w:rFonts w:ascii="Arial" w:hAnsi="Arial" w:cs="Arial"/>
                <w:color w:val="000000"/>
                <w:sz w:val="22"/>
                <w:szCs w:val="22"/>
              </w:rPr>
              <w:t>0.001</w:t>
            </w:r>
          </w:p>
        </w:tc>
        <w:tc>
          <w:tcPr>
            <w:tcW w:w="1237" w:type="dxa"/>
            <w:tcBorders>
              <w:top w:val="single" w:sz="4" w:space="0" w:color="auto"/>
              <w:left w:val="single" w:sz="4" w:space="0" w:color="auto"/>
              <w:bottom w:val="single" w:sz="4" w:space="0" w:color="auto"/>
              <w:right w:val="single" w:sz="4" w:space="0" w:color="auto"/>
            </w:tcBorders>
            <w:vAlign w:val="bottom"/>
          </w:tcPr>
          <w:p w14:paraId="77B264CF" w14:textId="12C5ED6E" w:rsidR="00257CA2" w:rsidRPr="003A2193" w:rsidRDefault="00257CA2" w:rsidP="00257CA2">
            <w:pPr>
              <w:jc w:val="right"/>
              <w:rPr>
                <w:rFonts w:ascii="Arial" w:hAnsi="Arial" w:cs="Arial"/>
                <w:color w:val="000000"/>
              </w:rPr>
            </w:pPr>
            <w:r>
              <w:rPr>
                <w:rFonts w:ascii="Arial" w:hAnsi="Arial" w:cs="Arial"/>
                <w:color w:val="000000"/>
                <w:sz w:val="22"/>
                <w:szCs w:val="22"/>
              </w:rPr>
              <w:t>(0.062)</w:t>
            </w:r>
          </w:p>
        </w:tc>
      </w:tr>
      <w:tr w:rsidR="00257CA2" w:rsidRPr="006670F8" w14:paraId="740EDC45" w14:textId="77777777" w:rsidTr="00B65FAE">
        <w:trPr>
          <w:trHeight w:val="276"/>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A072A" w14:textId="77777777" w:rsidR="00257CA2" w:rsidRPr="0051272C" w:rsidRDefault="00257CA2" w:rsidP="00257CA2">
            <w:pPr>
              <w:rPr>
                <w:rFonts w:ascii="Arial" w:hAnsi="Arial" w:cs="Arial"/>
                <w:color w:val="000000"/>
              </w:rPr>
            </w:pPr>
            <w:r w:rsidRPr="0051272C">
              <w:rPr>
                <w:rFonts w:ascii="Arial" w:hAnsi="Arial" w:cs="Arial"/>
                <w:color w:val="000000"/>
                <w:sz w:val="22"/>
                <w:szCs w:val="22"/>
              </w:rPr>
              <w:t>Post-16 top-ups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1A4EF" w14:textId="7BB62C52" w:rsidR="00257CA2" w:rsidRPr="00C02934" w:rsidRDefault="00257CA2" w:rsidP="00257CA2">
            <w:pPr>
              <w:jc w:val="right"/>
              <w:rPr>
                <w:rFonts w:ascii="Arial" w:hAnsi="Arial" w:cs="Arial"/>
                <w:color w:val="000000"/>
              </w:rPr>
            </w:pPr>
            <w:r>
              <w:rPr>
                <w:rFonts w:ascii="Arial" w:hAnsi="Arial" w:cs="Arial"/>
                <w:color w:val="000000"/>
                <w:sz w:val="22"/>
                <w:szCs w:val="22"/>
              </w:rPr>
              <w:t>0.833</w:t>
            </w:r>
          </w:p>
        </w:tc>
        <w:tc>
          <w:tcPr>
            <w:tcW w:w="1341" w:type="dxa"/>
            <w:tcBorders>
              <w:top w:val="single" w:sz="4" w:space="0" w:color="auto"/>
              <w:left w:val="single" w:sz="4" w:space="0" w:color="auto"/>
              <w:bottom w:val="single" w:sz="4" w:space="0" w:color="auto"/>
              <w:right w:val="single" w:sz="4" w:space="0" w:color="auto"/>
            </w:tcBorders>
            <w:vAlign w:val="bottom"/>
          </w:tcPr>
          <w:p w14:paraId="75E13405" w14:textId="16CF324A" w:rsidR="00257CA2" w:rsidRPr="00C02934" w:rsidRDefault="00257CA2" w:rsidP="00257CA2">
            <w:pPr>
              <w:jc w:val="right"/>
              <w:rPr>
                <w:rFonts w:ascii="Arial" w:hAnsi="Arial" w:cs="Arial"/>
                <w:color w:val="000000"/>
              </w:rPr>
            </w:pPr>
            <w:r>
              <w:rPr>
                <w:rFonts w:ascii="Arial" w:hAnsi="Arial" w:cs="Arial"/>
                <w:color w:val="000000"/>
                <w:sz w:val="22"/>
                <w:szCs w:val="22"/>
              </w:rPr>
              <w:t>0.113</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5B95A3CB" w14:textId="77777777" w:rsidR="00257CA2" w:rsidRPr="00411684" w:rsidRDefault="00257CA2" w:rsidP="00257CA2">
            <w:pPr>
              <w:jc w:val="right"/>
              <w:rPr>
                <w:rFonts w:ascii="Arial" w:hAnsi="Arial" w:cs="Arial"/>
                <w:color w:val="000000"/>
              </w:rPr>
            </w:pPr>
          </w:p>
        </w:tc>
        <w:tc>
          <w:tcPr>
            <w:tcW w:w="1132" w:type="dxa"/>
            <w:tcBorders>
              <w:top w:val="single" w:sz="4" w:space="0" w:color="auto"/>
              <w:left w:val="single" w:sz="4" w:space="0" w:color="auto"/>
              <w:bottom w:val="single" w:sz="4" w:space="0" w:color="auto"/>
              <w:right w:val="single" w:sz="4" w:space="0" w:color="auto"/>
            </w:tcBorders>
            <w:vAlign w:val="bottom"/>
          </w:tcPr>
          <w:p w14:paraId="16B985E1" w14:textId="77777777" w:rsidR="00257CA2" w:rsidRPr="00037372" w:rsidRDefault="00257CA2" w:rsidP="00257CA2">
            <w:pPr>
              <w:jc w:val="right"/>
              <w:rPr>
                <w:rFonts w:ascii="Arial" w:hAnsi="Arial" w:cs="Arial"/>
                <w:color w:val="000000"/>
              </w:rPr>
            </w:pPr>
            <w:r>
              <w:rPr>
                <w:rFonts w:ascii="Arial" w:hAnsi="Arial" w:cs="Arial"/>
                <w:color w:val="000000"/>
                <w:sz w:val="22"/>
                <w:szCs w:val="22"/>
              </w:rPr>
              <w:t>0.833</w:t>
            </w:r>
          </w:p>
        </w:tc>
        <w:tc>
          <w:tcPr>
            <w:tcW w:w="1237" w:type="dxa"/>
            <w:tcBorders>
              <w:top w:val="single" w:sz="4" w:space="0" w:color="auto"/>
              <w:left w:val="single" w:sz="4" w:space="0" w:color="auto"/>
              <w:bottom w:val="single" w:sz="4" w:space="0" w:color="auto"/>
              <w:right w:val="single" w:sz="4" w:space="0" w:color="auto"/>
            </w:tcBorders>
            <w:vAlign w:val="bottom"/>
          </w:tcPr>
          <w:p w14:paraId="6651C820" w14:textId="77777777" w:rsidR="00257CA2" w:rsidRPr="00037372" w:rsidRDefault="00257CA2" w:rsidP="00257CA2">
            <w:pPr>
              <w:jc w:val="right"/>
              <w:rPr>
                <w:rFonts w:ascii="Arial" w:hAnsi="Arial" w:cs="Arial"/>
                <w:color w:val="000000"/>
              </w:rPr>
            </w:pPr>
            <w:r>
              <w:rPr>
                <w:rFonts w:ascii="Arial" w:hAnsi="Arial" w:cs="Arial"/>
                <w:color w:val="000000"/>
                <w:sz w:val="22"/>
                <w:szCs w:val="22"/>
              </w:rPr>
              <w:t>0.113</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6A776716" w14:textId="77777777" w:rsidR="00257CA2" w:rsidRPr="00C02934" w:rsidRDefault="00257CA2" w:rsidP="00257CA2">
            <w:pPr>
              <w:jc w:val="right"/>
              <w:rPr>
                <w:rFonts w:ascii="Arial" w:hAnsi="Arial" w:cs="Arial"/>
                <w:color w:val="000000"/>
              </w:rPr>
            </w:pPr>
          </w:p>
        </w:tc>
        <w:tc>
          <w:tcPr>
            <w:tcW w:w="1017" w:type="dxa"/>
            <w:tcBorders>
              <w:top w:val="single" w:sz="4" w:space="0" w:color="auto"/>
              <w:left w:val="single" w:sz="4" w:space="0" w:color="auto"/>
              <w:bottom w:val="single" w:sz="4" w:space="0" w:color="auto"/>
              <w:right w:val="single" w:sz="4" w:space="0" w:color="auto"/>
            </w:tcBorders>
            <w:vAlign w:val="bottom"/>
          </w:tcPr>
          <w:p w14:paraId="01BAB3AD" w14:textId="303DA09F" w:rsidR="00257CA2" w:rsidRPr="003A2193" w:rsidRDefault="003A2193" w:rsidP="00257CA2">
            <w:pPr>
              <w:jc w:val="right"/>
              <w:rPr>
                <w:rFonts w:ascii="Arial" w:hAnsi="Arial" w:cs="Arial"/>
                <w:color w:val="000000"/>
              </w:rPr>
            </w:pPr>
            <w:r w:rsidRPr="003A2193">
              <w:rPr>
                <w:rFonts w:ascii="Arial" w:hAnsi="Arial" w:cs="Arial"/>
                <w:color w:val="000000"/>
                <w:sz w:val="22"/>
                <w:szCs w:val="22"/>
              </w:rPr>
              <w:t>0.714</w:t>
            </w:r>
          </w:p>
        </w:tc>
        <w:tc>
          <w:tcPr>
            <w:tcW w:w="1237" w:type="dxa"/>
            <w:tcBorders>
              <w:top w:val="single" w:sz="4" w:space="0" w:color="auto"/>
              <w:left w:val="single" w:sz="4" w:space="0" w:color="auto"/>
              <w:bottom w:val="single" w:sz="4" w:space="0" w:color="auto"/>
              <w:right w:val="single" w:sz="4" w:space="0" w:color="auto"/>
            </w:tcBorders>
            <w:vAlign w:val="bottom"/>
          </w:tcPr>
          <w:p w14:paraId="728BB0E9" w14:textId="4747C330" w:rsidR="00257CA2" w:rsidRPr="003A2193" w:rsidRDefault="003A2193" w:rsidP="00257CA2">
            <w:pPr>
              <w:jc w:val="right"/>
              <w:rPr>
                <w:rFonts w:ascii="Arial" w:hAnsi="Arial" w:cs="Arial"/>
                <w:color w:val="000000"/>
              </w:rPr>
            </w:pPr>
            <w:r w:rsidRPr="003A2193">
              <w:rPr>
                <w:rFonts w:ascii="Arial" w:hAnsi="Arial" w:cs="Arial"/>
                <w:color w:val="000000"/>
                <w:sz w:val="22"/>
                <w:szCs w:val="22"/>
              </w:rPr>
              <w:t>(0.006)</w:t>
            </w:r>
          </w:p>
        </w:tc>
      </w:tr>
      <w:tr w:rsidR="00257CA2" w:rsidRPr="006670F8" w14:paraId="7F43A2FE" w14:textId="77777777" w:rsidTr="00B65FAE">
        <w:trPr>
          <w:trHeight w:val="276"/>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53D1F" w14:textId="77777777" w:rsidR="00257CA2" w:rsidRPr="0051272C" w:rsidRDefault="00257CA2" w:rsidP="00257CA2">
            <w:pPr>
              <w:rPr>
                <w:rFonts w:ascii="Arial" w:hAnsi="Arial" w:cs="Arial"/>
                <w:color w:val="000000"/>
              </w:rPr>
            </w:pPr>
            <w:r>
              <w:rPr>
                <w:rFonts w:ascii="Arial" w:hAnsi="Arial" w:cs="Arial"/>
                <w:color w:val="000000"/>
                <w:sz w:val="22"/>
                <w:szCs w:val="22"/>
              </w:rPr>
              <w:t>Support services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6CA6B" w14:textId="6610C007" w:rsidR="00257CA2" w:rsidRPr="00C02934" w:rsidRDefault="00257CA2" w:rsidP="00257CA2">
            <w:pPr>
              <w:jc w:val="right"/>
              <w:rPr>
                <w:rFonts w:ascii="Arial" w:hAnsi="Arial" w:cs="Arial"/>
                <w:color w:val="000000"/>
              </w:rPr>
            </w:pPr>
            <w:r w:rsidRPr="00C02934">
              <w:rPr>
                <w:rFonts w:ascii="Arial" w:hAnsi="Arial" w:cs="Arial"/>
                <w:color w:val="000000"/>
                <w:sz w:val="22"/>
                <w:szCs w:val="22"/>
              </w:rPr>
              <w:t>0.467</w:t>
            </w:r>
          </w:p>
        </w:tc>
        <w:tc>
          <w:tcPr>
            <w:tcW w:w="1341" w:type="dxa"/>
            <w:tcBorders>
              <w:top w:val="single" w:sz="4" w:space="0" w:color="auto"/>
              <w:left w:val="single" w:sz="4" w:space="0" w:color="auto"/>
              <w:bottom w:val="single" w:sz="4" w:space="0" w:color="auto"/>
              <w:right w:val="single" w:sz="4" w:space="0" w:color="auto"/>
            </w:tcBorders>
            <w:vAlign w:val="bottom"/>
          </w:tcPr>
          <w:p w14:paraId="2DB043F6" w14:textId="2BA3B837" w:rsidR="00257CA2" w:rsidRPr="00C02934" w:rsidRDefault="00257CA2" w:rsidP="00257CA2">
            <w:pPr>
              <w:jc w:val="right"/>
              <w:rPr>
                <w:rFonts w:ascii="Arial" w:hAnsi="Arial" w:cs="Arial"/>
                <w:color w:val="000000"/>
              </w:rPr>
            </w:pPr>
            <w:r>
              <w:rPr>
                <w:rFonts w:ascii="Arial" w:hAnsi="Arial" w:cs="Arial"/>
                <w:color w:val="000000"/>
                <w:sz w:val="22"/>
                <w:szCs w:val="22"/>
              </w:rPr>
              <w:t>-</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5E2C0D15" w14:textId="77777777" w:rsidR="00257CA2" w:rsidRPr="00411684" w:rsidRDefault="00257CA2" w:rsidP="00257CA2">
            <w:pPr>
              <w:jc w:val="right"/>
              <w:rPr>
                <w:rFonts w:ascii="Arial" w:hAnsi="Arial" w:cs="Arial"/>
                <w:color w:val="000000"/>
              </w:rPr>
            </w:pPr>
          </w:p>
        </w:tc>
        <w:tc>
          <w:tcPr>
            <w:tcW w:w="1132" w:type="dxa"/>
            <w:tcBorders>
              <w:top w:val="single" w:sz="4" w:space="0" w:color="auto"/>
              <w:left w:val="single" w:sz="4" w:space="0" w:color="auto"/>
              <w:bottom w:val="single" w:sz="4" w:space="0" w:color="auto"/>
              <w:right w:val="single" w:sz="4" w:space="0" w:color="auto"/>
            </w:tcBorders>
            <w:vAlign w:val="bottom"/>
          </w:tcPr>
          <w:p w14:paraId="5AFEBADD" w14:textId="77777777" w:rsidR="00257CA2" w:rsidRPr="00C02934" w:rsidRDefault="00257CA2" w:rsidP="00257CA2">
            <w:pPr>
              <w:jc w:val="right"/>
              <w:rPr>
                <w:rFonts w:ascii="Arial" w:hAnsi="Arial" w:cs="Arial"/>
                <w:color w:val="000000"/>
              </w:rPr>
            </w:pPr>
            <w:r w:rsidRPr="00C02934">
              <w:rPr>
                <w:rFonts w:ascii="Arial" w:hAnsi="Arial" w:cs="Arial"/>
                <w:color w:val="000000"/>
                <w:sz w:val="22"/>
                <w:szCs w:val="22"/>
              </w:rPr>
              <w:t>0.467</w:t>
            </w:r>
          </w:p>
        </w:tc>
        <w:tc>
          <w:tcPr>
            <w:tcW w:w="1237" w:type="dxa"/>
            <w:tcBorders>
              <w:top w:val="single" w:sz="4" w:space="0" w:color="auto"/>
              <w:left w:val="single" w:sz="4" w:space="0" w:color="auto"/>
              <w:bottom w:val="single" w:sz="4" w:space="0" w:color="auto"/>
              <w:right w:val="single" w:sz="4" w:space="0" w:color="auto"/>
            </w:tcBorders>
            <w:vAlign w:val="bottom"/>
          </w:tcPr>
          <w:p w14:paraId="7953A120" w14:textId="77777777" w:rsidR="00257CA2" w:rsidRPr="00C02934" w:rsidRDefault="00257CA2" w:rsidP="00257CA2">
            <w:pPr>
              <w:jc w:val="right"/>
              <w:rPr>
                <w:rFonts w:ascii="Arial" w:hAnsi="Arial" w:cs="Arial"/>
                <w:color w:val="000000"/>
              </w:rPr>
            </w:pPr>
            <w:r>
              <w:rPr>
                <w:rFonts w:ascii="Arial" w:hAnsi="Arial" w:cs="Arial"/>
                <w:color w:val="000000"/>
                <w:sz w:val="22"/>
                <w:szCs w:val="22"/>
              </w:rPr>
              <w:t>-</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18593799" w14:textId="77777777" w:rsidR="00257CA2" w:rsidRPr="00C02934" w:rsidRDefault="00257CA2" w:rsidP="00257CA2">
            <w:pPr>
              <w:jc w:val="right"/>
              <w:rPr>
                <w:rFonts w:ascii="Arial" w:hAnsi="Arial" w:cs="Arial"/>
                <w:color w:val="000000"/>
              </w:rPr>
            </w:pPr>
          </w:p>
        </w:tc>
        <w:tc>
          <w:tcPr>
            <w:tcW w:w="1017" w:type="dxa"/>
            <w:tcBorders>
              <w:top w:val="single" w:sz="4" w:space="0" w:color="auto"/>
              <w:left w:val="single" w:sz="4" w:space="0" w:color="auto"/>
              <w:bottom w:val="single" w:sz="4" w:space="0" w:color="auto"/>
              <w:right w:val="single" w:sz="4" w:space="0" w:color="auto"/>
            </w:tcBorders>
            <w:vAlign w:val="bottom"/>
          </w:tcPr>
          <w:p w14:paraId="31B69C82" w14:textId="38BF6082" w:rsidR="00257CA2" w:rsidRPr="003A2193" w:rsidRDefault="00257CA2" w:rsidP="00257CA2">
            <w:pPr>
              <w:jc w:val="right"/>
              <w:rPr>
                <w:rFonts w:ascii="Arial" w:hAnsi="Arial" w:cs="Arial"/>
                <w:color w:val="000000"/>
              </w:rPr>
            </w:pPr>
            <w:r w:rsidRPr="00C02934">
              <w:rPr>
                <w:rFonts w:ascii="Arial" w:hAnsi="Arial" w:cs="Arial"/>
                <w:color w:val="000000"/>
                <w:sz w:val="22"/>
                <w:szCs w:val="22"/>
              </w:rPr>
              <w:t>0.467</w:t>
            </w:r>
          </w:p>
        </w:tc>
        <w:tc>
          <w:tcPr>
            <w:tcW w:w="1237" w:type="dxa"/>
            <w:tcBorders>
              <w:top w:val="single" w:sz="4" w:space="0" w:color="auto"/>
              <w:left w:val="single" w:sz="4" w:space="0" w:color="auto"/>
              <w:bottom w:val="single" w:sz="4" w:space="0" w:color="auto"/>
              <w:right w:val="single" w:sz="4" w:space="0" w:color="auto"/>
            </w:tcBorders>
            <w:vAlign w:val="bottom"/>
          </w:tcPr>
          <w:p w14:paraId="459EFC58" w14:textId="20E6354B" w:rsidR="00257CA2" w:rsidRPr="003A2193" w:rsidRDefault="00257CA2" w:rsidP="00257CA2">
            <w:pPr>
              <w:jc w:val="right"/>
              <w:rPr>
                <w:rFonts w:ascii="Arial" w:hAnsi="Arial" w:cs="Arial"/>
                <w:color w:val="000000"/>
              </w:rPr>
            </w:pPr>
            <w:r>
              <w:rPr>
                <w:rFonts w:ascii="Arial" w:hAnsi="Arial" w:cs="Arial"/>
                <w:color w:val="000000"/>
                <w:sz w:val="22"/>
                <w:szCs w:val="22"/>
              </w:rPr>
              <w:t>-</w:t>
            </w:r>
          </w:p>
        </w:tc>
      </w:tr>
      <w:tr w:rsidR="00257CA2" w:rsidRPr="006670F8" w14:paraId="683FEDCF" w14:textId="77777777" w:rsidTr="00B65FAE">
        <w:trPr>
          <w:trHeight w:val="276"/>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5ED65" w14:textId="5FA6823F" w:rsidR="00257CA2" w:rsidRDefault="00257CA2" w:rsidP="00257CA2">
            <w:pPr>
              <w:rPr>
                <w:rFonts w:ascii="Arial" w:hAnsi="Arial" w:cs="Arial"/>
                <w:color w:val="000000"/>
              </w:rPr>
            </w:pPr>
            <w:r>
              <w:rPr>
                <w:rFonts w:ascii="Arial" w:hAnsi="Arial" w:cs="Arial"/>
                <w:color w:val="000000"/>
                <w:sz w:val="22"/>
                <w:szCs w:val="22"/>
              </w:rPr>
              <w:t>Funding adjustment</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13B73" w14:textId="77777777" w:rsidR="00257CA2" w:rsidRPr="00C02934" w:rsidRDefault="00257CA2" w:rsidP="00257CA2">
            <w:pPr>
              <w:jc w:val="right"/>
              <w:rPr>
                <w:rFonts w:ascii="Arial" w:hAnsi="Arial" w:cs="Arial"/>
                <w:color w:val="000000"/>
              </w:rPr>
            </w:pPr>
          </w:p>
        </w:tc>
        <w:tc>
          <w:tcPr>
            <w:tcW w:w="1341" w:type="dxa"/>
            <w:tcBorders>
              <w:top w:val="single" w:sz="4" w:space="0" w:color="auto"/>
              <w:left w:val="single" w:sz="4" w:space="0" w:color="auto"/>
              <w:bottom w:val="single" w:sz="4" w:space="0" w:color="auto"/>
              <w:right w:val="single" w:sz="4" w:space="0" w:color="auto"/>
            </w:tcBorders>
            <w:vAlign w:val="bottom"/>
          </w:tcPr>
          <w:p w14:paraId="1E3269A5" w14:textId="42DEF07E" w:rsidR="00257CA2" w:rsidRPr="00C02934" w:rsidRDefault="00257CA2" w:rsidP="00257CA2">
            <w:pPr>
              <w:jc w:val="right"/>
              <w:rPr>
                <w:rFonts w:ascii="Arial" w:hAnsi="Arial" w:cs="Arial"/>
                <w:color w:val="000000"/>
              </w:rPr>
            </w:pPr>
            <w:r>
              <w:rPr>
                <w:rFonts w:ascii="Arial" w:hAnsi="Arial" w:cs="Arial"/>
                <w:color w:val="000000"/>
                <w:sz w:val="22"/>
                <w:szCs w:val="22"/>
              </w:rPr>
              <w:t>(0.023)</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0F0BA1A2" w14:textId="77777777" w:rsidR="00257CA2" w:rsidRPr="00411684" w:rsidRDefault="00257CA2" w:rsidP="00257CA2">
            <w:pPr>
              <w:jc w:val="right"/>
              <w:rPr>
                <w:rFonts w:ascii="Arial" w:hAnsi="Arial" w:cs="Arial"/>
                <w:color w:val="000000"/>
              </w:rPr>
            </w:pPr>
          </w:p>
        </w:tc>
        <w:tc>
          <w:tcPr>
            <w:tcW w:w="1132" w:type="dxa"/>
            <w:tcBorders>
              <w:top w:val="single" w:sz="4" w:space="0" w:color="auto"/>
              <w:left w:val="single" w:sz="4" w:space="0" w:color="auto"/>
              <w:bottom w:val="single" w:sz="4" w:space="0" w:color="auto"/>
              <w:right w:val="single" w:sz="4" w:space="0" w:color="auto"/>
            </w:tcBorders>
            <w:vAlign w:val="bottom"/>
          </w:tcPr>
          <w:p w14:paraId="4C446A4A" w14:textId="291AE64D" w:rsidR="00257CA2" w:rsidRPr="00C02934" w:rsidRDefault="00257CA2" w:rsidP="00257CA2">
            <w:pPr>
              <w:jc w:val="right"/>
              <w:rPr>
                <w:rFonts w:ascii="Arial" w:hAnsi="Arial" w:cs="Arial"/>
                <w:color w:val="000000"/>
              </w:rPr>
            </w:pPr>
          </w:p>
        </w:tc>
        <w:tc>
          <w:tcPr>
            <w:tcW w:w="1237" w:type="dxa"/>
            <w:tcBorders>
              <w:top w:val="single" w:sz="4" w:space="0" w:color="auto"/>
              <w:left w:val="single" w:sz="4" w:space="0" w:color="auto"/>
              <w:bottom w:val="single" w:sz="4" w:space="0" w:color="auto"/>
              <w:right w:val="single" w:sz="4" w:space="0" w:color="auto"/>
            </w:tcBorders>
            <w:vAlign w:val="bottom"/>
          </w:tcPr>
          <w:p w14:paraId="77AE79B0" w14:textId="4A188108" w:rsidR="00257CA2" w:rsidRDefault="00257CA2" w:rsidP="00257CA2">
            <w:pPr>
              <w:jc w:val="right"/>
              <w:rPr>
                <w:rFonts w:ascii="Arial" w:hAnsi="Arial" w:cs="Arial"/>
                <w:color w:val="000000"/>
              </w:rPr>
            </w:pPr>
            <w:r>
              <w:rPr>
                <w:rFonts w:ascii="Arial" w:hAnsi="Arial" w:cs="Arial"/>
                <w:color w:val="000000"/>
                <w:sz w:val="22"/>
                <w:szCs w:val="22"/>
              </w:rPr>
              <w:t>(0.023)</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7B7F48D9" w14:textId="77777777" w:rsidR="00257CA2" w:rsidRPr="00C02934" w:rsidRDefault="00257CA2" w:rsidP="00257CA2">
            <w:pPr>
              <w:jc w:val="right"/>
              <w:rPr>
                <w:rFonts w:ascii="Arial" w:hAnsi="Arial" w:cs="Arial"/>
                <w:color w:val="000000"/>
              </w:rPr>
            </w:pPr>
          </w:p>
        </w:tc>
        <w:tc>
          <w:tcPr>
            <w:tcW w:w="1017" w:type="dxa"/>
            <w:tcBorders>
              <w:top w:val="single" w:sz="4" w:space="0" w:color="auto"/>
              <w:left w:val="single" w:sz="4" w:space="0" w:color="auto"/>
              <w:bottom w:val="single" w:sz="4" w:space="0" w:color="auto"/>
              <w:right w:val="single" w:sz="4" w:space="0" w:color="auto"/>
            </w:tcBorders>
            <w:vAlign w:val="bottom"/>
          </w:tcPr>
          <w:p w14:paraId="5D1AAD08" w14:textId="77777777" w:rsidR="00257CA2" w:rsidRPr="00C02934" w:rsidRDefault="00257CA2" w:rsidP="00257CA2">
            <w:pPr>
              <w:jc w:val="right"/>
              <w:rPr>
                <w:rFonts w:ascii="Arial" w:hAnsi="Arial" w:cs="Arial"/>
                <w:color w:val="000000"/>
              </w:rPr>
            </w:pPr>
          </w:p>
        </w:tc>
        <w:tc>
          <w:tcPr>
            <w:tcW w:w="1237" w:type="dxa"/>
            <w:tcBorders>
              <w:top w:val="single" w:sz="4" w:space="0" w:color="auto"/>
              <w:left w:val="single" w:sz="4" w:space="0" w:color="auto"/>
              <w:bottom w:val="single" w:sz="4" w:space="0" w:color="auto"/>
              <w:right w:val="single" w:sz="4" w:space="0" w:color="auto"/>
            </w:tcBorders>
            <w:vAlign w:val="bottom"/>
          </w:tcPr>
          <w:p w14:paraId="636D0404" w14:textId="3A973E76" w:rsidR="00257CA2" w:rsidRPr="00C02934" w:rsidRDefault="00257CA2" w:rsidP="00257CA2">
            <w:pPr>
              <w:jc w:val="right"/>
              <w:rPr>
                <w:rFonts w:ascii="Arial" w:hAnsi="Arial" w:cs="Arial"/>
                <w:color w:val="000000"/>
              </w:rPr>
            </w:pPr>
            <w:r>
              <w:rPr>
                <w:rFonts w:ascii="Arial" w:hAnsi="Arial" w:cs="Arial"/>
                <w:color w:val="000000"/>
                <w:sz w:val="22"/>
                <w:szCs w:val="22"/>
              </w:rPr>
              <w:t>(0.023)</w:t>
            </w:r>
          </w:p>
        </w:tc>
      </w:tr>
      <w:tr w:rsidR="00257CA2" w:rsidRPr="006670F8" w14:paraId="3F3C5C14" w14:textId="77777777" w:rsidTr="00B65FAE">
        <w:trPr>
          <w:trHeight w:val="276"/>
        </w:trPr>
        <w:tc>
          <w:tcPr>
            <w:tcW w:w="2357" w:type="dxa"/>
            <w:tcBorders>
              <w:top w:val="single" w:sz="4" w:space="0" w:color="auto"/>
              <w:left w:val="single" w:sz="4" w:space="0" w:color="auto"/>
              <w:bottom w:val="single" w:sz="4" w:space="0" w:color="auto"/>
              <w:right w:val="nil"/>
            </w:tcBorders>
            <w:shd w:val="clear" w:color="auto" w:fill="000000" w:themeFill="text1"/>
            <w:noWrap/>
            <w:vAlign w:val="bottom"/>
          </w:tcPr>
          <w:p w14:paraId="7CE78FA1" w14:textId="77777777" w:rsidR="00257CA2" w:rsidRPr="00212490" w:rsidRDefault="00257CA2" w:rsidP="00257CA2">
            <w:pPr>
              <w:jc w:val="center"/>
              <w:rPr>
                <w:rFonts w:ascii="Arial" w:hAnsi="Arial" w:cs="Arial"/>
                <w:color w:val="FFFFFF" w:themeColor="background1"/>
              </w:rPr>
            </w:pPr>
            <w:r>
              <w:rPr>
                <w:rFonts w:ascii="Arial" w:hAnsi="Arial" w:cs="Arial"/>
                <w:color w:val="FFFFFF" w:themeColor="background1"/>
              </w:rPr>
              <w:t>Total projection</w:t>
            </w:r>
          </w:p>
        </w:tc>
        <w:tc>
          <w:tcPr>
            <w:tcW w:w="123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A7E0813" w14:textId="1EF81095" w:rsidR="00257CA2" w:rsidRPr="003A2193" w:rsidRDefault="003A2193" w:rsidP="00257CA2">
            <w:pPr>
              <w:jc w:val="right"/>
              <w:rPr>
                <w:rFonts w:ascii="Arial" w:hAnsi="Arial" w:cs="Arial"/>
                <w:color w:val="FFFFFF" w:themeColor="background1"/>
              </w:rPr>
            </w:pPr>
            <w:r w:rsidRPr="003A2193">
              <w:rPr>
                <w:rFonts w:ascii="Arial" w:hAnsi="Arial" w:cs="Arial"/>
                <w:color w:val="FFFFFF" w:themeColor="background1"/>
                <w:sz w:val="22"/>
                <w:szCs w:val="22"/>
              </w:rPr>
              <w:t>11.388</w:t>
            </w:r>
          </w:p>
        </w:tc>
        <w:tc>
          <w:tcPr>
            <w:tcW w:w="1341"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3008B305" w14:textId="3DC63C61" w:rsidR="00257CA2" w:rsidRPr="003A2193" w:rsidRDefault="003A2193" w:rsidP="00257CA2">
            <w:pPr>
              <w:jc w:val="right"/>
              <w:rPr>
                <w:rFonts w:ascii="Arial" w:hAnsi="Arial" w:cs="Arial"/>
                <w:color w:val="FFFFFF" w:themeColor="background1"/>
              </w:rPr>
            </w:pPr>
            <w:r w:rsidRPr="003A2193">
              <w:rPr>
                <w:rFonts w:ascii="Arial" w:hAnsi="Arial" w:cs="Arial"/>
                <w:color w:val="FFFFFF" w:themeColor="background1"/>
                <w:sz w:val="22"/>
                <w:szCs w:val="22"/>
              </w:rPr>
              <w:t>0.179</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58C892CB" w14:textId="77777777" w:rsidR="00257CA2" w:rsidRPr="008B6D18" w:rsidRDefault="00257CA2" w:rsidP="00257CA2">
            <w:pPr>
              <w:jc w:val="right"/>
              <w:rPr>
                <w:rFonts w:ascii="Arial" w:hAnsi="Arial" w:cs="Arial"/>
                <w:color w:val="FFFFFF" w:themeColor="background1"/>
              </w:rPr>
            </w:pPr>
          </w:p>
        </w:tc>
        <w:tc>
          <w:tcPr>
            <w:tcW w:w="1132"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21B456A1" w14:textId="7405764E" w:rsidR="00257CA2" w:rsidRPr="00C02934" w:rsidRDefault="00257CA2" w:rsidP="00257CA2">
            <w:pPr>
              <w:jc w:val="right"/>
              <w:rPr>
                <w:rFonts w:ascii="Arial" w:hAnsi="Arial" w:cs="Arial"/>
                <w:color w:val="FFFFFF" w:themeColor="background1"/>
              </w:rPr>
            </w:pPr>
            <w:r>
              <w:rPr>
                <w:rFonts w:ascii="Arial" w:hAnsi="Arial" w:cs="Arial"/>
                <w:color w:val="FFFFFF" w:themeColor="background1"/>
                <w:sz w:val="22"/>
                <w:szCs w:val="22"/>
              </w:rPr>
              <w:t>11.246</w:t>
            </w: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1E6C3303" w14:textId="463CA5EA" w:rsidR="00257CA2" w:rsidRPr="00C02934" w:rsidRDefault="00257CA2" w:rsidP="00257CA2">
            <w:pPr>
              <w:jc w:val="right"/>
              <w:rPr>
                <w:rFonts w:ascii="Arial" w:hAnsi="Arial" w:cs="Arial"/>
                <w:color w:val="FFFFFF" w:themeColor="background1"/>
              </w:rPr>
            </w:pPr>
            <w:r>
              <w:rPr>
                <w:rFonts w:ascii="Arial" w:hAnsi="Arial" w:cs="Arial"/>
                <w:color w:val="FFFFFF" w:themeColor="background1"/>
                <w:sz w:val="22"/>
                <w:szCs w:val="22"/>
              </w:rPr>
              <w:t>0.037</w:t>
            </w:r>
          </w:p>
        </w:tc>
        <w:tc>
          <w:tcPr>
            <w:tcW w:w="222" w:type="dxa"/>
            <w:tcBorders>
              <w:top w:val="single" w:sz="4" w:space="0" w:color="auto"/>
              <w:left w:val="single" w:sz="4" w:space="0" w:color="auto"/>
              <w:bottom w:val="single" w:sz="4" w:space="0" w:color="auto"/>
              <w:right w:val="single" w:sz="4" w:space="0" w:color="auto"/>
            </w:tcBorders>
            <w:shd w:val="clear" w:color="auto" w:fill="000000" w:themeFill="text1"/>
          </w:tcPr>
          <w:p w14:paraId="37EDA95F" w14:textId="77777777" w:rsidR="00257CA2" w:rsidRPr="00C02934" w:rsidRDefault="00257CA2" w:rsidP="00257CA2">
            <w:pPr>
              <w:jc w:val="right"/>
              <w:rPr>
                <w:rFonts w:ascii="Arial" w:hAnsi="Arial" w:cs="Arial"/>
                <w:color w:val="FFFFFF" w:themeColor="background1"/>
              </w:rPr>
            </w:pPr>
          </w:p>
        </w:tc>
        <w:tc>
          <w:tcPr>
            <w:tcW w:w="1017"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33876C97" w14:textId="3D25A54B" w:rsidR="00257CA2" w:rsidRPr="003A2193" w:rsidRDefault="003A2193" w:rsidP="00257CA2">
            <w:pPr>
              <w:jc w:val="right"/>
              <w:rPr>
                <w:rFonts w:ascii="Arial" w:hAnsi="Arial" w:cs="Arial"/>
                <w:color w:val="FFFFFF" w:themeColor="background1"/>
              </w:rPr>
            </w:pPr>
            <w:r w:rsidRPr="003A2193">
              <w:rPr>
                <w:rFonts w:ascii="Arial" w:hAnsi="Arial" w:cs="Arial"/>
                <w:color w:val="FFFFFF" w:themeColor="background1"/>
                <w:sz w:val="22"/>
                <w:szCs w:val="22"/>
              </w:rPr>
              <w:t>10.866</w:t>
            </w: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6D5DB6D8" w14:textId="26165E5D" w:rsidR="00257CA2" w:rsidRPr="003A2193" w:rsidRDefault="003A2193" w:rsidP="00257CA2">
            <w:pPr>
              <w:jc w:val="right"/>
              <w:rPr>
                <w:rFonts w:ascii="Arial" w:hAnsi="Arial" w:cs="Arial"/>
                <w:color w:val="FFFFFF" w:themeColor="background1"/>
              </w:rPr>
            </w:pPr>
            <w:r w:rsidRPr="003A2193">
              <w:rPr>
                <w:rFonts w:ascii="Arial" w:hAnsi="Arial" w:cs="Arial"/>
                <w:color w:val="FFFFFF" w:themeColor="background1"/>
                <w:sz w:val="22"/>
                <w:szCs w:val="22"/>
              </w:rPr>
              <w:t>(0.343)</w:t>
            </w:r>
          </w:p>
        </w:tc>
      </w:tr>
    </w:tbl>
    <w:p w14:paraId="09A53C6B" w14:textId="77777777" w:rsidR="006D4B67" w:rsidRDefault="006D4B67" w:rsidP="0040116D">
      <w:pPr>
        <w:ind w:left="360" w:hanging="360"/>
        <w:rPr>
          <w:rFonts w:ascii="Arial" w:hAnsi="Arial" w:cs="Arial"/>
        </w:rPr>
      </w:pPr>
    </w:p>
    <w:p w14:paraId="230B7D7C" w14:textId="77777777" w:rsidR="0051311E" w:rsidRDefault="0051311E" w:rsidP="0040116D">
      <w:pPr>
        <w:ind w:left="360" w:hanging="360"/>
        <w:rPr>
          <w:rFonts w:ascii="Arial" w:hAnsi="Arial" w:cs="Arial"/>
        </w:rPr>
      </w:pPr>
    </w:p>
    <w:p w14:paraId="0AD9C2C2" w14:textId="77777777" w:rsidR="00BE6D2A" w:rsidRPr="00B63511" w:rsidRDefault="00C12D6E" w:rsidP="00F2265C">
      <w:pPr>
        <w:ind w:left="709" w:hanging="709"/>
        <w:rPr>
          <w:rFonts w:ascii="Arial" w:hAnsi="Arial" w:cs="Arial"/>
          <w:b/>
          <w:u w:val="single"/>
        </w:rPr>
      </w:pPr>
      <w:r>
        <w:rPr>
          <w:rFonts w:ascii="Arial" w:hAnsi="Arial" w:cs="Arial"/>
        </w:rPr>
        <w:t>4</w:t>
      </w:r>
      <w:r w:rsidR="00B00997">
        <w:rPr>
          <w:rFonts w:ascii="Arial" w:hAnsi="Arial" w:cs="Arial"/>
        </w:rPr>
        <w:t>.2</w:t>
      </w:r>
      <w:r w:rsidR="00B63511">
        <w:rPr>
          <w:rFonts w:ascii="Arial" w:hAnsi="Arial" w:cs="Arial"/>
        </w:rPr>
        <w:tab/>
      </w:r>
      <w:r w:rsidR="00F2265C" w:rsidRPr="00F2265C">
        <w:rPr>
          <w:rFonts w:ascii="Arial" w:hAnsi="Arial" w:cs="Arial"/>
          <w:u w:val="single"/>
        </w:rPr>
        <w:t xml:space="preserve">Local authority place funding </w:t>
      </w:r>
      <w:r w:rsidR="004E4B4D">
        <w:rPr>
          <w:rFonts w:ascii="Arial" w:hAnsi="Arial" w:cs="Arial"/>
          <w:u w:val="single"/>
        </w:rPr>
        <w:t>(on budget</w:t>
      </w:r>
      <w:r w:rsidR="00C601E2">
        <w:rPr>
          <w:rFonts w:ascii="Arial" w:hAnsi="Arial" w:cs="Arial"/>
          <w:u w:val="single"/>
        </w:rPr>
        <w:t>).</w:t>
      </w:r>
      <w:r w:rsidR="00732263" w:rsidRPr="002F069C">
        <w:rPr>
          <w:rFonts w:ascii="Arial" w:hAnsi="Arial" w:cs="Arial"/>
          <w:b/>
          <w:u w:val="single"/>
        </w:rPr>
        <w:br/>
      </w:r>
      <w:r w:rsidR="00C601E2">
        <w:rPr>
          <w:rFonts w:ascii="Arial" w:hAnsi="Arial" w:cs="Arial"/>
        </w:rPr>
        <w:t xml:space="preserve">The </w:t>
      </w:r>
      <w:r w:rsidR="001B4E94">
        <w:rPr>
          <w:rFonts w:ascii="Arial" w:hAnsi="Arial" w:cs="Arial"/>
        </w:rPr>
        <w:t>expected costs of place funding are in line with budget</w:t>
      </w:r>
      <w:r w:rsidR="00911F8A">
        <w:rPr>
          <w:rFonts w:ascii="Arial" w:hAnsi="Arial" w:cs="Arial"/>
        </w:rPr>
        <w:t>.</w:t>
      </w:r>
    </w:p>
    <w:p w14:paraId="5F11559B" w14:textId="77777777" w:rsidR="002F150B" w:rsidRDefault="002F150B" w:rsidP="004E4BFB">
      <w:pPr>
        <w:ind w:left="360"/>
        <w:rPr>
          <w:rFonts w:ascii="Arial" w:hAnsi="Arial" w:cs="Arial"/>
        </w:rPr>
      </w:pPr>
    </w:p>
    <w:p w14:paraId="370DFFF0" w14:textId="4896763B" w:rsidR="00F2265C" w:rsidRPr="006E3489" w:rsidRDefault="00C12D6E" w:rsidP="00E33420">
      <w:pPr>
        <w:pStyle w:val="ListParagraph"/>
        <w:ind w:left="709" w:hanging="709"/>
        <w:rPr>
          <w:rFonts w:ascii="Arial" w:hAnsi="Arial" w:cs="Arial"/>
        </w:rPr>
      </w:pPr>
      <w:r>
        <w:rPr>
          <w:rFonts w:ascii="Arial" w:hAnsi="Arial" w:cs="Arial"/>
        </w:rPr>
        <w:t>4</w:t>
      </w:r>
      <w:r w:rsidR="00B00997">
        <w:rPr>
          <w:rFonts w:ascii="Arial" w:hAnsi="Arial" w:cs="Arial"/>
        </w:rPr>
        <w:t>.3</w:t>
      </w:r>
      <w:r w:rsidR="00B63511">
        <w:rPr>
          <w:rFonts w:ascii="Arial" w:hAnsi="Arial" w:cs="Arial"/>
        </w:rPr>
        <w:tab/>
      </w:r>
      <w:r w:rsidR="00E0381A" w:rsidRPr="006E3489">
        <w:rPr>
          <w:rFonts w:ascii="Arial" w:hAnsi="Arial" w:cs="Arial"/>
          <w:u w:val="single"/>
        </w:rPr>
        <w:t>Independent</w:t>
      </w:r>
      <w:r w:rsidR="00B65FAE">
        <w:rPr>
          <w:rFonts w:ascii="Arial" w:hAnsi="Arial" w:cs="Arial"/>
          <w:u w:val="single"/>
        </w:rPr>
        <w:t xml:space="preserve"> school fees (£0.150</w:t>
      </w:r>
      <w:r w:rsidR="001B4E94">
        <w:rPr>
          <w:rFonts w:ascii="Arial" w:hAnsi="Arial" w:cs="Arial"/>
          <w:u w:val="single"/>
        </w:rPr>
        <w:t>m ov</w:t>
      </w:r>
      <w:r w:rsidR="00F2265C" w:rsidRPr="006E3489">
        <w:rPr>
          <w:rFonts w:ascii="Arial" w:hAnsi="Arial" w:cs="Arial"/>
          <w:u w:val="single"/>
        </w:rPr>
        <w:t>erspend)</w:t>
      </w:r>
    </w:p>
    <w:p w14:paraId="2F2071DB" w14:textId="49F4C5C7" w:rsidR="004C5FD4" w:rsidRDefault="00FA76B6" w:rsidP="00F2265C">
      <w:pPr>
        <w:pStyle w:val="ListParagraph"/>
        <w:ind w:left="709"/>
        <w:rPr>
          <w:rFonts w:ascii="Arial" w:hAnsi="Arial" w:cs="Arial"/>
        </w:rPr>
      </w:pPr>
      <w:r>
        <w:rPr>
          <w:rFonts w:ascii="Arial" w:hAnsi="Arial" w:cs="Arial"/>
        </w:rPr>
        <w:t xml:space="preserve">The mid-case projection </w:t>
      </w:r>
      <w:r w:rsidR="00B65FAE">
        <w:rPr>
          <w:rFonts w:ascii="Arial" w:hAnsi="Arial" w:cs="Arial"/>
        </w:rPr>
        <w:t>is in line with</w:t>
      </w:r>
      <w:r>
        <w:rPr>
          <w:rFonts w:ascii="Arial" w:hAnsi="Arial" w:cs="Arial"/>
        </w:rPr>
        <w:t xml:space="preserve"> quarter 1.</w:t>
      </w:r>
      <w:r w:rsidR="006F5343">
        <w:rPr>
          <w:rFonts w:ascii="Arial" w:hAnsi="Arial" w:cs="Arial"/>
        </w:rPr>
        <w:t xml:space="preserve"> </w:t>
      </w:r>
      <w:r>
        <w:rPr>
          <w:rFonts w:ascii="Arial" w:hAnsi="Arial" w:cs="Arial"/>
        </w:rPr>
        <w:t xml:space="preserve"> </w:t>
      </w:r>
    </w:p>
    <w:p w14:paraId="0ABCA5F8" w14:textId="77777777" w:rsidR="00C601E2" w:rsidRDefault="00C601E2" w:rsidP="00F2265C">
      <w:pPr>
        <w:pStyle w:val="ListParagraph"/>
        <w:ind w:left="709"/>
        <w:rPr>
          <w:rFonts w:ascii="Arial" w:hAnsi="Arial" w:cs="Arial"/>
        </w:rPr>
      </w:pPr>
    </w:p>
    <w:p w14:paraId="0237D28B" w14:textId="1D8547FB" w:rsidR="00C601E2" w:rsidRPr="00654E01" w:rsidRDefault="00C601E2" w:rsidP="00C601E2">
      <w:pPr>
        <w:pStyle w:val="ListParagraph"/>
        <w:ind w:left="709"/>
        <w:rPr>
          <w:rFonts w:ascii="Arial" w:hAnsi="Arial" w:cs="Arial"/>
        </w:rPr>
      </w:pPr>
      <w:r>
        <w:rPr>
          <w:rFonts w:ascii="Arial" w:hAnsi="Arial" w:cs="Arial"/>
        </w:rPr>
        <w:tab/>
        <w:t>The mid-</w:t>
      </w:r>
      <w:r w:rsidR="00713A5E">
        <w:rPr>
          <w:rFonts w:ascii="Arial" w:hAnsi="Arial" w:cs="Arial"/>
        </w:rPr>
        <w:t>case outturn projection includes</w:t>
      </w:r>
      <w:r>
        <w:rPr>
          <w:rFonts w:ascii="Arial" w:hAnsi="Arial" w:cs="Arial"/>
        </w:rPr>
        <w:t xml:space="preserve"> an estimated cost </w:t>
      </w:r>
      <w:r w:rsidR="006F5343">
        <w:rPr>
          <w:rFonts w:ascii="Arial" w:hAnsi="Arial" w:cs="Arial"/>
        </w:rPr>
        <w:t>of £0.07</w:t>
      </w:r>
      <w:r w:rsidR="00FA76B6">
        <w:rPr>
          <w:rFonts w:ascii="Arial" w:hAnsi="Arial" w:cs="Arial"/>
        </w:rPr>
        <w:t>0</w:t>
      </w:r>
      <w:r w:rsidR="00CB5907">
        <w:rPr>
          <w:rFonts w:ascii="Arial" w:hAnsi="Arial" w:cs="Arial"/>
        </w:rPr>
        <w:t xml:space="preserve">m </w:t>
      </w:r>
      <w:r w:rsidR="00F57842">
        <w:rPr>
          <w:rFonts w:ascii="Arial" w:hAnsi="Arial" w:cs="Arial"/>
        </w:rPr>
        <w:t>for potential</w:t>
      </w:r>
      <w:r w:rsidR="00713A5E">
        <w:rPr>
          <w:rFonts w:ascii="Arial" w:hAnsi="Arial" w:cs="Arial"/>
        </w:rPr>
        <w:t xml:space="preserve"> changes to </w:t>
      </w:r>
      <w:r w:rsidR="00025386">
        <w:rPr>
          <w:rFonts w:ascii="Arial" w:hAnsi="Arial" w:cs="Arial"/>
        </w:rPr>
        <w:t>the level of provision that may</w:t>
      </w:r>
      <w:r>
        <w:rPr>
          <w:rFonts w:ascii="Arial" w:hAnsi="Arial" w:cs="Arial"/>
        </w:rPr>
        <w:t xml:space="preserve"> start before 3</w:t>
      </w:r>
      <w:r w:rsidR="00025386">
        <w:rPr>
          <w:rFonts w:ascii="Arial" w:hAnsi="Arial" w:cs="Arial"/>
        </w:rPr>
        <w:t>1 March 2021</w:t>
      </w:r>
      <w:r w:rsidR="00713A5E">
        <w:rPr>
          <w:rFonts w:ascii="Arial" w:hAnsi="Arial" w:cs="Arial"/>
        </w:rPr>
        <w:t xml:space="preserve">. </w:t>
      </w:r>
      <w:r w:rsidR="00CB5907">
        <w:rPr>
          <w:rFonts w:ascii="Arial" w:hAnsi="Arial" w:cs="Arial"/>
        </w:rPr>
        <w:t>The amount and timing of these potential costs is uncertain.</w:t>
      </w:r>
      <w:r w:rsidR="00FA76B6">
        <w:rPr>
          <w:rFonts w:ascii="Arial" w:hAnsi="Arial" w:cs="Arial"/>
        </w:rPr>
        <w:t xml:space="preserve"> The mid-case projection also includes a provision of £0.080m in case prices yet to be confirmed are above current estimates.</w:t>
      </w:r>
    </w:p>
    <w:p w14:paraId="3294E1DC" w14:textId="77777777" w:rsidR="00C601E2" w:rsidRDefault="00C601E2" w:rsidP="00F2265C">
      <w:pPr>
        <w:pStyle w:val="ListParagraph"/>
        <w:ind w:left="709"/>
        <w:rPr>
          <w:rFonts w:ascii="Arial" w:hAnsi="Arial" w:cs="Arial"/>
        </w:rPr>
      </w:pPr>
    </w:p>
    <w:p w14:paraId="14A973B8" w14:textId="77777777" w:rsidR="00F2265C" w:rsidRDefault="00C12D6E">
      <w:pPr>
        <w:ind w:left="709" w:hanging="709"/>
        <w:rPr>
          <w:rFonts w:ascii="Arial" w:hAnsi="Arial" w:cs="Arial"/>
        </w:rPr>
      </w:pPr>
      <w:r>
        <w:rPr>
          <w:rFonts w:ascii="Arial" w:hAnsi="Arial" w:cs="Arial"/>
        </w:rPr>
        <w:t>4</w:t>
      </w:r>
      <w:r w:rsidR="00B00997">
        <w:rPr>
          <w:rFonts w:ascii="Arial" w:hAnsi="Arial" w:cs="Arial"/>
        </w:rPr>
        <w:t>.4</w:t>
      </w:r>
      <w:r w:rsidR="00B63511">
        <w:rPr>
          <w:rFonts w:ascii="Arial" w:hAnsi="Arial" w:cs="Arial"/>
        </w:rPr>
        <w:tab/>
      </w:r>
      <w:r w:rsidR="00F2265C" w:rsidRPr="00F2265C">
        <w:rPr>
          <w:rFonts w:ascii="Arial" w:hAnsi="Arial" w:cs="Arial"/>
          <w:u w:val="single"/>
        </w:rPr>
        <w:t xml:space="preserve">Out of </w:t>
      </w:r>
      <w:r w:rsidR="003055E8">
        <w:rPr>
          <w:rFonts w:ascii="Arial" w:hAnsi="Arial" w:cs="Arial"/>
          <w:u w:val="single"/>
        </w:rPr>
        <w:t>authority top-ups (£0.0</w:t>
      </w:r>
      <w:r w:rsidR="006F5343">
        <w:rPr>
          <w:rFonts w:ascii="Arial" w:hAnsi="Arial" w:cs="Arial"/>
          <w:u w:val="single"/>
        </w:rPr>
        <w:t>25</w:t>
      </w:r>
      <w:r w:rsidR="00400A90">
        <w:rPr>
          <w:rFonts w:ascii="Arial" w:hAnsi="Arial" w:cs="Arial"/>
          <w:u w:val="single"/>
        </w:rPr>
        <w:t>m und</w:t>
      </w:r>
      <w:r w:rsidR="00B120D0">
        <w:rPr>
          <w:rFonts w:ascii="Arial" w:hAnsi="Arial" w:cs="Arial"/>
          <w:u w:val="single"/>
        </w:rPr>
        <w:t>erspend</w:t>
      </w:r>
      <w:r w:rsidR="00F2265C" w:rsidRPr="00F2265C">
        <w:rPr>
          <w:rFonts w:ascii="Arial" w:hAnsi="Arial" w:cs="Arial"/>
          <w:u w:val="single"/>
        </w:rPr>
        <w:t>)</w:t>
      </w:r>
    </w:p>
    <w:p w14:paraId="43C90634" w14:textId="77777777" w:rsidR="00732263" w:rsidRDefault="006F5343" w:rsidP="004E4BFB">
      <w:pPr>
        <w:pStyle w:val="ListParagraph"/>
        <w:rPr>
          <w:rFonts w:ascii="Arial" w:hAnsi="Arial" w:cs="Arial"/>
        </w:rPr>
      </w:pPr>
      <w:r>
        <w:rPr>
          <w:rFonts w:ascii="Arial" w:hAnsi="Arial" w:cs="Arial"/>
        </w:rPr>
        <w:t>Since the last projection, 3 children with SEND have moved into Hartlepool. Their existing out of area provision has been maintained, with responsibility for costs transferring. These changes have reduced the projected underspend by £0.035m.</w:t>
      </w:r>
    </w:p>
    <w:p w14:paraId="11FFC0C0" w14:textId="77777777" w:rsidR="0022097E" w:rsidRPr="00732263" w:rsidRDefault="0022097E" w:rsidP="004E4BFB">
      <w:pPr>
        <w:pStyle w:val="ListParagraph"/>
        <w:rPr>
          <w:rFonts w:ascii="Arial" w:hAnsi="Arial" w:cs="Arial"/>
        </w:rPr>
      </w:pPr>
    </w:p>
    <w:p w14:paraId="1B9240A5" w14:textId="77777777" w:rsidR="00F2265C" w:rsidRDefault="00C12D6E">
      <w:pPr>
        <w:ind w:left="709" w:hanging="709"/>
        <w:rPr>
          <w:rFonts w:ascii="Arial" w:hAnsi="Arial" w:cs="Arial"/>
        </w:rPr>
      </w:pPr>
      <w:r>
        <w:rPr>
          <w:rFonts w:ascii="Arial" w:hAnsi="Arial" w:cs="Arial"/>
        </w:rPr>
        <w:t>4</w:t>
      </w:r>
      <w:r w:rsidR="00B00997">
        <w:rPr>
          <w:rFonts w:ascii="Arial" w:hAnsi="Arial" w:cs="Arial"/>
        </w:rPr>
        <w:t>.5</w:t>
      </w:r>
      <w:r w:rsidR="00B63511">
        <w:rPr>
          <w:rFonts w:ascii="Arial" w:hAnsi="Arial" w:cs="Arial"/>
        </w:rPr>
        <w:tab/>
      </w:r>
      <w:r w:rsidR="00400A90">
        <w:rPr>
          <w:rFonts w:ascii="Arial" w:hAnsi="Arial" w:cs="Arial"/>
        </w:rPr>
        <w:tab/>
      </w:r>
      <w:r w:rsidR="00F2265C" w:rsidRPr="00F2265C">
        <w:rPr>
          <w:rFonts w:ascii="Arial" w:hAnsi="Arial" w:cs="Arial"/>
          <w:u w:val="single"/>
        </w:rPr>
        <w:t>Top-u</w:t>
      </w:r>
      <w:r w:rsidR="00AD2F4C">
        <w:rPr>
          <w:rFonts w:ascii="Arial" w:hAnsi="Arial" w:cs="Arial"/>
          <w:u w:val="single"/>
        </w:rPr>
        <w:t>p funding and support (£0.14</w:t>
      </w:r>
      <w:r w:rsidR="006F5343">
        <w:rPr>
          <w:rFonts w:ascii="Arial" w:hAnsi="Arial" w:cs="Arial"/>
          <w:u w:val="single"/>
        </w:rPr>
        <w:t>4</w:t>
      </w:r>
      <w:r w:rsidR="000921B9">
        <w:rPr>
          <w:rFonts w:ascii="Arial" w:hAnsi="Arial" w:cs="Arial"/>
          <w:u w:val="single"/>
        </w:rPr>
        <w:t>m und</w:t>
      </w:r>
      <w:r w:rsidR="00F2265C" w:rsidRPr="00F2265C">
        <w:rPr>
          <w:rFonts w:ascii="Arial" w:hAnsi="Arial" w:cs="Arial"/>
          <w:u w:val="single"/>
        </w:rPr>
        <w:t>erspend)</w:t>
      </w:r>
    </w:p>
    <w:p w14:paraId="54C6CAF0" w14:textId="77777777" w:rsidR="00A40901" w:rsidRDefault="006F5343" w:rsidP="00F2265C">
      <w:pPr>
        <w:ind w:left="709"/>
        <w:rPr>
          <w:rFonts w:ascii="Arial" w:hAnsi="Arial" w:cs="Arial"/>
        </w:rPr>
      </w:pPr>
      <w:r>
        <w:rPr>
          <w:rFonts w:ascii="Arial" w:hAnsi="Arial" w:cs="Arial"/>
        </w:rPr>
        <w:t xml:space="preserve">Changes to estimates for top-up payments (above number) to special schools have </w:t>
      </w:r>
      <w:r w:rsidR="00A40901">
        <w:rPr>
          <w:rFonts w:ascii="Arial" w:hAnsi="Arial" w:cs="Arial"/>
        </w:rPr>
        <w:t>been reviewed based on payments agreed to the end of quarter 2.</w:t>
      </w:r>
    </w:p>
    <w:p w14:paraId="69644096" w14:textId="77777777" w:rsidR="00A40901" w:rsidRDefault="00A40901" w:rsidP="00F2265C">
      <w:pPr>
        <w:ind w:left="709"/>
        <w:rPr>
          <w:rFonts w:ascii="Arial" w:hAnsi="Arial" w:cs="Arial"/>
        </w:rPr>
      </w:pPr>
    </w:p>
    <w:p w14:paraId="460EADCF" w14:textId="77777777" w:rsidR="00246152" w:rsidRDefault="00A40901" w:rsidP="00F2265C">
      <w:pPr>
        <w:ind w:left="709"/>
        <w:rPr>
          <w:rFonts w:ascii="Arial" w:hAnsi="Arial" w:cs="Arial"/>
        </w:rPr>
      </w:pPr>
      <w:r>
        <w:rPr>
          <w:rFonts w:ascii="Arial" w:hAnsi="Arial" w:cs="Arial"/>
        </w:rPr>
        <w:t xml:space="preserve">Estimates for Individual Pupil Support have been reviewed and adjusted at the half year point. The mid-case projection includes successful panel outcomes amounting to a cost of £0.064m for the second half of the year.  </w:t>
      </w:r>
    </w:p>
    <w:p w14:paraId="3C2EA695" w14:textId="77777777" w:rsidR="00A40901" w:rsidRDefault="00A40901" w:rsidP="00F2265C">
      <w:pPr>
        <w:ind w:left="709"/>
        <w:rPr>
          <w:rFonts w:ascii="Arial" w:hAnsi="Arial" w:cs="Arial"/>
        </w:rPr>
      </w:pPr>
    </w:p>
    <w:p w14:paraId="64B96770" w14:textId="77777777" w:rsidR="00A40901" w:rsidRDefault="00A40901" w:rsidP="00F2265C">
      <w:pPr>
        <w:ind w:left="709"/>
        <w:rPr>
          <w:rFonts w:ascii="Arial" w:hAnsi="Arial" w:cs="Arial"/>
          <w:highlight w:val="yellow"/>
        </w:rPr>
      </w:pPr>
      <w:r>
        <w:rPr>
          <w:rFonts w:ascii="Arial" w:hAnsi="Arial" w:cs="Arial"/>
        </w:rPr>
        <w:t>These changes have increased the overall expected underspend by £0.092m.</w:t>
      </w:r>
    </w:p>
    <w:p w14:paraId="37C20E34" w14:textId="77777777" w:rsidR="00385AB3" w:rsidRDefault="00385AB3">
      <w:pPr>
        <w:ind w:left="709" w:hanging="709"/>
        <w:rPr>
          <w:rFonts w:ascii="Arial" w:hAnsi="Arial" w:cs="Arial"/>
        </w:rPr>
      </w:pPr>
    </w:p>
    <w:p w14:paraId="2AA7A48D" w14:textId="77777777" w:rsidR="00646A3E" w:rsidRPr="005C2C41" w:rsidRDefault="00646A3E" w:rsidP="00646A3E">
      <w:pPr>
        <w:ind w:left="709" w:hanging="709"/>
        <w:rPr>
          <w:rFonts w:ascii="Arial" w:hAnsi="Arial" w:cs="Arial"/>
        </w:rPr>
      </w:pPr>
      <w:r w:rsidRPr="005C2C41">
        <w:rPr>
          <w:rFonts w:ascii="Arial" w:hAnsi="Arial" w:cs="Arial"/>
        </w:rPr>
        <w:t>4.6</w:t>
      </w:r>
      <w:r w:rsidRPr="005C2C41">
        <w:rPr>
          <w:rFonts w:ascii="Arial" w:hAnsi="Arial" w:cs="Arial"/>
        </w:rPr>
        <w:tab/>
      </w:r>
      <w:r w:rsidR="006F5343">
        <w:rPr>
          <w:rFonts w:ascii="Arial" w:hAnsi="Arial" w:cs="Arial"/>
          <w:u w:val="single"/>
        </w:rPr>
        <w:t xml:space="preserve">Horizon School and Alternative Provision </w:t>
      </w:r>
      <w:r w:rsidR="00A65284" w:rsidRPr="005C2C41">
        <w:rPr>
          <w:rFonts w:ascii="Arial" w:hAnsi="Arial" w:cs="Arial"/>
          <w:u w:val="single"/>
        </w:rPr>
        <w:t>(</w:t>
      </w:r>
      <w:r w:rsidR="00A40901">
        <w:rPr>
          <w:rFonts w:ascii="Arial" w:hAnsi="Arial" w:cs="Arial"/>
          <w:u w:val="single"/>
        </w:rPr>
        <w:t>£0.028</w:t>
      </w:r>
      <w:r w:rsidR="006F5343">
        <w:rPr>
          <w:rFonts w:ascii="Arial" w:hAnsi="Arial" w:cs="Arial"/>
          <w:u w:val="single"/>
        </w:rPr>
        <w:t>m overspend</w:t>
      </w:r>
      <w:r w:rsidRPr="005C2C41">
        <w:rPr>
          <w:rFonts w:ascii="Arial" w:hAnsi="Arial" w:cs="Arial"/>
          <w:u w:val="single"/>
        </w:rPr>
        <w:t>)</w:t>
      </w:r>
    </w:p>
    <w:p w14:paraId="7C608FE2" w14:textId="1D2736A3" w:rsidR="00646A3E" w:rsidRDefault="00AD2F4C" w:rsidP="00646A3E">
      <w:pPr>
        <w:ind w:left="709"/>
        <w:rPr>
          <w:rFonts w:ascii="Arial" w:hAnsi="Arial" w:cs="Arial"/>
        </w:rPr>
      </w:pPr>
      <w:r>
        <w:rPr>
          <w:rFonts w:ascii="Arial" w:hAnsi="Arial" w:cs="Arial"/>
        </w:rPr>
        <w:t xml:space="preserve">Forum Members will recall that this area of spend was recently combined under the management of the Horizon School Head Teacher. Pending further analysis to </w:t>
      </w:r>
      <w:r w:rsidR="000F6A86">
        <w:rPr>
          <w:rFonts w:ascii="Arial" w:hAnsi="Arial" w:cs="Arial"/>
        </w:rPr>
        <w:t>track excluded pupils and their associated costs and funding at a detailed level</w:t>
      </w:r>
      <w:r>
        <w:rPr>
          <w:rFonts w:ascii="Arial" w:hAnsi="Arial" w:cs="Arial"/>
        </w:rPr>
        <w:t>, the previous outturn projection assumed spend would be in line with budget</w:t>
      </w:r>
      <w:r w:rsidR="000F6A86">
        <w:rPr>
          <w:rFonts w:ascii="Arial" w:hAnsi="Arial" w:cs="Arial"/>
        </w:rPr>
        <w:t>.</w:t>
      </w:r>
      <w:r>
        <w:rPr>
          <w:rFonts w:ascii="Arial" w:hAnsi="Arial" w:cs="Arial"/>
        </w:rPr>
        <w:t xml:space="preserve"> Further work has taken place during this quarter and </w:t>
      </w:r>
      <w:r w:rsidR="00F57842">
        <w:rPr>
          <w:rFonts w:ascii="Arial" w:hAnsi="Arial" w:cs="Arial"/>
        </w:rPr>
        <w:t xml:space="preserve">Forum </w:t>
      </w:r>
      <w:r>
        <w:rPr>
          <w:rFonts w:ascii="Arial" w:hAnsi="Arial" w:cs="Arial"/>
        </w:rPr>
        <w:t>Members are provided with a separate report on this same agenda to outline the current position</w:t>
      </w:r>
      <w:r w:rsidR="00A40901">
        <w:rPr>
          <w:rFonts w:ascii="Arial" w:hAnsi="Arial" w:cs="Arial"/>
        </w:rPr>
        <w:t xml:space="preserve"> and the estimated £0.028</w:t>
      </w:r>
      <w:r>
        <w:rPr>
          <w:rFonts w:ascii="Arial" w:hAnsi="Arial" w:cs="Arial"/>
        </w:rPr>
        <w:t>m overspend.</w:t>
      </w:r>
    </w:p>
    <w:p w14:paraId="1F7CC910" w14:textId="77777777" w:rsidR="00A65284" w:rsidRDefault="00A65284" w:rsidP="00A65284">
      <w:pPr>
        <w:rPr>
          <w:rFonts w:ascii="Arial" w:hAnsi="Arial" w:cs="Arial"/>
        </w:rPr>
      </w:pPr>
    </w:p>
    <w:p w14:paraId="113A3D50" w14:textId="77777777" w:rsidR="00646A3E" w:rsidRPr="00646A3E" w:rsidRDefault="00C12D6E">
      <w:pPr>
        <w:ind w:left="709" w:hanging="709"/>
        <w:rPr>
          <w:rFonts w:ascii="Arial" w:hAnsi="Arial" w:cs="Arial"/>
          <w:u w:val="single"/>
        </w:rPr>
      </w:pPr>
      <w:r>
        <w:rPr>
          <w:rFonts w:ascii="Arial" w:hAnsi="Arial" w:cs="Arial"/>
        </w:rPr>
        <w:t>4</w:t>
      </w:r>
      <w:r w:rsidR="000F6A86">
        <w:rPr>
          <w:rFonts w:ascii="Arial" w:hAnsi="Arial" w:cs="Arial"/>
        </w:rPr>
        <w:t>.7</w:t>
      </w:r>
      <w:r w:rsidR="00B63511">
        <w:rPr>
          <w:rFonts w:ascii="Arial" w:hAnsi="Arial" w:cs="Arial"/>
        </w:rPr>
        <w:tab/>
      </w:r>
      <w:r w:rsidR="00646A3E" w:rsidRPr="00646A3E">
        <w:rPr>
          <w:rFonts w:ascii="Arial" w:hAnsi="Arial" w:cs="Arial"/>
          <w:u w:val="single"/>
        </w:rPr>
        <w:t>SEMH Free School</w:t>
      </w:r>
      <w:r w:rsidR="00646A3E">
        <w:rPr>
          <w:rFonts w:ascii="Arial" w:hAnsi="Arial" w:cs="Arial"/>
          <w:u w:val="single"/>
        </w:rPr>
        <w:t xml:space="preserve"> (£0.062m underspend)</w:t>
      </w:r>
    </w:p>
    <w:p w14:paraId="024ED905" w14:textId="77777777" w:rsidR="00646A3E" w:rsidRDefault="00646A3E">
      <w:pPr>
        <w:ind w:left="709" w:hanging="709"/>
        <w:rPr>
          <w:rFonts w:ascii="Arial" w:hAnsi="Arial" w:cs="Arial"/>
        </w:rPr>
      </w:pPr>
      <w:r>
        <w:rPr>
          <w:rFonts w:ascii="Arial" w:hAnsi="Arial" w:cs="Arial"/>
        </w:rPr>
        <w:tab/>
        <w:t>A budget was set in 2020/21 linked to the original start date for the SEMH Free School of January 2021. This budget will not be required in 2021/22.</w:t>
      </w:r>
      <w:r w:rsidR="00AD2F4C">
        <w:rPr>
          <w:rFonts w:ascii="Arial" w:hAnsi="Arial" w:cs="Arial"/>
        </w:rPr>
        <w:t xml:space="preserve"> This position is unchanged from the quarter 1 update.</w:t>
      </w:r>
    </w:p>
    <w:p w14:paraId="25E835B6" w14:textId="77777777" w:rsidR="00646A3E" w:rsidRDefault="00646A3E">
      <w:pPr>
        <w:ind w:left="709" w:hanging="709"/>
        <w:rPr>
          <w:rFonts w:ascii="Arial" w:hAnsi="Arial" w:cs="Arial"/>
        </w:rPr>
      </w:pPr>
    </w:p>
    <w:p w14:paraId="586156FE" w14:textId="77777777" w:rsidR="00F2265C" w:rsidRDefault="000F6A86">
      <w:pPr>
        <w:ind w:left="709" w:hanging="709"/>
        <w:rPr>
          <w:rFonts w:ascii="Arial" w:hAnsi="Arial" w:cs="Arial"/>
        </w:rPr>
      </w:pPr>
      <w:r>
        <w:rPr>
          <w:rFonts w:ascii="Arial" w:hAnsi="Arial" w:cs="Arial"/>
        </w:rPr>
        <w:t>4.8</w:t>
      </w:r>
      <w:r w:rsidR="00646A3E">
        <w:rPr>
          <w:rFonts w:ascii="Arial" w:hAnsi="Arial" w:cs="Arial"/>
        </w:rPr>
        <w:tab/>
      </w:r>
      <w:r w:rsidR="00F2265C" w:rsidRPr="00F2265C">
        <w:rPr>
          <w:rFonts w:ascii="Arial" w:hAnsi="Arial" w:cs="Arial"/>
          <w:u w:val="single"/>
        </w:rPr>
        <w:t>Po</w:t>
      </w:r>
      <w:r w:rsidR="004C7214">
        <w:rPr>
          <w:rFonts w:ascii="Arial" w:hAnsi="Arial" w:cs="Arial"/>
          <w:u w:val="single"/>
        </w:rPr>
        <w:t>st-16 top-up funding (£0.113</w:t>
      </w:r>
      <w:r w:rsidR="00311B40">
        <w:rPr>
          <w:rFonts w:ascii="Arial" w:hAnsi="Arial" w:cs="Arial"/>
          <w:u w:val="single"/>
        </w:rPr>
        <w:t>m ov</w:t>
      </w:r>
      <w:r w:rsidR="00725E24">
        <w:rPr>
          <w:rFonts w:ascii="Arial" w:hAnsi="Arial" w:cs="Arial"/>
          <w:u w:val="single"/>
        </w:rPr>
        <w:t>erspend</w:t>
      </w:r>
      <w:r w:rsidR="00F2265C" w:rsidRPr="00F2265C">
        <w:rPr>
          <w:rFonts w:ascii="Arial" w:hAnsi="Arial" w:cs="Arial"/>
          <w:u w:val="single"/>
        </w:rPr>
        <w:t>)</w:t>
      </w:r>
    </w:p>
    <w:p w14:paraId="295330E1" w14:textId="77777777" w:rsidR="004C5FD4" w:rsidRDefault="00AD2F4C" w:rsidP="00F2265C">
      <w:pPr>
        <w:ind w:left="709"/>
        <w:rPr>
          <w:rFonts w:ascii="Arial" w:hAnsi="Arial" w:cs="Arial"/>
        </w:rPr>
      </w:pPr>
      <w:r>
        <w:rPr>
          <w:rFonts w:ascii="Arial" w:hAnsi="Arial" w:cs="Arial"/>
        </w:rPr>
        <w:t>Members will recall that t</w:t>
      </w:r>
      <w:r w:rsidR="00C3215F">
        <w:rPr>
          <w:rFonts w:ascii="Arial" w:hAnsi="Arial" w:cs="Arial"/>
        </w:rPr>
        <w:t xml:space="preserve">here is growing financial pressure on funding of education for pupils with SEND in further education. Spending in this area is extremely difficult to predict as it is dependent on the volume of young people with SEND choosing to continue their education beyond </w:t>
      </w:r>
      <w:r w:rsidR="00243216">
        <w:rPr>
          <w:rFonts w:ascii="Arial" w:hAnsi="Arial" w:cs="Arial"/>
        </w:rPr>
        <w:t xml:space="preserve">age </w:t>
      </w:r>
      <w:r w:rsidR="00C3215F">
        <w:rPr>
          <w:rFonts w:ascii="Arial" w:hAnsi="Arial" w:cs="Arial"/>
        </w:rPr>
        <w:t xml:space="preserve">16, along with the particular course chosen. </w:t>
      </w:r>
    </w:p>
    <w:p w14:paraId="77870313" w14:textId="77777777" w:rsidR="00C3215F" w:rsidRDefault="00C3215F" w:rsidP="00F2265C">
      <w:pPr>
        <w:ind w:left="709"/>
        <w:rPr>
          <w:rFonts w:ascii="Arial" w:hAnsi="Arial" w:cs="Arial"/>
        </w:rPr>
      </w:pPr>
    </w:p>
    <w:p w14:paraId="118DD9DB" w14:textId="77777777" w:rsidR="00C3215F" w:rsidRDefault="00AD2F4C" w:rsidP="00F2265C">
      <w:pPr>
        <w:ind w:left="709"/>
        <w:rPr>
          <w:rFonts w:ascii="Arial" w:hAnsi="Arial" w:cs="Arial"/>
        </w:rPr>
      </w:pPr>
      <w:r>
        <w:rPr>
          <w:rFonts w:ascii="Arial" w:hAnsi="Arial" w:cs="Arial"/>
        </w:rPr>
        <w:t>However, having reviewed expenditure at the half-year point, the projected overspend has been reduced from £0.202m to £</w:t>
      </w:r>
      <w:r w:rsidR="004C7214">
        <w:rPr>
          <w:rFonts w:ascii="Arial" w:hAnsi="Arial" w:cs="Arial"/>
        </w:rPr>
        <w:t>0.113</w:t>
      </w:r>
      <w:r>
        <w:rPr>
          <w:rFonts w:ascii="Arial" w:hAnsi="Arial" w:cs="Arial"/>
        </w:rPr>
        <w:t xml:space="preserve">m. </w:t>
      </w:r>
    </w:p>
    <w:p w14:paraId="09EB540B" w14:textId="77777777" w:rsidR="004C5FD4" w:rsidRDefault="004C5FD4">
      <w:pPr>
        <w:rPr>
          <w:rFonts w:ascii="Arial" w:hAnsi="Arial" w:cs="Arial"/>
        </w:rPr>
      </w:pPr>
    </w:p>
    <w:p w14:paraId="2403E74A" w14:textId="77777777" w:rsidR="00F2265C" w:rsidRDefault="000F6A86">
      <w:pPr>
        <w:ind w:left="709" w:hanging="709"/>
        <w:rPr>
          <w:rFonts w:ascii="Arial" w:hAnsi="Arial" w:cs="Arial"/>
        </w:rPr>
      </w:pPr>
      <w:r>
        <w:rPr>
          <w:rFonts w:ascii="Arial" w:hAnsi="Arial" w:cs="Arial"/>
        </w:rPr>
        <w:t>4.9</w:t>
      </w:r>
      <w:r w:rsidR="00C12D6E">
        <w:rPr>
          <w:rFonts w:ascii="Arial" w:hAnsi="Arial" w:cs="Arial"/>
        </w:rPr>
        <w:tab/>
      </w:r>
      <w:r w:rsidR="005E2E8A">
        <w:rPr>
          <w:rFonts w:ascii="Arial" w:hAnsi="Arial" w:cs="Arial"/>
          <w:u w:val="single"/>
        </w:rPr>
        <w:t>Support Services (nil variance</w:t>
      </w:r>
      <w:r w:rsidR="00F2265C" w:rsidRPr="004A3200">
        <w:rPr>
          <w:rFonts w:ascii="Arial" w:hAnsi="Arial" w:cs="Arial"/>
          <w:u w:val="single"/>
        </w:rPr>
        <w:t>)</w:t>
      </w:r>
    </w:p>
    <w:p w14:paraId="44CCCBB0" w14:textId="77777777" w:rsidR="00D22808" w:rsidRDefault="00F2265C" w:rsidP="00F2265C">
      <w:pPr>
        <w:ind w:left="709"/>
        <w:rPr>
          <w:rFonts w:ascii="Arial" w:hAnsi="Arial" w:cs="Arial"/>
          <w:noProof/>
          <w:color w:val="000000" w:themeColor="text1"/>
          <w:lang w:eastAsia="en-GB"/>
        </w:rPr>
      </w:pPr>
      <w:r>
        <w:rPr>
          <w:rFonts w:ascii="Arial" w:hAnsi="Arial" w:cs="Arial"/>
        </w:rPr>
        <w:t xml:space="preserve">The contribution from high needs to local authority support services </w:t>
      </w:r>
      <w:r w:rsidR="00C83C5D">
        <w:rPr>
          <w:rFonts w:ascii="Arial" w:hAnsi="Arial" w:cs="Arial"/>
        </w:rPr>
        <w:t>has been</w:t>
      </w:r>
      <w:r>
        <w:rPr>
          <w:rFonts w:ascii="Arial" w:hAnsi="Arial" w:cs="Arial"/>
        </w:rPr>
        <w:t xml:space="preserve"> maintained at budget level, with inflationary increases being absorbed by the local authority.</w:t>
      </w:r>
      <w:r w:rsidR="00D22808" w:rsidRPr="00BA251F">
        <w:rPr>
          <w:rFonts w:ascii="Arial" w:hAnsi="Arial" w:cs="Arial"/>
          <w:noProof/>
          <w:color w:val="000000" w:themeColor="text1"/>
          <w:lang w:eastAsia="en-GB"/>
        </w:rPr>
        <w:t xml:space="preserve"> </w:t>
      </w:r>
    </w:p>
    <w:p w14:paraId="7FAEF58D" w14:textId="77777777" w:rsidR="00C434FA" w:rsidRDefault="00C434FA" w:rsidP="00F2265C">
      <w:pPr>
        <w:ind w:left="709"/>
        <w:rPr>
          <w:rFonts w:ascii="Arial" w:hAnsi="Arial" w:cs="Arial"/>
          <w:noProof/>
          <w:color w:val="000000" w:themeColor="text1"/>
          <w:lang w:eastAsia="en-GB"/>
        </w:rPr>
      </w:pPr>
    </w:p>
    <w:p w14:paraId="760F2186" w14:textId="4A620FDE" w:rsidR="00C434FA" w:rsidRDefault="000F6A86" w:rsidP="005E2E8A">
      <w:pPr>
        <w:ind w:left="709" w:hanging="709"/>
        <w:rPr>
          <w:rFonts w:ascii="Arial" w:hAnsi="Arial" w:cs="Arial"/>
          <w:noProof/>
          <w:color w:val="000000" w:themeColor="text1"/>
          <w:lang w:eastAsia="en-GB"/>
        </w:rPr>
      </w:pPr>
      <w:r>
        <w:rPr>
          <w:rFonts w:ascii="Arial" w:hAnsi="Arial" w:cs="Arial"/>
          <w:noProof/>
          <w:color w:val="000000" w:themeColor="text1"/>
          <w:lang w:eastAsia="en-GB"/>
        </w:rPr>
        <w:t>4.10</w:t>
      </w:r>
      <w:r w:rsidR="00C434FA">
        <w:rPr>
          <w:rFonts w:ascii="Arial" w:hAnsi="Arial" w:cs="Arial"/>
          <w:noProof/>
          <w:color w:val="000000" w:themeColor="text1"/>
          <w:lang w:eastAsia="en-GB"/>
        </w:rPr>
        <w:tab/>
      </w:r>
      <w:r w:rsidR="005E2E8A">
        <w:rPr>
          <w:rFonts w:ascii="Arial" w:hAnsi="Arial" w:cs="Arial"/>
          <w:noProof/>
          <w:color w:val="000000" w:themeColor="text1"/>
          <w:lang w:eastAsia="en-GB"/>
        </w:rPr>
        <w:tab/>
      </w:r>
      <w:r w:rsidR="006D415F">
        <w:rPr>
          <w:rFonts w:ascii="Arial" w:hAnsi="Arial" w:cs="Arial"/>
          <w:noProof/>
          <w:color w:val="000000" w:themeColor="text1"/>
          <w:lang w:eastAsia="en-GB"/>
        </w:rPr>
        <w:t>The</w:t>
      </w:r>
      <w:r w:rsidR="00C83C5D">
        <w:rPr>
          <w:rFonts w:ascii="Arial" w:hAnsi="Arial" w:cs="Arial"/>
          <w:noProof/>
          <w:color w:val="000000" w:themeColor="text1"/>
          <w:lang w:eastAsia="en-GB"/>
        </w:rPr>
        <w:t>re is currently a reserves deficit relating to the High Needs Block</w:t>
      </w:r>
      <w:r w:rsidR="00311B40">
        <w:rPr>
          <w:rFonts w:ascii="Arial" w:hAnsi="Arial" w:cs="Arial"/>
          <w:noProof/>
          <w:color w:val="000000" w:themeColor="text1"/>
          <w:lang w:eastAsia="en-GB"/>
        </w:rPr>
        <w:t xml:space="preserve"> o</w:t>
      </w:r>
      <w:r w:rsidR="00311B40" w:rsidRPr="0022639B">
        <w:rPr>
          <w:rFonts w:ascii="Arial" w:hAnsi="Arial" w:cs="Arial"/>
          <w:noProof/>
          <w:color w:val="000000" w:themeColor="text1"/>
          <w:lang w:eastAsia="en-GB"/>
        </w:rPr>
        <w:t>f £</w:t>
      </w:r>
      <w:r w:rsidR="0015598A">
        <w:rPr>
          <w:rFonts w:ascii="Arial" w:hAnsi="Arial" w:cs="Arial"/>
          <w:noProof/>
          <w:color w:val="000000" w:themeColor="text1"/>
          <w:lang w:eastAsia="en-GB"/>
        </w:rPr>
        <w:t>0.136</w:t>
      </w:r>
      <w:r w:rsidR="0022639B" w:rsidRPr="0022639B">
        <w:rPr>
          <w:rFonts w:ascii="Arial" w:hAnsi="Arial" w:cs="Arial"/>
          <w:noProof/>
          <w:color w:val="000000" w:themeColor="text1"/>
          <w:lang w:eastAsia="en-GB"/>
        </w:rPr>
        <w:t>m</w:t>
      </w:r>
      <w:r w:rsidR="00311B40" w:rsidRPr="0022639B">
        <w:rPr>
          <w:rFonts w:ascii="Arial" w:hAnsi="Arial" w:cs="Arial"/>
          <w:noProof/>
          <w:color w:val="000000" w:themeColor="text1"/>
          <w:lang w:eastAsia="en-GB"/>
        </w:rPr>
        <w:t>.</w:t>
      </w:r>
      <w:r w:rsidR="00311B40">
        <w:rPr>
          <w:rFonts w:ascii="Arial" w:hAnsi="Arial" w:cs="Arial"/>
          <w:noProof/>
          <w:color w:val="000000" w:themeColor="text1"/>
          <w:lang w:eastAsia="en-GB"/>
        </w:rPr>
        <w:t xml:space="preserve"> </w:t>
      </w:r>
      <w:r w:rsidR="00C83C5D">
        <w:rPr>
          <w:rFonts w:ascii="Arial" w:hAnsi="Arial" w:cs="Arial"/>
          <w:noProof/>
          <w:color w:val="000000" w:themeColor="text1"/>
          <w:lang w:eastAsia="en-GB"/>
        </w:rPr>
        <w:t xml:space="preserve">Should the mid-case projection presented in this report materialise, the deficit would increase as at 31 March </w:t>
      </w:r>
      <w:r w:rsidR="00C83C5D" w:rsidRPr="005C0AB2">
        <w:rPr>
          <w:rFonts w:ascii="Arial" w:hAnsi="Arial" w:cs="Arial"/>
          <w:noProof/>
          <w:color w:val="000000" w:themeColor="text1"/>
          <w:lang w:eastAsia="en-GB"/>
        </w:rPr>
        <w:t xml:space="preserve">2021 to </w:t>
      </w:r>
      <w:r w:rsidR="001012E3">
        <w:rPr>
          <w:rFonts w:ascii="Arial" w:hAnsi="Arial" w:cs="Arial"/>
          <w:b/>
          <w:noProof/>
          <w:color w:val="000000" w:themeColor="text1"/>
          <w:lang w:eastAsia="en-GB"/>
        </w:rPr>
        <w:t>£0.173</w:t>
      </w:r>
      <w:r w:rsidR="00C83C5D" w:rsidRPr="005C0AB2">
        <w:rPr>
          <w:rFonts w:ascii="Arial" w:hAnsi="Arial" w:cs="Arial"/>
          <w:b/>
          <w:noProof/>
          <w:color w:val="000000" w:themeColor="text1"/>
          <w:lang w:eastAsia="en-GB"/>
        </w:rPr>
        <w:t>m</w:t>
      </w:r>
      <w:r w:rsidR="00C83C5D" w:rsidRPr="005C0AB2">
        <w:rPr>
          <w:rFonts w:ascii="Arial" w:hAnsi="Arial" w:cs="Arial"/>
          <w:noProof/>
          <w:color w:val="000000" w:themeColor="text1"/>
          <w:lang w:eastAsia="en-GB"/>
        </w:rPr>
        <w:t>.</w:t>
      </w:r>
      <w:r w:rsidR="00C83C5D">
        <w:rPr>
          <w:rFonts w:ascii="Arial" w:hAnsi="Arial" w:cs="Arial"/>
          <w:noProof/>
          <w:color w:val="000000" w:themeColor="text1"/>
          <w:lang w:eastAsia="en-GB"/>
        </w:rPr>
        <w:t xml:space="preserve"> </w:t>
      </w:r>
    </w:p>
    <w:p w14:paraId="3D8602E6" w14:textId="77777777" w:rsidR="00246152" w:rsidRDefault="00246152" w:rsidP="005E2E8A">
      <w:pPr>
        <w:ind w:left="709" w:hanging="709"/>
        <w:rPr>
          <w:rFonts w:ascii="Arial" w:hAnsi="Arial" w:cs="Arial"/>
          <w:noProof/>
          <w:color w:val="000000" w:themeColor="text1"/>
          <w:lang w:eastAsia="en-GB"/>
        </w:rPr>
      </w:pPr>
    </w:p>
    <w:p w14:paraId="5929F6B6" w14:textId="77777777" w:rsidR="00246152" w:rsidRDefault="000F6A86" w:rsidP="005E2E8A">
      <w:pPr>
        <w:ind w:left="709" w:hanging="709"/>
        <w:rPr>
          <w:rFonts w:ascii="Arial" w:hAnsi="Arial" w:cs="Arial"/>
          <w:noProof/>
          <w:color w:val="000000" w:themeColor="text1"/>
          <w:lang w:eastAsia="en-GB"/>
        </w:rPr>
      </w:pPr>
      <w:r>
        <w:rPr>
          <w:rFonts w:ascii="Arial" w:hAnsi="Arial" w:cs="Arial"/>
          <w:noProof/>
          <w:color w:val="000000" w:themeColor="text1"/>
          <w:lang w:eastAsia="en-GB"/>
        </w:rPr>
        <w:t>4.11</w:t>
      </w:r>
      <w:r w:rsidR="00246152">
        <w:rPr>
          <w:rFonts w:ascii="Arial" w:hAnsi="Arial" w:cs="Arial"/>
          <w:noProof/>
          <w:color w:val="000000" w:themeColor="text1"/>
          <w:lang w:eastAsia="en-GB"/>
        </w:rPr>
        <w:tab/>
        <w:t xml:space="preserve">Plans to repay the deficit must be considered as part of financial planning for </w:t>
      </w:r>
      <w:r w:rsidR="007409F8">
        <w:rPr>
          <w:rFonts w:ascii="Arial" w:hAnsi="Arial" w:cs="Arial"/>
          <w:noProof/>
          <w:color w:val="000000" w:themeColor="text1"/>
          <w:lang w:eastAsia="en-GB"/>
        </w:rPr>
        <w:t>2021/22 and beyond</w:t>
      </w:r>
      <w:r w:rsidR="00246152">
        <w:rPr>
          <w:rFonts w:ascii="Arial" w:hAnsi="Arial" w:cs="Arial"/>
          <w:noProof/>
          <w:color w:val="000000" w:themeColor="text1"/>
          <w:lang w:eastAsia="en-GB"/>
        </w:rPr>
        <w:t>.</w:t>
      </w:r>
    </w:p>
    <w:p w14:paraId="39EA970F" w14:textId="77777777" w:rsidR="00DD0E20" w:rsidRDefault="00DD0E20" w:rsidP="005E2E8A">
      <w:pPr>
        <w:ind w:left="709" w:hanging="709"/>
        <w:rPr>
          <w:rFonts w:ascii="Arial" w:hAnsi="Arial" w:cs="Arial"/>
          <w:noProof/>
          <w:color w:val="000000" w:themeColor="text1"/>
          <w:lang w:eastAsia="en-GB"/>
        </w:rPr>
      </w:pPr>
    </w:p>
    <w:p w14:paraId="77B1E659" w14:textId="77777777" w:rsidR="00FC2304" w:rsidRDefault="006D415F" w:rsidP="00FC2304">
      <w:pPr>
        <w:ind w:left="709" w:hanging="709"/>
        <w:rPr>
          <w:rFonts w:ascii="Arial" w:hAnsi="Arial" w:cs="Arial"/>
          <w:b/>
          <w:u w:val="single"/>
        </w:rPr>
      </w:pPr>
      <w:r>
        <w:rPr>
          <w:rFonts w:ascii="Arial" w:hAnsi="Arial" w:cs="Arial"/>
          <w:b/>
        </w:rPr>
        <w:t>5</w:t>
      </w:r>
      <w:r w:rsidR="00D22808" w:rsidRPr="00D22808">
        <w:rPr>
          <w:rFonts w:ascii="Arial" w:hAnsi="Arial" w:cs="Arial"/>
          <w:b/>
        </w:rPr>
        <w:t>.</w:t>
      </w:r>
      <w:r w:rsidR="00FC2304">
        <w:rPr>
          <w:rFonts w:ascii="Arial" w:hAnsi="Arial" w:cs="Arial"/>
        </w:rPr>
        <w:tab/>
      </w:r>
      <w:r w:rsidR="00FC2304" w:rsidRPr="00FC2304">
        <w:rPr>
          <w:rFonts w:ascii="Arial" w:hAnsi="Arial" w:cs="Arial"/>
          <w:b/>
          <w:u w:val="single"/>
        </w:rPr>
        <w:t>Recommendations</w:t>
      </w:r>
    </w:p>
    <w:p w14:paraId="7EDEE49B" w14:textId="77777777" w:rsidR="00FC2304" w:rsidRDefault="00FC2304" w:rsidP="00FC2304">
      <w:pPr>
        <w:ind w:left="709" w:hanging="709"/>
        <w:rPr>
          <w:rFonts w:ascii="Arial" w:hAnsi="Arial" w:cs="Arial"/>
          <w:b/>
          <w:u w:val="single"/>
        </w:rPr>
      </w:pPr>
    </w:p>
    <w:p w14:paraId="47F50D50" w14:textId="77777777" w:rsidR="00D22808" w:rsidRPr="00D22808" w:rsidRDefault="006D415F" w:rsidP="00FC2304">
      <w:pPr>
        <w:ind w:left="709" w:hanging="709"/>
        <w:rPr>
          <w:rFonts w:ascii="Arial" w:hAnsi="Arial" w:cs="Arial"/>
        </w:rPr>
      </w:pPr>
      <w:r>
        <w:rPr>
          <w:rFonts w:ascii="Arial" w:hAnsi="Arial" w:cs="Arial"/>
        </w:rPr>
        <w:t>5</w:t>
      </w:r>
      <w:r w:rsidR="00D22808">
        <w:rPr>
          <w:rFonts w:ascii="Arial" w:hAnsi="Arial" w:cs="Arial"/>
        </w:rPr>
        <w:t>.1</w:t>
      </w:r>
      <w:r w:rsidR="00D22808">
        <w:rPr>
          <w:rFonts w:ascii="Arial" w:hAnsi="Arial" w:cs="Arial"/>
        </w:rPr>
        <w:tab/>
        <w:t>Forum is recommended to</w:t>
      </w:r>
      <w:r w:rsidR="005E2E8A">
        <w:rPr>
          <w:rFonts w:ascii="Arial" w:hAnsi="Arial" w:cs="Arial"/>
        </w:rPr>
        <w:t xml:space="preserve"> note the contents of the report.</w:t>
      </w:r>
    </w:p>
    <w:p w14:paraId="1F0C8B68" w14:textId="77777777" w:rsidR="00D22808" w:rsidRDefault="00D22808" w:rsidP="005E2E8A">
      <w:pPr>
        <w:rPr>
          <w:rFonts w:ascii="Arial" w:hAnsi="Arial" w:cs="Arial"/>
        </w:rPr>
      </w:pPr>
    </w:p>
    <w:sectPr w:rsidR="00D22808" w:rsidSect="0075449A">
      <w:headerReference w:type="default" r:id="rId8"/>
      <w:footerReference w:type="default" r:id="rId9"/>
      <w:pgSz w:w="11906" w:h="16838"/>
      <w:pgMar w:top="1134" w:right="851"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33EE9" w14:textId="77777777" w:rsidR="0045093E" w:rsidRDefault="0045093E" w:rsidP="00E471C6">
      <w:r>
        <w:separator/>
      </w:r>
    </w:p>
  </w:endnote>
  <w:endnote w:type="continuationSeparator" w:id="0">
    <w:p w14:paraId="15C83524" w14:textId="77777777" w:rsidR="0045093E" w:rsidRDefault="0045093E" w:rsidP="00E4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D401B" w14:textId="77777777" w:rsidR="0045093E" w:rsidRPr="00E471C6" w:rsidRDefault="00E57780" w:rsidP="00E471C6">
    <w:pPr>
      <w:pStyle w:val="Footer"/>
      <w:jc w:val="right"/>
      <w:rPr>
        <w:rFonts w:ascii="Arial" w:hAnsi="Arial" w:cs="Arial"/>
        <w:sz w:val="12"/>
        <w:szCs w:val="12"/>
      </w:rPr>
    </w:pPr>
    <w:r>
      <w:rPr>
        <w:rFonts w:ascii="Arial" w:hAnsi="Arial" w:cs="Arial"/>
        <w:noProof/>
        <w:sz w:val="12"/>
        <w:szCs w:val="12"/>
      </w:rPr>
      <w:fldChar w:fldCharType="begin"/>
    </w:r>
    <w:r>
      <w:rPr>
        <w:rFonts w:ascii="Arial" w:hAnsi="Arial" w:cs="Arial"/>
        <w:noProof/>
        <w:sz w:val="12"/>
        <w:szCs w:val="12"/>
      </w:rPr>
      <w:instrText xml:space="preserve"> FILENAME  \* Lower \p  \* MERGEFORMAT </w:instrText>
    </w:r>
    <w:r>
      <w:rPr>
        <w:rFonts w:ascii="Arial" w:hAnsi="Arial" w:cs="Arial"/>
        <w:noProof/>
        <w:sz w:val="12"/>
        <w:szCs w:val="12"/>
      </w:rPr>
      <w:fldChar w:fldCharType="separate"/>
    </w:r>
    <w:r w:rsidR="009D51D6">
      <w:rPr>
        <w:rFonts w:ascii="Arial" w:hAnsi="Arial" w:cs="Arial"/>
        <w:noProof/>
        <w:sz w:val="12"/>
        <w:szCs w:val="12"/>
      </w:rPr>
      <w:t>z:\child &amp; adult services\child\schools\schools forum\meetings\2020-21\14 july 2020\item x_2020 0714 hnb final outturn 201920.docx</w:t>
    </w:r>
    <w:r>
      <w:rPr>
        <w:rFonts w:ascii="Arial" w:hAnsi="Arial" w:cs="Arial"/>
        <w:noProof/>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1A109" w14:textId="77777777" w:rsidR="0045093E" w:rsidRDefault="0045093E" w:rsidP="00E471C6">
      <w:r>
        <w:separator/>
      </w:r>
    </w:p>
  </w:footnote>
  <w:footnote w:type="continuationSeparator" w:id="0">
    <w:p w14:paraId="2FE7FC1F" w14:textId="77777777" w:rsidR="0045093E" w:rsidRDefault="0045093E" w:rsidP="00E4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01386"/>
      <w:docPartObj>
        <w:docPartGallery w:val="Page Numbers (Top of Page)"/>
        <w:docPartUnique/>
      </w:docPartObj>
    </w:sdtPr>
    <w:sdtEndPr/>
    <w:sdtContent>
      <w:p w14:paraId="13B1789B" w14:textId="77777777" w:rsidR="0045093E" w:rsidRDefault="0045093E">
        <w:pPr>
          <w:pStyle w:val="Header"/>
          <w:jc w:val="right"/>
        </w:pPr>
        <w:r w:rsidRPr="004C5FD4">
          <w:rPr>
            <w:rFonts w:ascii="Arial" w:hAnsi="Arial" w:cs="Arial"/>
            <w:sz w:val="16"/>
            <w:szCs w:val="16"/>
          </w:rPr>
          <w:t xml:space="preserve">Page </w:t>
        </w:r>
        <w:r w:rsidRPr="004C5FD4">
          <w:rPr>
            <w:rFonts w:ascii="Arial" w:hAnsi="Arial" w:cs="Arial"/>
            <w:b/>
            <w:sz w:val="16"/>
            <w:szCs w:val="16"/>
          </w:rPr>
          <w:fldChar w:fldCharType="begin"/>
        </w:r>
        <w:r w:rsidRPr="004C5FD4">
          <w:rPr>
            <w:rFonts w:ascii="Arial" w:hAnsi="Arial" w:cs="Arial"/>
            <w:b/>
            <w:sz w:val="16"/>
            <w:szCs w:val="16"/>
          </w:rPr>
          <w:instrText xml:space="preserve"> PAGE </w:instrText>
        </w:r>
        <w:r w:rsidRPr="004C5FD4">
          <w:rPr>
            <w:rFonts w:ascii="Arial" w:hAnsi="Arial" w:cs="Arial"/>
            <w:b/>
            <w:sz w:val="16"/>
            <w:szCs w:val="16"/>
          </w:rPr>
          <w:fldChar w:fldCharType="separate"/>
        </w:r>
        <w:r w:rsidR="00A722DC">
          <w:rPr>
            <w:rFonts w:ascii="Arial" w:hAnsi="Arial" w:cs="Arial"/>
            <w:b/>
            <w:noProof/>
            <w:sz w:val="16"/>
            <w:szCs w:val="16"/>
          </w:rPr>
          <w:t>3</w:t>
        </w:r>
        <w:r w:rsidRPr="004C5FD4">
          <w:rPr>
            <w:rFonts w:ascii="Arial" w:hAnsi="Arial" w:cs="Arial"/>
            <w:b/>
            <w:sz w:val="16"/>
            <w:szCs w:val="16"/>
          </w:rPr>
          <w:fldChar w:fldCharType="end"/>
        </w:r>
        <w:r w:rsidRPr="004C5FD4">
          <w:rPr>
            <w:rFonts w:ascii="Arial" w:hAnsi="Arial" w:cs="Arial"/>
            <w:sz w:val="16"/>
            <w:szCs w:val="16"/>
          </w:rPr>
          <w:t xml:space="preserve"> of </w:t>
        </w:r>
        <w:r w:rsidRPr="004C5FD4">
          <w:rPr>
            <w:rFonts w:ascii="Arial" w:hAnsi="Arial" w:cs="Arial"/>
            <w:b/>
            <w:sz w:val="16"/>
            <w:szCs w:val="16"/>
          </w:rPr>
          <w:fldChar w:fldCharType="begin"/>
        </w:r>
        <w:r w:rsidRPr="004C5FD4">
          <w:rPr>
            <w:rFonts w:ascii="Arial" w:hAnsi="Arial" w:cs="Arial"/>
            <w:b/>
            <w:sz w:val="16"/>
            <w:szCs w:val="16"/>
          </w:rPr>
          <w:instrText xml:space="preserve"> NUMPAGES  </w:instrText>
        </w:r>
        <w:r w:rsidRPr="004C5FD4">
          <w:rPr>
            <w:rFonts w:ascii="Arial" w:hAnsi="Arial" w:cs="Arial"/>
            <w:b/>
            <w:sz w:val="16"/>
            <w:szCs w:val="16"/>
          </w:rPr>
          <w:fldChar w:fldCharType="separate"/>
        </w:r>
        <w:r w:rsidR="00A722DC">
          <w:rPr>
            <w:rFonts w:ascii="Arial" w:hAnsi="Arial" w:cs="Arial"/>
            <w:b/>
            <w:noProof/>
            <w:sz w:val="16"/>
            <w:szCs w:val="16"/>
          </w:rPr>
          <w:t>3</w:t>
        </w:r>
        <w:r w:rsidRPr="004C5FD4">
          <w:rPr>
            <w:rFonts w:ascii="Arial" w:hAnsi="Arial" w:cs="Arial"/>
            <w:b/>
            <w:sz w:val="16"/>
            <w:szCs w:val="16"/>
          </w:rPr>
          <w:fldChar w:fldCharType="end"/>
        </w:r>
      </w:p>
    </w:sdtContent>
  </w:sdt>
  <w:p w14:paraId="1A6C9C1E" w14:textId="77777777" w:rsidR="0045093E" w:rsidRDefault="004509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31A9"/>
    <w:multiLevelType w:val="multilevel"/>
    <w:tmpl w:val="99B4265E"/>
    <w:lvl w:ilvl="0">
      <w:start w:val="4"/>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18D722C9"/>
    <w:multiLevelType w:val="multilevel"/>
    <w:tmpl w:val="411C48D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F42110"/>
    <w:multiLevelType w:val="multilevel"/>
    <w:tmpl w:val="40CAD6E2"/>
    <w:lvl w:ilvl="0">
      <w:start w:val="4"/>
      <w:numFmt w:val="decimal"/>
      <w:lvlText w:val="%1"/>
      <w:lvlJc w:val="left"/>
      <w:pPr>
        <w:ind w:left="468" w:hanging="468"/>
      </w:pPr>
      <w:rPr>
        <w:rFonts w:hint="default"/>
        <w:color w:val="FF0000"/>
      </w:rPr>
    </w:lvl>
    <w:lvl w:ilvl="1">
      <w:start w:val="11"/>
      <w:numFmt w:val="decimal"/>
      <w:lvlText w:val="%1.%2"/>
      <w:lvlJc w:val="left"/>
      <w:pPr>
        <w:ind w:left="468" w:hanging="468"/>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3" w15:restartNumberingAfterBreak="0">
    <w:nsid w:val="262922EA"/>
    <w:multiLevelType w:val="multilevel"/>
    <w:tmpl w:val="2264B06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F7B030B"/>
    <w:multiLevelType w:val="multilevel"/>
    <w:tmpl w:val="D586F776"/>
    <w:lvl w:ilvl="0">
      <w:start w:val="4"/>
      <w:numFmt w:val="decimal"/>
      <w:lvlText w:val="%1"/>
      <w:lvlJc w:val="left"/>
      <w:pPr>
        <w:ind w:left="468" w:hanging="468"/>
      </w:pPr>
      <w:rPr>
        <w:rFonts w:hint="default"/>
      </w:rPr>
    </w:lvl>
    <w:lvl w:ilvl="1">
      <w:start w:val="1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C77D56"/>
    <w:multiLevelType w:val="hybridMultilevel"/>
    <w:tmpl w:val="5BB6B7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BFF3467"/>
    <w:multiLevelType w:val="hybridMultilevel"/>
    <w:tmpl w:val="3E4C6490"/>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7" w15:restartNumberingAfterBreak="0">
    <w:nsid w:val="4F63570A"/>
    <w:multiLevelType w:val="hybridMultilevel"/>
    <w:tmpl w:val="D236E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11E22A4"/>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9" w15:restartNumberingAfterBreak="0">
    <w:nsid w:val="5496584D"/>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0" w15:restartNumberingAfterBreak="0">
    <w:nsid w:val="58697234"/>
    <w:multiLevelType w:val="multilevel"/>
    <w:tmpl w:val="079E844E"/>
    <w:lvl w:ilvl="0">
      <w:start w:val="4"/>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CE36E8"/>
    <w:multiLevelType w:val="multilevel"/>
    <w:tmpl w:val="500C434A"/>
    <w:lvl w:ilvl="0">
      <w:start w:val="5"/>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2" w15:restartNumberingAfterBreak="0">
    <w:nsid w:val="6D471DEB"/>
    <w:multiLevelType w:val="multilevel"/>
    <w:tmpl w:val="DAFEC882"/>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6F9B6804"/>
    <w:multiLevelType w:val="multilevel"/>
    <w:tmpl w:val="7BE44776"/>
    <w:lvl w:ilvl="0">
      <w:start w:val="4"/>
      <w:numFmt w:val="decimal"/>
      <w:lvlText w:val="%1"/>
      <w:lvlJc w:val="left"/>
      <w:pPr>
        <w:ind w:left="360" w:hanging="360"/>
      </w:pPr>
      <w:rPr>
        <w:rFonts w:hint="default"/>
        <w:b w:val="0"/>
        <w:u w:val="none"/>
      </w:rPr>
    </w:lvl>
    <w:lvl w:ilvl="1">
      <w:start w:val="7"/>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4" w15:restartNumberingAfterBreak="0">
    <w:nsid w:val="72D64CC1"/>
    <w:multiLevelType w:val="hybridMultilevel"/>
    <w:tmpl w:val="3F96E7F6"/>
    <w:lvl w:ilvl="0" w:tplc="320667B0">
      <w:start w:val="4"/>
      <w:numFmt w:val="decimal"/>
      <w:lvlText w:val="%1"/>
      <w:lvlJc w:val="left"/>
      <w:pPr>
        <w:ind w:left="720" w:hanging="36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CA58A5"/>
    <w:multiLevelType w:val="hybridMultilevel"/>
    <w:tmpl w:val="0D34005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9"/>
  </w:num>
  <w:num w:numId="2">
    <w:abstractNumId w:val="8"/>
  </w:num>
  <w:num w:numId="3">
    <w:abstractNumId w:val="3"/>
  </w:num>
  <w:num w:numId="4">
    <w:abstractNumId w:val="14"/>
  </w:num>
  <w:num w:numId="5">
    <w:abstractNumId w:val="11"/>
  </w:num>
  <w:num w:numId="6">
    <w:abstractNumId w:val="12"/>
  </w:num>
  <w:num w:numId="7">
    <w:abstractNumId w:val="1"/>
  </w:num>
  <w:num w:numId="8">
    <w:abstractNumId w:val="13"/>
  </w:num>
  <w:num w:numId="9">
    <w:abstractNumId w:val="0"/>
  </w:num>
  <w:num w:numId="10">
    <w:abstractNumId w:val="2"/>
  </w:num>
  <w:num w:numId="11">
    <w:abstractNumId w:val="10"/>
  </w:num>
  <w:num w:numId="12">
    <w:abstractNumId w:val="4"/>
  </w:num>
  <w:num w:numId="13">
    <w:abstractNumId w:val="15"/>
  </w:num>
  <w:num w:numId="14">
    <w:abstractNumId w:val="6"/>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71F0"/>
    <w:rsid w:val="000057EB"/>
    <w:rsid w:val="00011F8F"/>
    <w:rsid w:val="00013AF5"/>
    <w:rsid w:val="00015EDE"/>
    <w:rsid w:val="00025386"/>
    <w:rsid w:val="00037372"/>
    <w:rsid w:val="000403CC"/>
    <w:rsid w:val="00062C85"/>
    <w:rsid w:val="000921B9"/>
    <w:rsid w:val="000F04A7"/>
    <w:rsid w:val="000F185B"/>
    <w:rsid w:val="000F6A86"/>
    <w:rsid w:val="001012E3"/>
    <w:rsid w:val="0010706F"/>
    <w:rsid w:val="00131B1A"/>
    <w:rsid w:val="001346EA"/>
    <w:rsid w:val="0015598A"/>
    <w:rsid w:val="00172F8F"/>
    <w:rsid w:val="0018543D"/>
    <w:rsid w:val="00187032"/>
    <w:rsid w:val="001A1633"/>
    <w:rsid w:val="001B4E94"/>
    <w:rsid w:val="001C1CEC"/>
    <w:rsid w:val="001D58E7"/>
    <w:rsid w:val="001F2A93"/>
    <w:rsid w:val="001F530F"/>
    <w:rsid w:val="0022097E"/>
    <w:rsid w:val="0022639B"/>
    <w:rsid w:val="00233F9C"/>
    <w:rsid w:val="00243216"/>
    <w:rsid w:val="00246152"/>
    <w:rsid w:val="00257CA2"/>
    <w:rsid w:val="00260599"/>
    <w:rsid w:val="0026631E"/>
    <w:rsid w:val="00266910"/>
    <w:rsid w:val="00270F89"/>
    <w:rsid w:val="00273464"/>
    <w:rsid w:val="00276FC8"/>
    <w:rsid w:val="00282753"/>
    <w:rsid w:val="00287C2A"/>
    <w:rsid w:val="002A5C86"/>
    <w:rsid w:val="002B4790"/>
    <w:rsid w:val="002E08A2"/>
    <w:rsid w:val="002E693C"/>
    <w:rsid w:val="002F069C"/>
    <w:rsid w:val="002F150B"/>
    <w:rsid w:val="003055E8"/>
    <w:rsid w:val="00311B40"/>
    <w:rsid w:val="003204CE"/>
    <w:rsid w:val="0033037F"/>
    <w:rsid w:val="00381270"/>
    <w:rsid w:val="00385AB3"/>
    <w:rsid w:val="003871F0"/>
    <w:rsid w:val="0039065B"/>
    <w:rsid w:val="003A2193"/>
    <w:rsid w:val="003A3E4F"/>
    <w:rsid w:val="003B27BE"/>
    <w:rsid w:val="003C21DE"/>
    <w:rsid w:val="003C3884"/>
    <w:rsid w:val="00400A90"/>
    <w:rsid w:val="0040116D"/>
    <w:rsid w:val="00414EA3"/>
    <w:rsid w:val="004263F4"/>
    <w:rsid w:val="0043458F"/>
    <w:rsid w:val="0045093E"/>
    <w:rsid w:val="00484477"/>
    <w:rsid w:val="004853D7"/>
    <w:rsid w:val="004A3200"/>
    <w:rsid w:val="004C5FD4"/>
    <w:rsid w:val="004C7214"/>
    <w:rsid w:val="004E4B4D"/>
    <w:rsid w:val="004E4BFB"/>
    <w:rsid w:val="004E613E"/>
    <w:rsid w:val="00501251"/>
    <w:rsid w:val="00507549"/>
    <w:rsid w:val="0051311E"/>
    <w:rsid w:val="0054743C"/>
    <w:rsid w:val="0057428A"/>
    <w:rsid w:val="005962C8"/>
    <w:rsid w:val="005B4F82"/>
    <w:rsid w:val="005C0AB2"/>
    <w:rsid w:val="005C1EF2"/>
    <w:rsid w:val="005C2C41"/>
    <w:rsid w:val="005D1A77"/>
    <w:rsid w:val="005D205F"/>
    <w:rsid w:val="005E2E8A"/>
    <w:rsid w:val="005E5F47"/>
    <w:rsid w:val="006013DF"/>
    <w:rsid w:val="00602F79"/>
    <w:rsid w:val="006266F4"/>
    <w:rsid w:val="006306AD"/>
    <w:rsid w:val="00646A3E"/>
    <w:rsid w:val="00653A1D"/>
    <w:rsid w:val="00663FCF"/>
    <w:rsid w:val="006732F1"/>
    <w:rsid w:val="006A3E9F"/>
    <w:rsid w:val="006B68F2"/>
    <w:rsid w:val="006D415F"/>
    <w:rsid w:val="006D4B67"/>
    <w:rsid w:val="006E3489"/>
    <w:rsid w:val="006E3A5D"/>
    <w:rsid w:val="006F5343"/>
    <w:rsid w:val="00703A3D"/>
    <w:rsid w:val="00713A5E"/>
    <w:rsid w:val="00725E24"/>
    <w:rsid w:val="00727711"/>
    <w:rsid w:val="00732263"/>
    <w:rsid w:val="0073581B"/>
    <w:rsid w:val="007409F8"/>
    <w:rsid w:val="00741D19"/>
    <w:rsid w:val="00744CFF"/>
    <w:rsid w:val="0075449A"/>
    <w:rsid w:val="0075722A"/>
    <w:rsid w:val="007608C2"/>
    <w:rsid w:val="00780177"/>
    <w:rsid w:val="007D7C94"/>
    <w:rsid w:val="0081304A"/>
    <w:rsid w:val="00822771"/>
    <w:rsid w:val="0086108B"/>
    <w:rsid w:val="008911E4"/>
    <w:rsid w:val="00891692"/>
    <w:rsid w:val="008A1AEB"/>
    <w:rsid w:val="008A226A"/>
    <w:rsid w:val="008E7E00"/>
    <w:rsid w:val="00911F8A"/>
    <w:rsid w:val="009357D5"/>
    <w:rsid w:val="00936635"/>
    <w:rsid w:val="00980EB8"/>
    <w:rsid w:val="009856E9"/>
    <w:rsid w:val="0098703B"/>
    <w:rsid w:val="0099785C"/>
    <w:rsid w:val="009C16A3"/>
    <w:rsid w:val="009D0919"/>
    <w:rsid w:val="009D3D8F"/>
    <w:rsid w:val="009D51D6"/>
    <w:rsid w:val="009D7961"/>
    <w:rsid w:val="009E43D5"/>
    <w:rsid w:val="009F26E4"/>
    <w:rsid w:val="009F60F5"/>
    <w:rsid w:val="00A40901"/>
    <w:rsid w:val="00A61498"/>
    <w:rsid w:val="00A65284"/>
    <w:rsid w:val="00A673B8"/>
    <w:rsid w:val="00A722DC"/>
    <w:rsid w:val="00A8059B"/>
    <w:rsid w:val="00AD2F4C"/>
    <w:rsid w:val="00B00997"/>
    <w:rsid w:val="00B120D0"/>
    <w:rsid w:val="00B1548E"/>
    <w:rsid w:val="00B43848"/>
    <w:rsid w:val="00B51317"/>
    <w:rsid w:val="00B62D8A"/>
    <w:rsid w:val="00B63511"/>
    <w:rsid w:val="00B65FAE"/>
    <w:rsid w:val="00B72C8B"/>
    <w:rsid w:val="00B97826"/>
    <w:rsid w:val="00BD4F0F"/>
    <w:rsid w:val="00BE56CB"/>
    <w:rsid w:val="00BE6D2A"/>
    <w:rsid w:val="00C00559"/>
    <w:rsid w:val="00C026FB"/>
    <w:rsid w:val="00C02934"/>
    <w:rsid w:val="00C10331"/>
    <w:rsid w:val="00C12D6E"/>
    <w:rsid w:val="00C27453"/>
    <w:rsid w:val="00C30CF7"/>
    <w:rsid w:val="00C3215F"/>
    <w:rsid w:val="00C434FA"/>
    <w:rsid w:val="00C601E2"/>
    <w:rsid w:val="00C83C5D"/>
    <w:rsid w:val="00C9166F"/>
    <w:rsid w:val="00C93284"/>
    <w:rsid w:val="00CA3206"/>
    <w:rsid w:val="00CB5907"/>
    <w:rsid w:val="00CC75F9"/>
    <w:rsid w:val="00CF0D3B"/>
    <w:rsid w:val="00D22808"/>
    <w:rsid w:val="00D87564"/>
    <w:rsid w:val="00D904CF"/>
    <w:rsid w:val="00D91329"/>
    <w:rsid w:val="00DA41FA"/>
    <w:rsid w:val="00DB1989"/>
    <w:rsid w:val="00DB5D4E"/>
    <w:rsid w:val="00DC3355"/>
    <w:rsid w:val="00DD0E20"/>
    <w:rsid w:val="00E0381A"/>
    <w:rsid w:val="00E120DB"/>
    <w:rsid w:val="00E33420"/>
    <w:rsid w:val="00E409C8"/>
    <w:rsid w:val="00E471C6"/>
    <w:rsid w:val="00E57780"/>
    <w:rsid w:val="00E60B25"/>
    <w:rsid w:val="00E62BA1"/>
    <w:rsid w:val="00E744A1"/>
    <w:rsid w:val="00E90F23"/>
    <w:rsid w:val="00ED4F3E"/>
    <w:rsid w:val="00EF5032"/>
    <w:rsid w:val="00F01A48"/>
    <w:rsid w:val="00F02884"/>
    <w:rsid w:val="00F2265C"/>
    <w:rsid w:val="00F545DB"/>
    <w:rsid w:val="00F57842"/>
    <w:rsid w:val="00F8207A"/>
    <w:rsid w:val="00F86583"/>
    <w:rsid w:val="00F94AE0"/>
    <w:rsid w:val="00FA2FC6"/>
    <w:rsid w:val="00FA76B6"/>
    <w:rsid w:val="00FB6C7E"/>
    <w:rsid w:val="00FC2304"/>
    <w:rsid w:val="00FC4666"/>
    <w:rsid w:val="00FE5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FF96"/>
  <w15:docId w15:val="{C7B609B8-B687-4DCB-A57A-C1D7ABC9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1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1F0"/>
    <w:pPr>
      <w:ind w:left="720"/>
      <w:contextualSpacing/>
    </w:pPr>
  </w:style>
  <w:style w:type="paragraph" w:styleId="BalloonText">
    <w:name w:val="Balloon Text"/>
    <w:basedOn w:val="Normal"/>
    <w:link w:val="BalloonTextChar"/>
    <w:uiPriority w:val="99"/>
    <w:semiHidden/>
    <w:unhideWhenUsed/>
    <w:rsid w:val="0040116D"/>
    <w:rPr>
      <w:rFonts w:ascii="Tahoma" w:hAnsi="Tahoma" w:cs="Tahoma"/>
      <w:sz w:val="16"/>
      <w:szCs w:val="16"/>
    </w:rPr>
  </w:style>
  <w:style w:type="character" w:customStyle="1" w:styleId="BalloonTextChar">
    <w:name w:val="Balloon Text Char"/>
    <w:basedOn w:val="DefaultParagraphFont"/>
    <w:link w:val="BalloonText"/>
    <w:uiPriority w:val="99"/>
    <w:semiHidden/>
    <w:rsid w:val="0040116D"/>
    <w:rPr>
      <w:rFonts w:ascii="Tahoma" w:eastAsia="Times New Roman" w:hAnsi="Tahoma" w:cs="Tahoma"/>
      <w:sz w:val="16"/>
      <w:szCs w:val="16"/>
    </w:rPr>
  </w:style>
  <w:style w:type="paragraph" w:styleId="Header">
    <w:name w:val="header"/>
    <w:basedOn w:val="Normal"/>
    <w:link w:val="HeaderChar"/>
    <w:uiPriority w:val="99"/>
    <w:unhideWhenUsed/>
    <w:rsid w:val="00E471C6"/>
    <w:pPr>
      <w:tabs>
        <w:tab w:val="center" w:pos="4513"/>
        <w:tab w:val="right" w:pos="9026"/>
      </w:tabs>
    </w:pPr>
  </w:style>
  <w:style w:type="character" w:customStyle="1" w:styleId="HeaderChar">
    <w:name w:val="Header Char"/>
    <w:basedOn w:val="DefaultParagraphFont"/>
    <w:link w:val="Header"/>
    <w:uiPriority w:val="99"/>
    <w:rsid w:val="00E471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1C6"/>
    <w:pPr>
      <w:tabs>
        <w:tab w:val="center" w:pos="4513"/>
        <w:tab w:val="right" w:pos="9026"/>
      </w:tabs>
    </w:pPr>
  </w:style>
  <w:style w:type="character" w:customStyle="1" w:styleId="FooterChar">
    <w:name w:val="Footer Char"/>
    <w:basedOn w:val="DefaultParagraphFont"/>
    <w:link w:val="Footer"/>
    <w:uiPriority w:val="99"/>
    <w:rsid w:val="00E471C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4BFB"/>
    <w:rPr>
      <w:sz w:val="16"/>
      <w:szCs w:val="16"/>
    </w:rPr>
  </w:style>
  <w:style w:type="paragraph" w:styleId="CommentText">
    <w:name w:val="annotation text"/>
    <w:basedOn w:val="Normal"/>
    <w:link w:val="CommentTextChar"/>
    <w:uiPriority w:val="99"/>
    <w:semiHidden/>
    <w:unhideWhenUsed/>
    <w:rsid w:val="004E4BFB"/>
    <w:rPr>
      <w:sz w:val="20"/>
      <w:szCs w:val="20"/>
    </w:rPr>
  </w:style>
  <w:style w:type="character" w:customStyle="1" w:styleId="CommentTextChar">
    <w:name w:val="Comment Text Char"/>
    <w:basedOn w:val="DefaultParagraphFont"/>
    <w:link w:val="CommentText"/>
    <w:uiPriority w:val="99"/>
    <w:semiHidden/>
    <w:rsid w:val="004E4B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BFB"/>
    <w:rPr>
      <w:b/>
      <w:bCs/>
    </w:rPr>
  </w:style>
  <w:style w:type="character" w:customStyle="1" w:styleId="CommentSubjectChar">
    <w:name w:val="Comment Subject Char"/>
    <w:basedOn w:val="CommentTextChar"/>
    <w:link w:val="CommentSubject"/>
    <w:uiPriority w:val="99"/>
    <w:semiHidden/>
    <w:rsid w:val="004E4BFB"/>
    <w:rPr>
      <w:rFonts w:ascii="Times New Roman" w:eastAsia="Times New Roman" w:hAnsi="Times New Roman" w:cs="Times New Roman"/>
      <w:b/>
      <w:bCs/>
      <w:sz w:val="20"/>
      <w:szCs w:val="20"/>
    </w:rPr>
  </w:style>
  <w:style w:type="paragraph" w:styleId="Revision">
    <w:name w:val="Revision"/>
    <w:hidden/>
    <w:uiPriority w:val="99"/>
    <w:semiHidden/>
    <w:rsid w:val="004E4BF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007">
      <w:bodyDiv w:val="1"/>
      <w:marLeft w:val="0"/>
      <w:marRight w:val="0"/>
      <w:marTop w:val="0"/>
      <w:marBottom w:val="0"/>
      <w:divBdr>
        <w:top w:val="none" w:sz="0" w:space="0" w:color="auto"/>
        <w:left w:val="none" w:sz="0" w:space="0" w:color="auto"/>
        <w:bottom w:val="none" w:sz="0" w:space="0" w:color="auto"/>
        <w:right w:val="none" w:sz="0" w:space="0" w:color="auto"/>
      </w:divBdr>
    </w:div>
    <w:div w:id="679938723">
      <w:bodyDiv w:val="1"/>
      <w:marLeft w:val="0"/>
      <w:marRight w:val="0"/>
      <w:marTop w:val="0"/>
      <w:marBottom w:val="0"/>
      <w:divBdr>
        <w:top w:val="none" w:sz="0" w:space="0" w:color="auto"/>
        <w:left w:val="none" w:sz="0" w:space="0" w:color="auto"/>
        <w:bottom w:val="none" w:sz="0" w:space="0" w:color="auto"/>
        <w:right w:val="none" w:sz="0" w:space="0" w:color="auto"/>
      </w:divBdr>
    </w:div>
    <w:div w:id="95374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FAFD5-C364-49A0-9C48-E09F4EFF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3</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Patton</dc:creator>
  <cp:lastModifiedBy>Jo Stubbs</cp:lastModifiedBy>
  <cp:revision>54</cp:revision>
  <cp:lastPrinted>2020-07-13T16:12:00Z</cp:lastPrinted>
  <dcterms:created xsi:type="dcterms:W3CDTF">2019-03-08T13:00:00Z</dcterms:created>
  <dcterms:modified xsi:type="dcterms:W3CDTF">2020-11-13T10:13:00Z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-1171759473</vt:i4>
  </property>
  <property fmtid="{D5CDD505-2E9C-101B-9397-08002B2CF9AE}" pid="3" name="_NewReviewCycle">
    <vt:lpwstr/>
  </property>
  <property fmtid="{D5CDD505-2E9C-101B-9397-08002B2CF9AE}" pid="4" name="_EmailSubject">
    <vt:lpwstr>Schools Forum</vt:lpwstr>
  </property>
  <property fmtid="{D5CDD505-2E9C-101B-9397-08002B2CF9AE}" pid="5" name="_AuthorEmail">
    <vt:lpwstr>Jo.Stubbs@hartlepool.gov.uk</vt:lpwstr>
  </property>
  <property fmtid="{D5CDD505-2E9C-101B-9397-08002B2CF9AE}" pid="6" name="_AuthorEmailDisplayName">
    <vt:lpwstr>Jo Stubbs</vt:lpwstr>
  </property>
  <property fmtid="{D5CDD505-2E9C-101B-9397-08002B2CF9AE}" pid="8" name="_PreviousAdHocReviewCycleID">
    <vt:i4>-1984088313</vt:i4>
  </property>
</Properties>
</file>