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A209F" w14:textId="3E6208B3" w:rsidR="003871F0" w:rsidRPr="00107F84"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sidRPr="00107F84">
        <w:rPr>
          <w:rFonts w:ascii="Arial" w:hAnsi="Arial" w:cs="Arial"/>
          <w:b/>
          <w:bCs/>
        </w:rPr>
        <w:t xml:space="preserve">Report to Hartlepool Schools’ Forum </w:t>
      </w:r>
      <w:r w:rsidR="00170DA8">
        <w:rPr>
          <w:rFonts w:ascii="Arial" w:hAnsi="Arial" w:cs="Arial"/>
          <w:b/>
          <w:bCs/>
        </w:rPr>
        <w:t>2 February 2021</w:t>
      </w:r>
    </w:p>
    <w:p w14:paraId="45825D56" w14:textId="77777777" w:rsidR="003871F0" w:rsidRPr="00BD5981"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From </w:t>
      </w:r>
      <w:r w:rsidR="00013AF5">
        <w:rPr>
          <w:rFonts w:ascii="Arial" w:hAnsi="Arial" w:cs="Arial"/>
          <w:b/>
          <w:bCs/>
        </w:rPr>
        <w:t xml:space="preserve">Danielle Swainston (Assistant </w:t>
      </w:r>
      <w:r>
        <w:rPr>
          <w:rFonts w:ascii="Arial" w:hAnsi="Arial" w:cs="Arial"/>
          <w:b/>
          <w:bCs/>
        </w:rPr>
        <w:t>Director</w:t>
      </w:r>
      <w:r w:rsidR="00013AF5">
        <w:rPr>
          <w:rFonts w:ascii="Arial" w:hAnsi="Arial" w:cs="Arial"/>
          <w:b/>
          <w:bCs/>
        </w:rPr>
        <w:t xml:space="preserve"> – Joint Commissioning)</w:t>
      </w:r>
    </w:p>
    <w:p w14:paraId="35438389" w14:textId="77777777" w:rsidR="001F2A93" w:rsidRDefault="001F2A93"/>
    <w:p w14:paraId="7A19E9B2" w14:textId="7A773B6C" w:rsidR="003871F0" w:rsidRDefault="00E471C6" w:rsidP="003871F0">
      <w:pPr>
        <w:jc w:val="center"/>
        <w:rPr>
          <w:rFonts w:ascii="Arial" w:hAnsi="Arial" w:cs="Arial"/>
          <w:b/>
          <w:u w:val="single"/>
        </w:rPr>
      </w:pPr>
      <w:r>
        <w:rPr>
          <w:rFonts w:ascii="Arial" w:hAnsi="Arial" w:cs="Arial"/>
          <w:b/>
          <w:u w:val="single"/>
        </w:rPr>
        <w:t xml:space="preserve">Item </w:t>
      </w:r>
      <w:r w:rsidR="00EB7762">
        <w:rPr>
          <w:rFonts w:ascii="Arial" w:hAnsi="Arial" w:cs="Arial"/>
          <w:b/>
          <w:u w:val="single"/>
        </w:rPr>
        <w:t>7</w:t>
      </w:r>
      <w:bookmarkStart w:id="0" w:name="_GoBack"/>
      <w:bookmarkEnd w:id="0"/>
      <w:r w:rsidR="00266910">
        <w:rPr>
          <w:rFonts w:ascii="Arial" w:hAnsi="Arial" w:cs="Arial"/>
          <w:b/>
          <w:u w:val="single"/>
        </w:rPr>
        <w:t xml:space="preserve"> </w:t>
      </w:r>
      <w:r>
        <w:rPr>
          <w:rFonts w:ascii="Arial" w:hAnsi="Arial" w:cs="Arial"/>
          <w:b/>
          <w:u w:val="single"/>
        </w:rPr>
        <w:t xml:space="preserve">: </w:t>
      </w:r>
      <w:r w:rsidR="003871F0" w:rsidRPr="003871F0">
        <w:rPr>
          <w:rFonts w:ascii="Arial" w:hAnsi="Arial" w:cs="Arial"/>
          <w:b/>
          <w:u w:val="single"/>
        </w:rPr>
        <w:t>High</w:t>
      </w:r>
      <w:r w:rsidR="003871F0">
        <w:rPr>
          <w:rFonts w:ascii="Arial" w:hAnsi="Arial" w:cs="Arial"/>
          <w:b/>
          <w:u w:val="single"/>
        </w:rPr>
        <w:t xml:space="preserve"> </w:t>
      </w:r>
      <w:r w:rsidR="009E43D5">
        <w:rPr>
          <w:rFonts w:ascii="Arial" w:hAnsi="Arial" w:cs="Arial"/>
          <w:b/>
          <w:u w:val="single"/>
        </w:rPr>
        <w:t>Needs</w:t>
      </w:r>
      <w:r w:rsidR="00013AF5">
        <w:rPr>
          <w:rFonts w:ascii="Arial" w:hAnsi="Arial" w:cs="Arial"/>
          <w:b/>
          <w:u w:val="single"/>
        </w:rPr>
        <w:t xml:space="preserve"> </w:t>
      </w:r>
      <w:r w:rsidR="001346EA">
        <w:rPr>
          <w:rFonts w:ascii="Arial" w:hAnsi="Arial" w:cs="Arial"/>
          <w:b/>
          <w:u w:val="single"/>
        </w:rPr>
        <w:t xml:space="preserve">Block </w:t>
      </w:r>
      <w:r w:rsidR="00590195">
        <w:rPr>
          <w:rFonts w:ascii="Arial" w:hAnsi="Arial" w:cs="Arial"/>
          <w:b/>
          <w:u w:val="single"/>
        </w:rPr>
        <w:t xml:space="preserve">Budget </w:t>
      </w:r>
      <w:r w:rsidR="00170DA8">
        <w:rPr>
          <w:rFonts w:ascii="Arial" w:hAnsi="Arial" w:cs="Arial"/>
          <w:b/>
          <w:u w:val="single"/>
        </w:rPr>
        <w:t>Update</w:t>
      </w:r>
      <w:r w:rsidR="00590195">
        <w:rPr>
          <w:rFonts w:ascii="Arial" w:hAnsi="Arial" w:cs="Arial"/>
          <w:b/>
          <w:u w:val="single"/>
        </w:rPr>
        <w:t xml:space="preserve"> 2021/22</w:t>
      </w:r>
    </w:p>
    <w:p w14:paraId="306B9B31" w14:textId="77777777" w:rsidR="0026631E" w:rsidRPr="0026631E" w:rsidRDefault="0026631E" w:rsidP="0026631E">
      <w:pPr>
        <w:pStyle w:val="ListParagraph"/>
        <w:rPr>
          <w:rFonts w:ascii="Arial" w:hAnsi="Arial" w:cs="Arial"/>
        </w:rPr>
      </w:pPr>
    </w:p>
    <w:p w14:paraId="2B2D7E2B" w14:textId="77777777" w:rsidR="003871F0" w:rsidRPr="003871F0" w:rsidRDefault="003871F0" w:rsidP="002F069C">
      <w:pPr>
        <w:pStyle w:val="ListParagraph"/>
        <w:numPr>
          <w:ilvl w:val="0"/>
          <w:numId w:val="1"/>
        </w:numPr>
        <w:ind w:hanging="720"/>
        <w:rPr>
          <w:rFonts w:ascii="Arial" w:hAnsi="Arial" w:cs="Arial"/>
        </w:rPr>
      </w:pPr>
      <w:r>
        <w:rPr>
          <w:rFonts w:ascii="Arial" w:hAnsi="Arial" w:cs="Arial"/>
          <w:b/>
          <w:u w:val="single"/>
        </w:rPr>
        <w:t>Introduction</w:t>
      </w:r>
    </w:p>
    <w:p w14:paraId="0B4E0985" w14:textId="77777777" w:rsidR="009357D5" w:rsidRDefault="009357D5" w:rsidP="003871F0">
      <w:pPr>
        <w:ind w:left="360"/>
        <w:rPr>
          <w:rFonts w:ascii="Arial" w:hAnsi="Arial" w:cs="Arial"/>
        </w:rPr>
      </w:pPr>
    </w:p>
    <w:p w14:paraId="4BCFFB3F" w14:textId="53F28614" w:rsidR="003871F0" w:rsidRDefault="003871F0" w:rsidP="006732F1">
      <w:pPr>
        <w:pStyle w:val="ListParagraph"/>
        <w:numPr>
          <w:ilvl w:val="1"/>
          <w:numId w:val="1"/>
        </w:numPr>
        <w:ind w:hanging="786"/>
        <w:rPr>
          <w:rFonts w:ascii="Arial" w:hAnsi="Arial" w:cs="Arial"/>
        </w:rPr>
      </w:pPr>
      <w:r w:rsidRPr="00732263">
        <w:rPr>
          <w:rFonts w:ascii="Arial" w:hAnsi="Arial" w:cs="Arial"/>
        </w:rPr>
        <w:t>The purpose of the rep</w:t>
      </w:r>
      <w:r w:rsidR="00B72C8B">
        <w:rPr>
          <w:rFonts w:ascii="Arial" w:hAnsi="Arial" w:cs="Arial"/>
        </w:rPr>
        <w:t xml:space="preserve">ort is to </w:t>
      </w:r>
      <w:r w:rsidR="00170DA8">
        <w:rPr>
          <w:rFonts w:ascii="Arial" w:hAnsi="Arial" w:cs="Arial"/>
        </w:rPr>
        <w:t>outline updated high needs block funding for 2021/22 and the associated budget requirement</w:t>
      </w:r>
      <w:r w:rsidR="00590195">
        <w:rPr>
          <w:rFonts w:ascii="Arial" w:hAnsi="Arial" w:cs="Arial"/>
        </w:rPr>
        <w:t>.</w:t>
      </w:r>
      <w:r w:rsidR="0098703B">
        <w:rPr>
          <w:rFonts w:ascii="Arial" w:hAnsi="Arial" w:cs="Arial"/>
        </w:rPr>
        <w:t xml:space="preserve"> </w:t>
      </w:r>
    </w:p>
    <w:p w14:paraId="04E6881E" w14:textId="77777777" w:rsidR="0098703B" w:rsidRDefault="0098703B" w:rsidP="0098703B">
      <w:pPr>
        <w:pStyle w:val="ListParagraph"/>
        <w:ind w:left="786"/>
        <w:rPr>
          <w:rFonts w:ascii="Arial" w:hAnsi="Arial" w:cs="Arial"/>
        </w:rPr>
      </w:pPr>
    </w:p>
    <w:p w14:paraId="0351132B" w14:textId="3D83E466" w:rsidR="0098703B" w:rsidRDefault="00170DA8" w:rsidP="006732F1">
      <w:pPr>
        <w:pStyle w:val="ListParagraph"/>
        <w:numPr>
          <w:ilvl w:val="1"/>
          <w:numId w:val="1"/>
        </w:numPr>
        <w:ind w:hanging="786"/>
        <w:rPr>
          <w:rFonts w:ascii="Arial" w:hAnsi="Arial" w:cs="Arial"/>
        </w:rPr>
      </w:pPr>
      <w:r>
        <w:rPr>
          <w:rFonts w:ascii="Arial" w:hAnsi="Arial" w:cs="Arial"/>
        </w:rPr>
        <w:t>ESFA published updated high needs funding information on 17 December 2020.</w:t>
      </w:r>
    </w:p>
    <w:p w14:paraId="58590C65" w14:textId="77777777" w:rsidR="00250AF1" w:rsidRPr="00250AF1" w:rsidRDefault="00250AF1" w:rsidP="00250AF1">
      <w:pPr>
        <w:pStyle w:val="ListParagraph"/>
        <w:rPr>
          <w:rFonts w:ascii="Arial" w:hAnsi="Arial" w:cs="Arial"/>
        </w:rPr>
      </w:pPr>
    </w:p>
    <w:p w14:paraId="6B3D6C3D" w14:textId="3485C4FD" w:rsidR="00250AF1" w:rsidRPr="00732263" w:rsidRDefault="00250AF1" w:rsidP="006732F1">
      <w:pPr>
        <w:pStyle w:val="ListParagraph"/>
        <w:numPr>
          <w:ilvl w:val="1"/>
          <w:numId w:val="1"/>
        </w:numPr>
        <w:ind w:hanging="786"/>
        <w:rPr>
          <w:rFonts w:ascii="Arial" w:hAnsi="Arial" w:cs="Arial"/>
        </w:rPr>
      </w:pPr>
      <w:r>
        <w:rPr>
          <w:rFonts w:ascii="Arial" w:hAnsi="Arial" w:cs="Arial"/>
        </w:rPr>
        <w:t xml:space="preserve">A Medium Term Financial Strategy (MTFS) for High Needs spending will be updated and presented to Schools’ Forum at </w:t>
      </w:r>
      <w:r w:rsidR="00146A1E">
        <w:rPr>
          <w:rFonts w:ascii="Arial" w:hAnsi="Arial" w:cs="Arial"/>
        </w:rPr>
        <w:t>a future meeting</w:t>
      </w:r>
      <w:r>
        <w:rPr>
          <w:rFonts w:ascii="Arial" w:hAnsi="Arial" w:cs="Arial"/>
        </w:rPr>
        <w:t>. This will ensure that the strategy for SEND provision in Hartlepool and the associated spending requirements are understood over a three year period and not solely focused upon one financial year.</w:t>
      </w:r>
    </w:p>
    <w:p w14:paraId="2E6E4012" w14:textId="77777777" w:rsidR="0026631E" w:rsidRDefault="0026631E" w:rsidP="0026631E">
      <w:pPr>
        <w:pStyle w:val="ListParagraph"/>
        <w:rPr>
          <w:rFonts w:ascii="Arial" w:hAnsi="Arial" w:cs="Arial"/>
          <w:b/>
          <w:u w:val="single"/>
        </w:rPr>
      </w:pPr>
    </w:p>
    <w:p w14:paraId="569CB932" w14:textId="77777777" w:rsidR="003871F0" w:rsidRPr="0026631E" w:rsidRDefault="003871F0" w:rsidP="0026631E">
      <w:pPr>
        <w:pStyle w:val="ListParagraph"/>
        <w:numPr>
          <w:ilvl w:val="0"/>
          <w:numId w:val="1"/>
        </w:numPr>
        <w:ind w:hanging="720"/>
        <w:rPr>
          <w:rFonts w:ascii="Arial" w:hAnsi="Arial" w:cs="Arial"/>
          <w:b/>
          <w:u w:val="single"/>
        </w:rPr>
      </w:pPr>
      <w:r w:rsidRPr="0026631E">
        <w:rPr>
          <w:rFonts w:ascii="Arial" w:hAnsi="Arial" w:cs="Arial"/>
          <w:b/>
          <w:u w:val="single"/>
        </w:rPr>
        <w:t>Background</w:t>
      </w:r>
    </w:p>
    <w:p w14:paraId="55799804" w14:textId="77777777" w:rsidR="009357D5" w:rsidRDefault="009357D5" w:rsidP="009357D5">
      <w:pPr>
        <w:pStyle w:val="ListParagraph"/>
        <w:rPr>
          <w:rFonts w:ascii="Arial" w:hAnsi="Arial" w:cs="Arial"/>
          <w:b/>
          <w:u w:val="single"/>
        </w:rPr>
      </w:pPr>
    </w:p>
    <w:p w14:paraId="733D1F32" w14:textId="77777777" w:rsidR="00102965" w:rsidRDefault="00102965" w:rsidP="0040116D">
      <w:pPr>
        <w:pStyle w:val="ListParagraph"/>
        <w:numPr>
          <w:ilvl w:val="1"/>
          <w:numId w:val="1"/>
        </w:numPr>
        <w:ind w:hanging="720"/>
        <w:rPr>
          <w:rFonts w:ascii="Arial" w:hAnsi="Arial" w:cs="Arial"/>
        </w:rPr>
      </w:pPr>
      <w:r>
        <w:rPr>
          <w:rFonts w:ascii="Arial" w:hAnsi="Arial" w:cs="Arial"/>
        </w:rPr>
        <w:t xml:space="preserve">Forum will recall that, as with the Schools Block, the High Needs Block NFF for 2021/22 includes new funding for Teachers Pay Grant (TPG) and Teachers Pension Employer Contribution Grant (TPECG). Until April 2021, these grants were paid outside of the NFF to special schools and the Horizon School (Pupil Referral Unit). </w:t>
      </w:r>
    </w:p>
    <w:p w14:paraId="36271BA8" w14:textId="77777777" w:rsidR="00102965" w:rsidRPr="00102965" w:rsidRDefault="00102965" w:rsidP="00102965">
      <w:pPr>
        <w:pStyle w:val="ListParagraph"/>
        <w:rPr>
          <w:rFonts w:ascii="Arial" w:hAnsi="Arial" w:cs="Arial"/>
        </w:rPr>
      </w:pPr>
    </w:p>
    <w:p w14:paraId="45473C00" w14:textId="53A7FDE5" w:rsidR="00102965" w:rsidRPr="00102965" w:rsidRDefault="00102965" w:rsidP="0040116D">
      <w:pPr>
        <w:pStyle w:val="ListParagraph"/>
        <w:numPr>
          <w:ilvl w:val="1"/>
          <w:numId w:val="1"/>
        </w:numPr>
        <w:ind w:hanging="720"/>
        <w:rPr>
          <w:rFonts w:ascii="Arial" w:hAnsi="Arial" w:cs="Arial"/>
        </w:rPr>
      </w:pPr>
      <w:r>
        <w:rPr>
          <w:rFonts w:ascii="Arial" w:hAnsi="Arial" w:cs="Arial"/>
        </w:rPr>
        <w:t xml:space="preserve">By excluding the new TPG and TPECG funding so as to provide a like for like comparison, Hartlepool has benefited from a 12% (£1.563m) increase in 2021/22 (16% in 2020/21). </w:t>
      </w:r>
      <w:r>
        <w:rPr>
          <w:rFonts w:ascii="Arial" w:hAnsi="Arial"/>
        </w:rPr>
        <w:t>This is the second successive year of significantly increased funding.</w:t>
      </w:r>
      <w:r w:rsidR="003A5E6B">
        <w:rPr>
          <w:rFonts w:ascii="Arial" w:hAnsi="Arial"/>
        </w:rPr>
        <w:t xml:space="preserve"> As no block transfer is proposed for 2021/22, this reduces the year on year increase to £1.234m.</w:t>
      </w:r>
    </w:p>
    <w:p w14:paraId="15902E91" w14:textId="77777777" w:rsidR="00102965" w:rsidRPr="00102965" w:rsidRDefault="00102965" w:rsidP="00102965">
      <w:pPr>
        <w:pStyle w:val="ListParagraph"/>
        <w:rPr>
          <w:rFonts w:ascii="Arial" w:hAnsi="Arial" w:cs="Arial"/>
        </w:rPr>
      </w:pPr>
    </w:p>
    <w:p w14:paraId="3632470E" w14:textId="0F840D15" w:rsidR="006D4B67" w:rsidRPr="004E4BFB" w:rsidRDefault="006D4B67" w:rsidP="006D4B67">
      <w:pPr>
        <w:ind w:left="360" w:hanging="360"/>
        <w:rPr>
          <w:rFonts w:ascii="Arial" w:hAnsi="Arial" w:cs="Arial"/>
          <w:b/>
          <w:u w:val="single"/>
        </w:rPr>
      </w:pPr>
      <w:r>
        <w:rPr>
          <w:rFonts w:ascii="Arial" w:hAnsi="Arial" w:cs="Arial"/>
          <w:b/>
        </w:rPr>
        <w:t>3</w:t>
      </w:r>
      <w:r w:rsidRPr="00741D19">
        <w:rPr>
          <w:rFonts w:ascii="Arial" w:hAnsi="Arial" w:cs="Arial"/>
          <w:b/>
        </w:rPr>
        <w:t xml:space="preserve">. </w:t>
      </w:r>
      <w:r w:rsidRPr="00741D19">
        <w:rPr>
          <w:rFonts w:ascii="Arial" w:hAnsi="Arial" w:cs="Arial"/>
          <w:b/>
        </w:rPr>
        <w:tab/>
      </w:r>
      <w:r w:rsidRPr="00741D19">
        <w:rPr>
          <w:rFonts w:ascii="Arial" w:hAnsi="Arial" w:cs="Arial"/>
          <w:b/>
        </w:rPr>
        <w:tab/>
      </w:r>
      <w:r w:rsidR="00170DA8" w:rsidRPr="00170DA8">
        <w:rPr>
          <w:rFonts w:ascii="Arial" w:hAnsi="Arial" w:cs="Arial"/>
          <w:b/>
          <w:u w:val="single"/>
        </w:rPr>
        <w:t xml:space="preserve">Updated </w:t>
      </w:r>
      <w:r w:rsidR="00250AF1" w:rsidRPr="00170DA8">
        <w:rPr>
          <w:rFonts w:ascii="Arial" w:hAnsi="Arial" w:cs="Arial"/>
          <w:b/>
          <w:u w:val="single"/>
        </w:rPr>
        <w:t>2021</w:t>
      </w:r>
      <w:r w:rsidR="00250AF1">
        <w:rPr>
          <w:rFonts w:ascii="Arial" w:hAnsi="Arial" w:cs="Arial"/>
          <w:b/>
          <w:u w:val="single"/>
        </w:rPr>
        <w:t>/22</w:t>
      </w:r>
      <w:r w:rsidRPr="004E4BFB">
        <w:rPr>
          <w:rFonts w:ascii="Arial" w:hAnsi="Arial" w:cs="Arial"/>
          <w:b/>
          <w:u w:val="single"/>
        </w:rPr>
        <w:t xml:space="preserve"> </w:t>
      </w:r>
      <w:r>
        <w:rPr>
          <w:rFonts w:ascii="Arial" w:hAnsi="Arial" w:cs="Arial"/>
          <w:b/>
          <w:u w:val="single"/>
        </w:rPr>
        <w:t>Funding</w:t>
      </w:r>
    </w:p>
    <w:p w14:paraId="41DCA772" w14:textId="77777777" w:rsidR="006D4B67" w:rsidRDefault="006D4B67" w:rsidP="006D4B67">
      <w:pPr>
        <w:ind w:left="360" w:hanging="360"/>
        <w:rPr>
          <w:rFonts w:ascii="Arial" w:hAnsi="Arial" w:cs="Arial"/>
        </w:rPr>
      </w:pPr>
    </w:p>
    <w:p w14:paraId="4910A591" w14:textId="02D38A4A" w:rsidR="00205AF9" w:rsidRDefault="006D4B67" w:rsidP="006D4B67">
      <w:pPr>
        <w:ind w:left="720" w:hanging="720"/>
        <w:rPr>
          <w:rFonts w:ascii="Arial" w:hAnsi="Arial" w:cs="Arial"/>
        </w:rPr>
      </w:pPr>
      <w:r>
        <w:rPr>
          <w:rFonts w:ascii="Arial" w:hAnsi="Arial" w:cs="Arial"/>
        </w:rPr>
        <w:t>3</w:t>
      </w:r>
      <w:r w:rsidRPr="006D4B67">
        <w:rPr>
          <w:rFonts w:ascii="Arial" w:hAnsi="Arial" w:cs="Arial"/>
        </w:rPr>
        <w:t>.1</w:t>
      </w:r>
      <w:r w:rsidRPr="006D4B67">
        <w:rPr>
          <w:rFonts w:ascii="Arial" w:hAnsi="Arial" w:cs="Arial"/>
        </w:rPr>
        <w:tab/>
      </w:r>
      <w:r w:rsidR="008E7E00">
        <w:rPr>
          <w:rFonts w:ascii="Arial" w:hAnsi="Arial" w:cs="Arial"/>
        </w:rPr>
        <w:t xml:space="preserve">The </w:t>
      </w:r>
      <w:r w:rsidR="001C2445">
        <w:rPr>
          <w:rFonts w:ascii="Arial" w:hAnsi="Arial" w:cs="Arial"/>
        </w:rPr>
        <w:t>updated High Needs Block allocation for 2021/22 is shown in the following table.</w:t>
      </w:r>
    </w:p>
    <w:p w14:paraId="1E529B26" w14:textId="77777777" w:rsidR="001C2445" w:rsidRDefault="001C2445" w:rsidP="006D4B67">
      <w:pPr>
        <w:ind w:left="720" w:hanging="720"/>
        <w:rPr>
          <w:rFonts w:ascii="Arial" w:hAnsi="Arial" w:cs="Arial"/>
        </w:rPr>
      </w:pPr>
      <w:r>
        <w:rPr>
          <w:rFonts w:ascii="Arial" w:hAnsi="Arial" w:cs="Arial"/>
        </w:rPr>
        <w:tab/>
      </w:r>
    </w:p>
    <w:tbl>
      <w:tblPr>
        <w:tblStyle w:val="TableGrid1"/>
        <w:tblW w:w="0" w:type="auto"/>
        <w:tblInd w:w="720" w:type="dxa"/>
        <w:tblLook w:val="04A0" w:firstRow="1" w:lastRow="0" w:firstColumn="1" w:lastColumn="0" w:noHBand="0" w:noVBand="1"/>
      </w:tblPr>
      <w:tblGrid>
        <w:gridCol w:w="5938"/>
        <w:gridCol w:w="1842"/>
      </w:tblGrid>
      <w:tr w:rsidR="001C2445" w:rsidRPr="00983A92" w14:paraId="51C7FE97" w14:textId="77777777" w:rsidTr="003F1871">
        <w:tc>
          <w:tcPr>
            <w:tcW w:w="5938" w:type="dxa"/>
            <w:shd w:val="clear" w:color="auto" w:fill="000000" w:themeFill="text1"/>
          </w:tcPr>
          <w:p w14:paraId="6216B94D" w14:textId="77777777" w:rsidR="001C2445" w:rsidRPr="00983A92" w:rsidRDefault="001C2445" w:rsidP="003F1871">
            <w:pPr>
              <w:jc w:val="center"/>
              <w:rPr>
                <w:rFonts w:ascii="Arial" w:hAnsi="Arial" w:cs="Arial"/>
                <w:b/>
                <w:color w:val="FFFFFF" w:themeColor="background1"/>
              </w:rPr>
            </w:pPr>
            <w:r>
              <w:rPr>
                <w:rFonts w:ascii="Arial" w:hAnsi="Arial" w:cs="Arial"/>
                <w:b/>
                <w:color w:val="FFFFFF" w:themeColor="background1"/>
              </w:rPr>
              <w:t>High Needs Block</w:t>
            </w:r>
          </w:p>
        </w:tc>
        <w:tc>
          <w:tcPr>
            <w:tcW w:w="1842" w:type="dxa"/>
            <w:shd w:val="clear" w:color="auto" w:fill="000000" w:themeFill="text1"/>
          </w:tcPr>
          <w:p w14:paraId="1CCF972A" w14:textId="77777777" w:rsidR="001C2445" w:rsidRPr="00983A92" w:rsidRDefault="001C2445" w:rsidP="003F1871">
            <w:pPr>
              <w:jc w:val="center"/>
              <w:rPr>
                <w:rFonts w:ascii="Arial" w:hAnsi="Arial" w:cs="Arial"/>
                <w:b/>
                <w:color w:val="FFFFFF" w:themeColor="background1"/>
              </w:rPr>
            </w:pPr>
            <w:r>
              <w:rPr>
                <w:rFonts w:ascii="Arial" w:hAnsi="Arial" w:cs="Arial"/>
                <w:b/>
                <w:color w:val="FFFFFF" w:themeColor="background1"/>
              </w:rPr>
              <w:t xml:space="preserve">2021/22 </w:t>
            </w:r>
            <w:r w:rsidRPr="00983A92">
              <w:rPr>
                <w:rFonts w:ascii="Arial" w:hAnsi="Arial" w:cs="Arial"/>
                <w:b/>
                <w:color w:val="FFFFFF" w:themeColor="background1"/>
              </w:rPr>
              <w:t>Funding</w:t>
            </w:r>
          </w:p>
          <w:p w14:paraId="62E6F814" w14:textId="77777777" w:rsidR="001C2445" w:rsidRPr="00983A92" w:rsidRDefault="001C2445" w:rsidP="003F1871">
            <w:pPr>
              <w:jc w:val="center"/>
              <w:rPr>
                <w:rFonts w:ascii="Arial" w:hAnsi="Arial" w:cs="Arial"/>
                <w:b/>
                <w:color w:val="FFFFFF" w:themeColor="background1"/>
              </w:rPr>
            </w:pPr>
            <w:r w:rsidRPr="00983A92">
              <w:rPr>
                <w:rFonts w:ascii="Arial" w:hAnsi="Arial" w:cs="Arial"/>
                <w:b/>
                <w:color w:val="FFFFFF" w:themeColor="background1"/>
              </w:rPr>
              <w:t>£m</w:t>
            </w:r>
          </w:p>
        </w:tc>
      </w:tr>
      <w:tr w:rsidR="001C2445" w:rsidRPr="00983A92" w14:paraId="725B6DA0" w14:textId="77777777" w:rsidTr="003F1871">
        <w:tc>
          <w:tcPr>
            <w:tcW w:w="5938" w:type="dxa"/>
          </w:tcPr>
          <w:p w14:paraId="007ED335" w14:textId="77777777" w:rsidR="001C2445" w:rsidRPr="00983A92" w:rsidRDefault="001C2445" w:rsidP="003F1871">
            <w:pPr>
              <w:rPr>
                <w:rFonts w:ascii="Arial" w:hAnsi="Arial" w:cs="Arial"/>
              </w:rPr>
            </w:pPr>
            <w:r w:rsidRPr="00983A92">
              <w:rPr>
                <w:rFonts w:ascii="Arial" w:hAnsi="Arial" w:cs="Arial"/>
              </w:rPr>
              <w:t>DSG High Needs Block Allocation (</w:t>
            </w:r>
            <w:r>
              <w:rPr>
                <w:rFonts w:ascii="Arial" w:hAnsi="Arial" w:cs="Arial"/>
              </w:rPr>
              <w:t>before funding of academies)</w:t>
            </w:r>
          </w:p>
        </w:tc>
        <w:tc>
          <w:tcPr>
            <w:tcW w:w="1842" w:type="dxa"/>
          </w:tcPr>
          <w:p w14:paraId="1C793E65" w14:textId="77777777" w:rsidR="001C2445" w:rsidRPr="00983A92" w:rsidRDefault="001C2445" w:rsidP="003F1871">
            <w:pPr>
              <w:jc w:val="right"/>
              <w:rPr>
                <w:rFonts w:ascii="Arial" w:hAnsi="Arial" w:cs="Arial"/>
              </w:rPr>
            </w:pPr>
            <w:r>
              <w:rPr>
                <w:rFonts w:ascii="Arial" w:hAnsi="Arial" w:cs="Arial"/>
              </w:rPr>
              <w:t>14.769</w:t>
            </w:r>
          </w:p>
        </w:tc>
      </w:tr>
      <w:tr w:rsidR="001C2445" w:rsidRPr="00983A92" w14:paraId="0D1A6DB6" w14:textId="77777777" w:rsidTr="003F1871">
        <w:tc>
          <w:tcPr>
            <w:tcW w:w="5938" w:type="dxa"/>
          </w:tcPr>
          <w:p w14:paraId="38897CAA" w14:textId="77777777" w:rsidR="001C2445" w:rsidRPr="00983A92" w:rsidRDefault="001C2445" w:rsidP="003F1871">
            <w:pPr>
              <w:rPr>
                <w:rFonts w:ascii="Arial" w:hAnsi="Arial" w:cs="Arial"/>
              </w:rPr>
            </w:pPr>
            <w:r>
              <w:rPr>
                <w:rFonts w:ascii="Arial" w:hAnsi="Arial" w:cs="Arial"/>
              </w:rPr>
              <w:t>Recoupment for academy funding</w:t>
            </w:r>
          </w:p>
        </w:tc>
        <w:tc>
          <w:tcPr>
            <w:tcW w:w="1842" w:type="dxa"/>
          </w:tcPr>
          <w:p w14:paraId="0D80466D" w14:textId="77777777" w:rsidR="001C2445" w:rsidRPr="00983A92" w:rsidRDefault="001C2445" w:rsidP="003F1871">
            <w:pPr>
              <w:jc w:val="right"/>
              <w:rPr>
                <w:rFonts w:ascii="Arial" w:hAnsi="Arial" w:cs="Arial"/>
              </w:rPr>
            </w:pPr>
            <w:r>
              <w:rPr>
                <w:rFonts w:ascii="Arial" w:hAnsi="Arial" w:cs="Arial"/>
              </w:rPr>
              <w:t>(2.080)</w:t>
            </w:r>
          </w:p>
        </w:tc>
      </w:tr>
      <w:tr w:rsidR="001C2445" w:rsidRPr="00983A92" w14:paraId="311E3DA0" w14:textId="77777777" w:rsidTr="003F1871">
        <w:tc>
          <w:tcPr>
            <w:tcW w:w="5938" w:type="dxa"/>
          </w:tcPr>
          <w:p w14:paraId="49EF95BD" w14:textId="77777777" w:rsidR="001C2445" w:rsidRPr="00983A92" w:rsidRDefault="001C2445" w:rsidP="003F1871">
            <w:pPr>
              <w:rPr>
                <w:rFonts w:ascii="Arial" w:hAnsi="Arial" w:cs="Arial"/>
                <w:b/>
              </w:rPr>
            </w:pPr>
            <w:r>
              <w:rPr>
                <w:rFonts w:ascii="Arial" w:hAnsi="Arial" w:cs="Arial"/>
                <w:b/>
              </w:rPr>
              <w:t>Total High Needs Funding 2021</w:t>
            </w:r>
            <w:r w:rsidRPr="00983A92">
              <w:rPr>
                <w:rFonts w:ascii="Arial" w:hAnsi="Arial" w:cs="Arial"/>
                <w:b/>
              </w:rPr>
              <w:t>/2</w:t>
            </w:r>
            <w:r>
              <w:rPr>
                <w:rFonts w:ascii="Arial" w:hAnsi="Arial" w:cs="Arial"/>
                <w:b/>
              </w:rPr>
              <w:t>2</w:t>
            </w:r>
          </w:p>
        </w:tc>
        <w:tc>
          <w:tcPr>
            <w:tcW w:w="1842" w:type="dxa"/>
          </w:tcPr>
          <w:p w14:paraId="07505D76" w14:textId="77777777" w:rsidR="001C2445" w:rsidRPr="00983A92" w:rsidRDefault="001C2445" w:rsidP="003F1871">
            <w:pPr>
              <w:jc w:val="right"/>
              <w:rPr>
                <w:rFonts w:ascii="Arial" w:hAnsi="Arial" w:cs="Arial"/>
                <w:b/>
              </w:rPr>
            </w:pPr>
            <w:r>
              <w:rPr>
                <w:rFonts w:ascii="Arial" w:hAnsi="Arial" w:cs="Arial"/>
                <w:b/>
              </w:rPr>
              <w:t>12.689</w:t>
            </w:r>
          </w:p>
        </w:tc>
      </w:tr>
    </w:tbl>
    <w:p w14:paraId="086CEFCF" w14:textId="3605F9F2" w:rsidR="001C2445" w:rsidRDefault="001C2445" w:rsidP="006D4B67">
      <w:pPr>
        <w:ind w:left="720" w:hanging="720"/>
        <w:rPr>
          <w:rFonts w:ascii="Arial" w:hAnsi="Arial" w:cs="Arial"/>
        </w:rPr>
      </w:pPr>
    </w:p>
    <w:p w14:paraId="466243FC" w14:textId="6E717A1C" w:rsidR="009D3D8F" w:rsidRDefault="008E7E00" w:rsidP="00205AF9">
      <w:pPr>
        <w:ind w:left="720" w:hanging="720"/>
        <w:rPr>
          <w:rFonts w:ascii="Arial" w:hAnsi="Arial" w:cs="Arial"/>
        </w:rPr>
      </w:pPr>
      <w:r>
        <w:rPr>
          <w:rFonts w:ascii="Arial" w:hAnsi="Arial" w:cs="Arial"/>
        </w:rPr>
        <w:t>3.2</w:t>
      </w:r>
      <w:r>
        <w:rPr>
          <w:rFonts w:ascii="Arial" w:hAnsi="Arial" w:cs="Arial"/>
        </w:rPr>
        <w:tab/>
      </w:r>
      <w:r w:rsidR="001C2445">
        <w:rPr>
          <w:rFonts w:ascii="Arial" w:hAnsi="Arial" w:cs="Arial"/>
        </w:rPr>
        <w:t xml:space="preserve">The </w:t>
      </w:r>
      <w:r w:rsidR="00205AF9">
        <w:rPr>
          <w:rFonts w:ascii="Arial" w:hAnsi="Arial" w:cs="Arial"/>
        </w:rPr>
        <w:t>High Needs Block funding is subject to change in July each year via revised recoupment funding relating to academy places and also via the annual import / export adjustment. These changes are notified in July each year. Changes affecting the 2021/22 funding will be announced in July 2021.</w:t>
      </w:r>
    </w:p>
    <w:p w14:paraId="4AC43DF3" w14:textId="77777777" w:rsidR="0012616F" w:rsidRDefault="0012616F" w:rsidP="00205AF9">
      <w:pPr>
        <w:ind w:left="720" w:hanging="720"/>
        <w:rPr>
          <w:rFonts w:ascii="Arial" w:hAnsi="Arial" w:cs="Arial"/>
        </w:rPr>
      </w:pPr>
    </w:p>
    <w:p w14:paraId="65896566" w14:textId="0DBE08C5" w:rsidR="0012616F" w:rsidRDefault="0012616F" w:rsidP="00205AF9">
      <w:pPr>
        <w:ind w:left="720" w:hanging="720"/>
        <w:rPr>
          <w:rFonts w:ascii="Arial" w:hAnsi="Arial" w:cs="Arial"/>
        </w:rPr>
      </w:pPr>
      <w:r>
        <w:rPr>
          <w:rFonts w:ascii="Arial" w:hAnsi="Arial" w:cs="Arial"/>
        </w:rPr>
        <w:t>3.3</w:t>
      </w:r>
      <w:r>
        <w:rPr>
          <w:rFonts w:ascii="Arial" w:hAnsi="Arial" w:cs="Arial"/>
        </w:rPr>
        <w:tab/>
        <w:t xml:space="preserve">The High Needs Block funding formula continues to be largely </w:t>
      </w:r>
      <w:r w:rsidR="008D5BE0">
        <w:rPr>
          <w:rFonts w:ascii="Arial" w:hAnsi="Arial" w:cs="Arial"/>
        </w:rPr>
        <w:t>influenced (over 3</w:t>
      </w:r>
      <w:r>
        <w:rPr>
          <w:rFonts w:ascii="Arial" w:hAnsi="Arial" w:cs="Arial"/>
        </w:rPr>
        <w:t xml:space="preserve">0% of funding) by the fixed rate factor for historic costs. </w:t>
      </w:r>
      <w:r w:rsidR="008D5BE0">
        <w:rPr>
          <w:rFonts w:ascii="Arial" w:hAnsi="Arial" w:cs="Arial"/>
        </w:rPr>
        <w:t xml:space="preserve">Forum Members will recall that the historic cost factor is based on </w:t>
      </w:r>
      <w:r w:rsidR="008D5BE0" w:rsidRPr="008D5BE0">
        <w:rPr>
          <w:rFonts w:ascii="Arial" w:hAnsi="Arial" w:cs="Arial"/>
        </w:rPr>
        <w:t xml:space="preserve">50% of our 2016/17 spend baseline published in August 2017 (the baseline year for the </w:t>
      </w:r>
      <w:r w:rsidR="008D5BE0">
        <w:rPr>
          <w:rFonts w:ascii="Arial" w:hAnsi="Arial" w:cs="Arial"/>
        </w:rPr>
        <w:t>national funding formula) and therefore not reflective of changes in demand and complexity of need.</w:t>
      </w:r>
    </w:p>
    <w:p w14:paraId="70191816" w14:textId="77777777" w:rsidR="008D5BE0" w:rsidRDefault="008D5BE0" w:rsidP="00205AF9">
      <w:pPr>
        <w:ind w:left="720" w:hanging="720"/>
        <w:rPr>
          <w:rFonts w:ascii="Arial" w:hAnsi="Arial" w:cs="Arial"/>
        </w:rPr>
      </w:pPr>
    </w:p>
    <w:p w14:paraId="4E631BF2" w14:textId="74C68107" w:rsidR="008D5BE0" w:rsidRDefault="008D5BE0" w:rsidP="00205AF9">
      <w:pPr>
        <w:ind w:left="720" w:hanging="720"/>
        <w:rPr>
          <w:rFonts w:ascii="Arial" w:hAnsi="Arial" w:cs="Arial"/>
        </w:rPr>
      </w:pPr>
      <w:r>
        <w:rPr>
          <w:rFonts w:ascii="Arial" w:hAnsi="Arial" w:cs="Arial"/>
        </w:rPr>
        <w:t>3.4</w:t>
      </w:r>
      <w:r>
        <w:rPr>
          <w:rFonts w:ascii="Arial" w:hAnsi="Arial" w:cs="Arial"/>
        </w:rPr>
        <w:tab/>
        <w:t xml:space="preserve">The graphs below provide a reminder </w:t>
      </w:r>
      <w:r w:rsidR="00F45C3F">
        <w:rPr>
          <w:rFonts w:ascii="Arial" w:hAnsi="Arial" w:cs="Arial"/>
        </w:rPr>
        <w:t>of</w:t>
      </w:r>
      <w:r>
        <w:rPr>
          <w:rFonts w:ascii="Arial" w:hAnsi="Arial" w:cs="Arial"/>
        </w:rPr>
        <w:t xml:space="preserve"> the High Needs formula</w:t>
      </w:r>
      <w:r w:rsidR="00F45C3F">
        <w:rPr>
          <w:rFonts w:ascii="Arial" w:hAnsi="Arial" w:cs="Arial"/>
        </w:rPr>
        <w:t xml:space="preserve"> breakdown</w:t>
      </w:r>
      <w:r>
        <w:rPr>
          <w:rFonts w:ascii="Arial" w:hAnsi="Arial" w:cs="Arial"/>
        </w:rPr>
        <w:t xml:space="preserve"> based on our updated 2021/22 allocation. </w:t>
      </w:r>
      <w:r w:rsidR="00F45C3F">
        <w:rPr>
          <w:rFonts w:ascii="Arial" w:hAnsi="Arial" w:cs="Arial"/>
        </w:rPr>
        <w:t>Graphs show percentage per factor and monetary value per factor respectively.</w:t>
      </w:r>
    </w:p>
    <w:p w14:paraId="4B33FD76" w14:textId="77777777" w:rsidR="008D5BE0" w:rsidRDefault="008D5BE0" w:rsidP="00205AF9">
      <w:pPr>
        <w:ind w:left="720" w:hanging="720"/>
        <w:rPr>
          <w:rFonts w:ascii="Arial" w:hAnsi="Arial" w:cs="Arial"/>
        </w:rPr>
      </w:pPr>
    </w:p>
    <w:p w14:paraId="2FB92B07" w14:textId="45FFCAB9" w:rsidR="008D5BE0" w:rsidRDefault="00453454" w:rsidP="00205AF9">
      <w:pPr>
        <w:ind w:left="720" w:hanging="720"/>
        <w:rPr>
          <w:rFonts w:ascii="Arial" w:hAnsi="Arial" w:cs="Arial"/>
        </w:rPr>
      </w:pPr>
      <w:r>
        <w:rPr>
          <w:noProof/>
          <w:lang w:eastAsia="en-GB"/>
        </w:rPr>
        <w:drawing>
          <wp:inline distT="0" distB="0" distL="0" distR="0" wp14:anchorId="0110F174" wp14:editId="509E4CD5">
            <wp:extent cx="6299835" cy="3517900"/>
            <wp:effectExtent l="0" t="0" r="5715"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F65D9F" w14:textId="77777777" w:rsidR="00453454" w:rsidRDefault="00453454" w:rsidP="00205AF9">
      <w:pPr>
        <w:ind w:left="720" w:hanging="720"/>
        <w:rPr>
          <w:rFonts w:ascii="Arial" w:hAnsi="Arial" w:cs="Arial"/>
        </w:rPr>
      </w:pPr>
    </w:p>
    <w:p w14:paraId="7D727938" w14:textId="5F82A736" w:rsidR="00453454" w:rsidRDefault="00453454" w:rsidP="00205AF9">
      <w:pPr>
        <w:ind w:left="720" w:hanging="720"/>
        <w:rPr>
          <w:rFonts w:ascii="Arial" w:hAnsi="Arial" w:cs="Arial"/>
        </w:rPr>
      </w:pPr>
      <w:r>
        <w:rPr>
          <w:noProof/>
          <w:lang w:eastAsia="en-GB"/>
        </w:rPr>
        <w:drawing>
          <wp:inline distT="0" distB="0" distL="0" distR="0" wp14:anchorId="3255B4A9" wp14:editId="31CB3CB3">
            <wp:extent cx="6299835" cy="3487420"/>
            <wp:effectExtent l="0" t="0" r="5715"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DF58207" w14:textId="77777777" w:rsidR="008D5BE0" w:rsidRDefault="008D5BE0" w:rsidP="00205AF9">
      <w:pPr>
        <w:ind w:left="720" w:hanging="720"/>
        <w:rPr>
          <w:rFonts w:ascii="Arial" w:hAnsi="Arial" w:cs="Arial"/>
        </w:rPr>
      </w:pPr>
    </w:p>
    <w:p w14:paraId="6207A4BD" w14:textId="77777777" w:rsidR="008D5BE0" w:rsidRDefault="008D5BE0" w:rsidP="00205AF9">
      <w:pPr>
        <w:ind w:left="720" w:hanging="720"/>
        <w:rPr>
          <w:rFonts w:ascii="Arial" w:hAnsi="Arial" w:cs="Arial"/>
        </w:rPr>
      </w:pPr>
    </w:p>
    <w:p w14:paraId="320DA55D" w14:textId="77777777" w:rsidR="0056328A" w:rsidRDefault="0056328A" w:rsidP="00205AF9">
      <w:pPr>
        <w:ind w:left="720" w:hanging="720"/>
        <w:rPr>
          <w:rFonts w:ascii="Arial" w:hAnsi="Arial" w:cs="Arial"/>
        </w:rPr>
      </w:pPr>
    </w:p>
    <w:p w14:paraId="508DA977" w14:textId="77777777" w:rsidR="0056328A" w:rsidRDefault="0056328A" w:rsidP="00205AF9">
      <w:pPr>
        <w:ind w:left="720" w:hanging="720"/>
        <w:rPr>
          <w:rFonts w:ascii="Arial" w:hAnsi="Arial" w:cs="Arial"/>
        </w:rPr>
      </w:pPr>
    </w:p>
    <w:p w14:paraId="65AB1B69" w14:textId="77777777" w:rsidR="0056328A" w:rsidRDefault="0056328A" w:rsidP="00205AF9">
      <w:pPr>
        <w:ind w:left="720" w:hanging="720"/>
        <w:rPr>
          <w:rFonts w:ascii="Arial" w:hAnsi="Arial" w:cs="Arial"/>
        </w:rPr>
      </w:pPr>
    </w:p>
    <w:p w14:paraId="70477B89" w14:textId="77777777" w:rsidR="0056328A" w:rsidRDefault="0056328A" w:rsidP="00205AF9">
      <w:pPr>
        <w:ind w:left="720" w:hanging="720"/>
        <w:rPr>
          <w:rFonts w:ascii="Arial" w:hAnsi="Arial" w:cs="Arial"/>
        </w:rPr>
      </w:pPr>
    </w:p>
    <w:p w14:paraId="015B224C" w14:textId="77777777" w:rsidR="0056328A" w:rsidRDefault="0056328A" w:rsidP="00205AF9">
      <w:pPr>
        <w:ind w:left="720" w:hanging="720"/>
        <w:rPr>
          <w:rFonts w:ascii="Arial" w:hAnsi="Arial" w:cs="Arial"/>
        </w:rPr>
      </w:pPr>
    </w:p>
    <w:p w14:paraId="285E3E9F" w14:textId="2B62DB4B" w:rsidR="002F069C" w:rsidRPr="004E4BFB" w:rsidRDefault="00D75D9A" w:rsidP="00D75D9A">
      <w:pPr>
        <w:ind w:left="720" w:hanging="720"/>
        <w:rPr>
          <w:rFonts w:ascii="Arial" w:hAnsi="Arial" w:cs="Arial"/>
          <w:b/>
          <w:u w:val="single"/>
        </w:rPr>
      </w:pPr>
      <w:r w:rsidRPr="00D75D9A">
        <w:rPr>
          <w:rFonts w:ascii="Arial" w:hAnsi="Arial" w:cs="Arial"/>
          <w:b/>
        </w:rPr>
        <w:lastRenderedPageBreak/>
        <w:t>4.</w:t>
      </w:r>
      <w:r w:rsidR="007F6F24">
        <w:rPr>
          <w:rFonts w:ascii="Arial" w:hAnsi="Arial" w:cs="Arial"/>
        </w:rPr>
        <w:tab/>
      </w:r>
      <w:r w:rsidR="00205AF9">
        <w:rPr>
          <w:rFonts w:ascii="Arial" w:hAnsi="Arial" w:cs="Arial"/>
          <w:b/>
          <w:u w:val="single"/>
        </w:rPr>
        <w:t>2021/22</w:t>
      </w:r>
      <w:r w:rsidR="002F069C" w:rsidRPr="004E4BFB">
        <w:rPr>
          <w:rFonts w:ascii="Arial" w:hAnsi="Arial" w:cs="Arial"/>
          <w:b/>
          <w:u w:val="single"/>
        </w:rPr>
        <w:t xml:space="preserve"> </w:t>
      </w:r>
      <w:r w:rsidR="00205AF9">
        <w:rPr>
          <w:rFonts w:ascii="Arial" w:hAnsi="Arial" w:cs="Arial"/>
          <w:b/>
          <w:u w:val="single"/>
        </w:rPr>
        <w:t xml:space="preserve">Budget </w:t>
      </w:r>
      <w:r w:rsidR="001C2445">
        <w:rPr>
          <w:rFonts w:ascii="Arial" w:hAnsi="Arial" w:cs="Arial"/>
          <w:b/>
          <w:u w:val="single"/>
        </w:rPr>
        <w:t>Requirement</w:t>
      </w:r>
    </w:p>
    <w:p w14:paraId="42952B5C" w14:textId="77777777" w:rsidR="0051311E" w:rsidRDefault="0051311E" w:rsidP="0040116D">
      <w:pPr>
        <w:ind w:left="360" w:hanging="360"/>
        <w:rPr>
          <w:rFonts w:ascii="Arial" w:hAnsi="Arial" w:cs="Arial"/>
        </w:rPr>
      </w:pPr>
    </w:p>
    <w:p w14:paraId="675442F1" w14:textId="61C97514" w:rsidR="007F6F24" w:rsidRDefault="007F6F24" w:rsidP="007F6F24">
      <w:pPr>
        <w:ind w:left="709" w:hanging="709"/>
        <w:rPr>
          <w:rFonts w:ascii="Arial" w:hAnsi="Arial" w:cs="Arial"/>
        </w:rPr>
      </w:pPr>
      <w:r>
        <w:rPr>
          <w:rFonts w:ascii="Arial" w:hAnsi="Arial" w:cs="Arial"/>
        </w:rPr>
        <w:t>4.1</w:t>
      </w:r>
      <w:r>
        <w:rPr>
          <w:rFonts w:ascii="Arial" w:hAnsi="Arial" w:cs="Arial"/>
        </w:rPr>
        <w:tab/>
      </w:r>
      <w:r w:rsidRPr="006670F8">
        <w:rPr>
          <w:rFonts w:ascii="Arial" w:hAnsi="Arial" w:cs="Arial"/>
        </w:rPr>
        <w:t xml:space="preserve">The </w:t>
      </w:r>
      <w:r>
        <w:rPr>
          <w:rFonts w:ascii="Arial" w:hAnsi="Arial" w:cs="Arial"/>
        </w:rPr>
        <w:t>planned high needs budget for 2021</w:t>
      </w:r>
      <w:r w:rsidRPr="006670F8">
        <w:rPr>
          <w:rFonts w:ascii="Arial" w:hAnsi="Arial" w:cs="Arial"/>
        </w:rPr>
        <w:t>/</w:t>
      </w:r>
      <w:r>
        <w:rPr>
          <w:rFonts w:ascii="Arial" w:hAnsi="Arial" w:cs="Arial"/>
        </w:rPr>
        <w:t>22</w:t>
      </w:r>
      <w:r w:rsidRPr="006670F8">
        <w:rPr>
          <w:rFonts w:ascii="Arial" w:hAnsi="Arial" w:cs="Arial"/>
        </w:rPr>
        <w:t xml:space="preserve"> </w:t>
      </w:r>
      <w:r>
        <w:rPr>
          <w:rFonts w:ascii="Arial" w:hAnsi="Arial" w:cs="Arial"/>
        </w:rPr>
        <w:t xml:space="preserve">is </w:t>
      </w:r>
      <w:r w:rsidRPr="006670F8">
        <w:rPr>
          <w:rFonts w:ascii="Arial" w:hAnsi="Arial" w:cs="Arial"/>
        </w:rPr>
        <w:t>shown in the table below:</w:t>
      </w:r>
    </w:p>
    <w:p w14:paraId="3D46A49E" w14:textId="77777777" w:rsidR="007F6F24" w:rsidRDefault="007F6F24" w:rsidP="003B27BE">
      <w:pPr>
        <w:ind w:left="720" w:hanging="720"/>
        <w:rPr>
          <w:rFonts w:ascii="Arial" w:hAnsi="Arial" w:cs="Arial"/>
        </w:rPr>
      </w:pPr>
      <w:r>
        <w:rPr>
          <w:rFonts w:ascii="Arial" w:hAnsi="Arial" w:cs="Arial"/>
        </w:rPr>
        <w:tab/>
      </w:r>
    </w:p>
    <w:tbl>
      <w:tblPr>
        <w:tblW w:w="6937" w:type="dxa"/>
        <w:tblInd w:w="855" w:type="dxa"/>
        <w:tblLook w:val="04A0" w:firstRow="1" w:lastRow="0" w:firstColumn="1" w:lastColumn="0" w:noHBand="0" w:noVBand="1"/>
      </w:tblPr>
      <w:tblGrid>
        <w:gridCol w:w="5377"/>
        <w:gridCol w:w="1560"/>
      </w:tblGrid>
      <w:tr w:rsidR="007F6F24" w:rsidRPr="00CB4B14" w14:paraId="66D224FC" w14:textId="77777777" w:rsidTr="003F1871">
        <w:trPr>
          <w:trHeight w:val="276"/>
        </w:trPr>
        <w:tc>
          <w:tcPr>
            <w:tcW w:w="5377" w:type="dxa"/>
            <w:tcBorders>
              <w:top w:val="single" w:sz="4" w:space="0" w:color="auto"/>
              <w:left w:val="single" w:sz="4" w:space="0" w:color="auto"/>
              <w:bottom w:val="nil"/>
              <w:right w:val="nil"/>
            </w:tcBorders>
            <w:shd w:val="clear" w:color="000000" w:fill="000000"/>
            <w:noWrap/>
            <w:vAlign w:val="bottom"/>
            <w:hideMark/>
          </w:tcPr>
          <w:p w14:paraId="5A261B16" w14:textId="77777777" w:rsidR="007F6F24" w:rsidRPr="00705CE4" w:rsidRDefault="007F6F24" w:rsidP="003F1871">
            <w:pPr>
              <w:jc w:val="center"/>
              <w:rPr>
                <w:rFonts w:ascii="Arial" w:hAnsi="Arial" w:cs="Arial"/>
                <w:color w:val="FFFFFF"/>
                <w:sz w:val="22"/>
                <w:szCs w:val="22"/>
              </w:rPr>
            </w:pPr>
            <w:r w:rsidRPr="00705CE4">
              <w:rPr>
                <w:rFonts w:ascii="Arial" w:hAnsi="Arial" w:cs="Arial"/>
                <w:color w:val="FFFFFF"/>
                <w:sz w:val="22"/>
                <w:szCs w:val="22"/>
              </w:rPr>
              <w:t xml:space="preserve">High Needs Block Budget Requirement 2021/22 </w:t>
            </w:r>
          </w:p>
        </w:tc>
        <w:tc>
          <w:tcPr>
            <w:tcW w:w="1560" w:type="dxa"/>
            <w:tcBorders>
              <w:top w:val="single" w:sz="4" w:space="0" w:color="auto"/>
              <w:left w:val="single" w:sz="4" w:space="0" w:color="auto"/>
              <w:bottom w:val="nil"/>
              <w:right w:val="single" w:sz="4" w:space="0" w:color="auto"/>
            </w:tcBorders>
            <w:shd w:val="clear" w:color="000000" w:fill="000000"/>
            <w:noWrap/>
            <w:vAlign w:val="bottom"/>
            <w:hideMark/>
          </w:tcPr>
          <w:p w14:paraId="02EA0518" w14:textId="77777777" w:rsidR="007F6F24" w:rsidRPr="00705CE4" w:rsidRDefault="007F6F24" w:rsidP="003F1871">
            <w:pPr>
              <w:jc w:val="right"/>
              <w:rPr>
                <w:rFonts w:ascii="Arial" w:hAnsi="Arial" w:cs="Arial"/>
                <w:color w:val="FFFFFF"/>
                <w:sz w:val="22"/>
                <w:szCs w:val="22"/>
              </w:rPr>
            </w:pPr>
            <w:r w:rsidRPr="00705CE4">
              <w:rPr>
                <w:rFonts w:ascii="Arial" w:hAnsi="Arial" w:cs="Arial"/>
                <w:color w:val="FFFFFF"/>
                <w:sz w:val="22"/>
                <w:szCs w:val="22"/>
              </w:rPr>
              <w:t>£m</w:t>
            </w:r>
          </w:p>
        </w:tc>
      </w:tr>
      <w:tr w:rsidR="007F6F24" w:rsidRPr="00CB4B14" w14:paraId="41BFEAF6" w14:textId="77777777" w:rsidTr="003F1871">
        <w:trPr>
          <w:trHeight w:val="276"/>
        </w:trPr>
        <w:tc>
          <w:tcPr>
            <w:tcW w:w="5377" w:type="dxa"/>
            <w:tcBorders>
              <w:top w:val="nil"/>
              <w:left w:val="single" w:sz="4" w:space="0" w:color="auto"/>
              <w:bottom w:val="nil"/>
              <w:right w:val="nil"/>
            </w:tcBorders>
            <w:shd w:val="clear" w:color="auto" w:fill="auto"/>
            <w:noWrap/>
            <w:vAlign w:val="bottom"/>
            <w:hideMark/>
          </w:tcPr>
          <w:p w14:paraId="26E1CB64" w14:textId="77777777" w:rsidR="007F6F24" w:rsidRPr="00705CE4" w:rsidRDefault="007F6F24" w:rsidP="003F1871">
            <w:pPr>
              <w:rPr>
                <w:rFonts w:ascii="Arial" w:hAnsi="Arial" w:cs="Arial"/>
                <w:color w:val="000000"/>
                <w:sz w:val="22"/>
                <w:szCs w:val="22"/>
              </w:rPr>
            </w:pPr>
            <w:r w:rsidRPr="00705CE4">
              <w:rPr>
                <w:rFonts w:ascii="Arial" w:hAnsi="Arial" w:cs="Arial"/>
                <w:color w:val="000000"/>
                <w:sz w:val="22"/>
                <w:szCs w:val="22"/>
              </w:rPr>
              <w:t xml:space="preserve">Place Funding - Maintained </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14:paraId="3F447EC4" w14:textId="77777777" w:rsidR="007F6F24" w:rsidRPr="00705CE4" w:rsidRDefault="007F6F24" w:rsidP="003F1871">
            <w:pPr>
              <w:jc w:val="right"/>
              <w:rPr>
                <w:rFonts w:ascii="Arial" w:hAnsi="Arial" w:cs="Arial"/>
                <w:color w:val="000000"/>
                <w:sz w:val="22"/>
                <w:szCs w:val="22"/>
              </w:rPr>
            </w:pPr>
            <w:r w:rsidRPr="00705CE4">
              <w:rPr>
                <w:rFonts w:ascii="Arial" w:hAnsi="Arial" w:cs="Arial"/>
                <w:color w:val="000000"/>
                <w:sz w:val="22"/>
                <w:szCs w:val="22"/>
              </w:rPr>
              <w:t>1.</w:t>
            </w:r>
            <w:r>
              <w:rPr>
                <w:rFonts w:ascii="Arial" w:hAnsi="Arial" w:cs="Arial"/>
                <w:color w:val="000000"/>
                <w:sz w:val="22"/>
                <w:szCs w:val="22"/>
              </w:rPr>
              <w:t>366</w:t>
            </w:r>
          </w:p>
        </w:tc>
      </w:tr>
      <w:tr w:rsidR="007F6F24" w:rsidRPr="00CB4B14" w14:paraId="645AD88C" w14:textId="77777777" w:rsidTr="003F1871">
        <w:trPr>
          <w:trHeight w:val="276"/>
        </w:trPr>
        <w:tc>
          <w:tcPr>
            <w:tcW w:w="5377" w:type="dxa"/>
            <w:tcBorders>
              <w:top w:val="nil"/>
              <w:left w:val="single" w:sz="4" w:space="0" w:color="auto"/>
              <w:bottom w:val="nil"/>
              <w:right w:val="nil"/>
            </w:tcBorders>
            <w:shd w:val="clear" w:color="auto" w:fill="auto"/>
            <w:noWrap/>
            <w:vAlign w:val="bottom"/>
            <w:hideMark/>
          </w:tcPr>
          <w:p w14:paraId="7AA5BD53" w14:textId="77777777" w:rsidR="007F6F24" w:rsidRPr="00705CE4" w:rsidRDefault="007F6F24" w:rsidP="003F1871">
            <w:pPr>
              <w:rPr>
                <w:rFonts w:ascii="Arial" w:hAnsi="Arial" w:cs="Arial"/>
                <w:color w:val="000000"/>
                <w:sz w:val="22"/>
                <w:szCs w:val="22"/>
              </w:rPr>
            </w:pPr>
            <w:r w:rsidRPr="00705CE4">
              <w:rPr>
                <w:rFonts w:ascii="Arial" w:hAnsi="Arial" w:cs="Arial"/>
                <w:color w:val="000000"/>
                <w:sz w:val="22"/>
                <w:szCs w:val="22"/>
              </w:rPr>
              <w:t>Independent School Fees</w:t>
            </w:r>
          </w:p>
        </w:tc>
        <w:tc>
          <w:tcPr>
            <w:tcW w:w="1560" w:type="dxa"/>
            <w:tcBorders>
              <w:top w:val="nil"/>
              <w:left w:val="single" w:sz="4" w:space="0" w:color="auto"/>
              <w:bottom w:val="nil"/>
              <w:right w:val="single" w:sz="4" w:space="0" w:color="auto"/>
            </w:tcBorders>
            <w:shd w:val="clear" w:color="auto" w:fill="auto"/>
            <w:noWrap/>
            <w:vAlign w:val="bottom"/>
            <w:hideMark/>
          </w:tcPr>
          <w:p w14:paraId="435D10D0" w14:textId="77777777" w:rsidR="007F6F24" w:rsidRPr="00705CE4" w:rsidRDefault="007F6F24" w:rsidP="003F1871">
            <w:pPr>
              <w:jc w:val="right"/>
              <w:rPr>
                <w:rFonts w:ascii="Arial" w:hAnsi="Arial" w:cs="Arial"/>
                <w:color w:val="000000"/>
                <w:sz w:val="22"/>
                <w:szCs w:val="22"/>
              </w:rPr>
            </w:pPr>
            <w:r>
              <w:rPr>
                <w:rFonts w:ascii="Arial" w:hAnsi="Arial" w:cs="Arial"/>
                <w:color w:val="000000"/>
                <w:sz w:val="22"/>
                <w:szCs w:val="22"/>
              </w:rPr>
              <w:t>3.081</w:t>
            </w:r>
          </w:p>
        </w:tc>
      </w:tr>
      <w:tr w:rsidR="007F6F24" w:rsidRPr="00CB4B14" w14:paraId="05160722" w14:textId="77777777" w:rsidTr="003F1871">
        <w:trPr>
          <w:trHeight w:val="276"/>
        </w:trPr>
        <w:tc>
          <w:tcPr>
            <w:tcW w:w="5377" w:type="dxa"/>
            <w:tcBorders>
              <w:top w:val="nil"/>
              <w:left w:val="single" w:sz="4" w:space="0" w:color="auto"/>
              <w:bottom w:val="nil"/>
              <w:right w:val="nil"/>
            </w:tcBorders>
            <w:shd w:val="clear" w:color="auto" w:fill="auto"/>
            <w:noWrap/>
            <w:vAlign w:val="bottom"/>
            <w:hideMark/>
          </w:tcPr>
          <w:p w14:paraId="0C325CA9" w14:textId="77777777" w:rsidR="007F6F24" w:rsidRPr="00705CE4" w:rsidRDefault="007F6F24" w:rsidP="003F1871">
            <w:pPr>
              <w:rPr>
                <w:rFonts w:ascii="Arial" w:hAnsi="Arial" w:cs="Arial"/>
                <w:color w:val="000000"/>
                <w:sz w:val="22"/>
                <w:szCs w:val="22"/>
              </w:rPr>
            </w:pPr>
            <w:r w:rsidRPr="00705CE4">
              <w:rPr>
                <w:rFonts w:ascii="Arial" w:hAnsi="Arial" w:cs="Arial"/>
                <w:color w:val="000000"/>
                <w:sz w:val="22"/>
                <w:szCs w:val="22"/>
              </w:rPr>
              <w:t>Out of Authority Top-ups</w:t>
            </w:r>
          </w:p>
        </w:tc>
        <w:tc>
          <w:tcPr>
            <w:tcW w:w="1560" w:type="dxa"/>
            <w:tcBorders>
              <w:top w:val="nil"/>
              <w:left w:val="single" w:sz="4" w:space="0" w:color="auto"/>
              <w:bottom w:val="nil"/>
              <w:right w:val="single" w:sz="4" w:space="0" w:color="auto"/>
            </w:tcBorders>
            <w:shd w:val="clear" w:color="auto" w:fill="auto"/>
            <w:noWrap/>
            <w:vAlign w:val="bottom"/>
            <w:hideMark/>
          </w:tcPr>
          <w:p w14:paraId="03198528" w14:textId="77777777" w:rsidR="007F6F24" w:rsidRPr="00705CE4" w:rsidRDefault="007F6F24" w:rsidP="003F1871">
            <w:pPr>
              <w:jc w:val="right"/>
              <w:rPr>
                <w:rFonts w:ascii="Arial" w:hAnsi="Arial" w:cs="Arial"/>
                <w:color w:val="000000"/>
                <w:sz w:val="22"/>
                <w:szCs w:val="22"/>
              </w:rPr>
            </w:pPr>
            <w:r>
              <w:rPr>
                <w:rFonts w:ascii="Arial" w:hAnsi="Arial" w:cs="Arial"/>
                <w:color w:val="000000"/>
                <w:sz w:val="22"/>
                <w:szCs w:val="22"/>
              </w:rPr>
              <w:t>0.482</w:t>
            </w:r>
          </w:p>
        </w:tc>
      </w:tr>
      <w:tr w:rsidR="007F6F24" w:rsidRPr="00CB4B14" w14:paraId="6D723213" w14:textId="77777777" w:rsidTr="003F1871">
        <w:trPr>
          <w:trHeight w:val="276"/>
        </w:trPr>
        <w:tc>
          <w:tcPr>
            <w:tcW w:w="5377" w:type="dxa"/>
            <w:tcBorders>
              <w:top w:val="nil"/>
              <w:left w:val="single" w:sz="4" w:space="0" w:color="auto"/>
              <w:bottom w:val="nil"/>
              <w:right w:val="nil"/>
            </w:tcBorders>
            <w:shd w:val="clear" w:color="auto" w:fill="auto"/>
            <w:noWrap/>
            <w:vAlign w:val="bottom"/>
          </w:tcPr>
          <w:p w14:paraId="391C4E4A" w14:textId="77777777" w:rsidR="007F6F24" w:rsidRPr="00705CE4" w:rsidRDefault="007F6F24" w:rsidP="003F1871">
            <w:pPr>
              <w:rPr>
                <w:rFonts w:ascii="Arial" w:hAnsi="Arial" w:cs="Arial"/>
                <w:color w:val="000000"/>
                <w:sz w:val="22"/>
                <w:szCs w:val="22"/>
              </w:rPr>
            </w:pPr>
            <w:r>
              <w:rPr>
                <w:rFonts w:ascii="Arial" w:hAnsi="Arial" w:cs="Arial"/>
                <w:color w:val="000000"/>
                <w:sz w:val="22"/>
                <w:szCs w:val="22"/>
              </w:rPr>
              <w:t>Alternative Provision (including Horizon School)</w:t>
            </w:r>
          </w:p>
        </w:tc>
        <w:tc>
          <w:tcPr>
            <w:tcW w:w="1560" w:type="dxa"/>
            <w:tcBorders>
              <w:top w:val="nil"/>
              <w:left w:val="single" w:sz="4" w:space="0" w:color="auto"/>
              <w:bottom w:val="nil"/>
              <w:right w:val="single" w:sz="4" w:space="0" w:color="auto"/>
            </w:tcBorders>
            <w:shd w:val="clear" w:color="auto" w:fill="auto"/>
            <w:noWrap/>
            <w:vAlign w:val="bottom"/>
          </w:tcPr>
          <w:p w14:paraId="0DF43A6D" w14:textId="77777777" w:rsidR="007F6F24" w:rsidRPr="00705CE4" w:rsidRDefault="007F6F24" w:rsidP="003F1871">
            <w:pPr>
              <w:jc w:val="right"/>
              <w:rPr>
                <w:rFonts w:ascii="Arial" w:hAnsi="Arial" w:cs="Arial"/>
                <w:color w:val="000000"/>
                <w:sz w:val="22"/>
                <w:szCs w:val="22"/>
              </w:rPr>
            </w:pPr>
            <w:r w:rsidRPr="00705CE4">
              <w:rPr>
                <w:rFonts w:ascii="Arial" w:hAnsi="Arial" w:cs="Arial"/>
                <w:color w:val="000000"/>
                <w:sz w:val="22"/>
                <w:szCs w:val="22"/>
              </w:rPr>
              <w:t>0.</w:t>
            </w:r>
            <w:r>
              <w:rPr>
                <w:rFonts w:ascii="Arial" w:hAnsi="Arial" w:cs="Arial"/>
                <w:color w:val="000000"/>
                <w:sz w:val="22"/>
                <w:szCs w:val="22"/>
              </w:rPr>
              <w:t>753</w:t>
            </w:r>
          </w:p>
        </w:tc>
      </w:tr>
      <w:tr w:rsidR="007F6F24" w:rsidRPr="00CB4B14" w14:paraId="47BEA917" w14:textId="77777777" w:rsidTr="003F1871">
        <w:trPr>
          <w:trHeight w:val="276"/>
        </w:trPr>
        <w:tc>
          <w:tcPr>
            <w:tcW w:w="5377" w:type="dxa"/>
            <w:tcBorders>
              <w:top w:val="nil"/>
              <w:left w:val="single" w:sz="4" w:space="0" w:color="auto"/>
              <w:bottom w:val="nil"/>
              <w:right w:val="nil"/>
            </w:tcBorders>
            <w:shd w:val="clear" w:color="auto" w:fill="auto"/>
            <w:noWrap/>
            <w:vAlign w:val="bottom"/>
            <w:hideMark/>
          </w:tcPr>
          <w:p w14:paraId="50F7F1DF" w14:textId="77777777" w:rsidR="007F6F24" w:rsidRPr="00705CE4" w:rsidRDefault="007F6F24" w:rsidP="003F1871">
            <w:pPr>
              <w:rPr>
                <w:rFonts w:ascii="Arial" w:hAnsi="Arial" w:cs="Arial"/>
                <w:color w:val="000000"/>
                <w:sz w:val="22"/>
                <w:szCs w:val="22"/>
              </w:rPr>
            </w:pPr>
            <w:r w:rsidRPr="00705CE4">
              <w:rPr>
                <w:rFonts w:ascii="Arial" w:hAnsi="Arial" w:cs="Arial"/>
                <w:color w:val="000000"/>
                <w:sz w:val="22"/>
                <w:szCs w:val="22"/>
              </w:rPr>
              <w:t>Top-ups and Support</w:t>
            </w:r>
          </w:p>
        </w:tc>
        <w:tc>
          <w:tcPr>
            <w:tcW w:w="1560" w:type="dxa"/>
            <w:tcBorders>
              <w:top w:val="nil"/>
              <w:left w:val="single" w:sz="4" w:space="0" w:color="auto"/>
              <w:bottom w:val="nil"/>
              <w:right w:val="single" w:sz="4" w:space="0" w:color="auto"/>
            </w:tcBorders>
            <w:shd w:val="clear" w:color="auto" w:fill="auto"/>
            <w:noWrap/>
            <w:vAlign w:val="bottom"/>
            <w:hideMark/>
          </w:tcPr>
          <w:p w14:paraId="5306D24D" w14:textId="77777777" w:rsidR="007F6F24" w:rsidRPr="00705CE4" w:rsidRDefault="007F6F24" w:rsidP="003F1871">
            <w:pPr>
              <w:jc w:val="right"/>
              <w:rPr>
                <w:rFonts w:ascii="Arial" w:hAnsi="Arial" w:cs="Arial"/>
                <w:color w:val="000000"/>
                <w:sz w:val="22"/>
                <w:szCs w:val="22"/>
              </w:rPr>
            </w:pPr>
            <w:r>
              <w:rPr>
                <w:rFonts w:ascii="Arial" w:hAnsi="Arial" w:cs="Arial"/>
                <w:color w:val="000000"/>
                <w:sz w:val="22"/>
                <w:szCs w:val="22"/>
              </w:rPr>
              <w:t>5.365</w:t>
            </w:r>
          </w:p>
        </w:tc>
      </w:tr>
      <w:tr w:rsidR="007F6F24" w:rsidRPr="00CB4B14" w14:paraId="67596409" w14:textId="77777777" w:rsidTr="003F1871">
        <w:trPr>
          <w:trHeight w:val="276"/>
        </w:trPr>
        <w:tc>
          <w:tcPr>
            <w:tcW w:w="5377" w:type="dxa"/>
            <w:tcBorders>
              <w:top w:val="nil"/>
              <w:left w:val="single" w:sz="4" w:space="0" w:color="auto"/>
              <w:bottom w:val="nil"/>
              <w:right w:val="nil"/>
            </w:tcBorders>
            <w:shd w:val="clear" w:color="auto" w:fill="auto"/>
            <w:noWrap/>
            <w:vAlign w:val="bottom"/>
            <w:hideMark/>
          </w:tcPr>
          <w:p w14:paraId="7869BE61" w14:textId="77777777" w:rsidR="007F6F24" w:rsidRPr="00705CE4" w:rsidRDefault="007F6F24" w:rsidP="003F1871">
            <w:pPr>
              <w:rPr>
                <w:rFonts w:ascii="Arial" w:hAnsi="Arial" w:cs="Arial"/>
                <w:color w:val="000000"/>
                <w:sz w:val="22"/>
                <w:szCs w:val="22"/>
              </w:rPr>
            </w:pPr>
            <w:r w:rsidRPr="00705CE4">
              <w:rPr>
                <w:rFonts w:ascii="Arial" w:hAnsi="Arial" w:cs="Arial"/>
                <w:color w:val="000000"/>
                <w:sz w:val="22"/>
                <w:szCs w:val="22"/>
              </w:rPr>
              <w:t>Post-16 Top-ups</w:t>
            </w:r>
          </w:p>
        </w:tc>
        <w:tc>
          <w:tcPr>
            <w:tcW w:w="1560" w:type="dxa"/>
            <w:tcBorders>
              <w:top w:val="nil"/>
              <w:left w:val="single" w:sz="4" w:space="0" w:color="auto"/>
              <w:bottom w:val="nil"/>
              <w:right w:val="single" w:sz="4" w:space="0" w:color="auto"/>
            </w:tcBorders>
            <w:shd w:val="clear" w:color="auto" w:fill="auto"/>
            <w:noWrap/>
            <w:vAlign w:val="bottom"/>
            <w:hideMark/>
          </w:tcPr>
          <w:p w14:paraId="0BB98614" w14:textId="77777777" w:rsidR="007F6F24" w:rsidRPr="00705CE4" w:rsidRDefault="007F6F24" w:rsidP="003F1871">
            <w:pPr>
              <w:jc w:val="right"/>
              <w:rPr>
                <w:rFonts w:ascii="Arial" w:hAnsi="Arial" w:cs="Arial"/>
                <w:color w:val="000000"/>
                <w:sz w:val="22"/>
                <w:szCs w:val="22"/>
              </w:rPr>
            </w:pPr>
            <w:r w:rsidRPr="00705CE4">
              <w:rPr>
                <w:rFonts w:ascii="Arial" w:hAnsi="Arial" w:cs="Arial"/>
                <w:color w:val="000000"/>
                <w:sz w:val="22"/>
                <w:szCs w:val="22"/>
              </w:rPr>
              <w:t>0.</w:t>
            </w:r>
            <w:r>
              <w:rPr>
                <w:rFonts w:ascii="Arial" w:hAnsi="Arial" w:cs="Arial"/>
                <w:color w:val="000000"/>
                <w:sz w:val="22"/>
                <w:szCs w:val="22"/>
              </w:rPr>
              <w:t>720</w:t>
            </w:r>
          </w:p>
        </w:tc>
      </w:tr>
      <w:tr w:rsidR="007F6F24" w:rsidRPr="00CB4B14" w14:paraId="6438584E" w14:textId="77777777" w:rsidTr="003F1871">
        <w:trPr>
          <w:trHeight w:val="276"/>
        </w:trPr>
        <w:tc>
          <w:tcPr>
            <w:tcW w:w="5377" w:type="dxa"/>
            <w:tcBorders>
              <w:top w:val="nil"/>
              <w:left w:val="single" w:sz="4" w:space="0" w:color="auto"/>
              <w:bottom w:val="nil"/>
              <w:right w:val="nil"/>
            </w:tcBorders>
            <w:shd w:val="clear" w:color="auto" w:fill="auto"/>
            <w:noWrap/>
            <w:vAlign w:val="bottom"/>
            <w:hideMark/>
          </w:tcPr>
          <w:p w14:paraId="6B5FA501" w14:textId="77777777" w:rsidR="007F6F24" w:rsidRPr="00705CE4" w:rsidRDefault="007F6F24" w:rsidP="003F1871">
            <w:pPr>
              <w:rPr>
                <w:rFonts w:ascii="Arial" w:hAnsi="Arial" w:cs="Arial"/>
                <w:color w:val="000000"/>
                <w:sz w:val="22"/>
                <w:szCs w:val="22"/>
              </w:rPr>
            </w:pPr>
            <w:r w:rsidRPr="00705CE4">
              <w:rPr>
                <w:rFonts w:ascii="Arial" w:hAnsi="Arial" w:cs="Arial"/>
                <w:color w:val="000000"/>
                <w:sz w:val="22"/>
                <w:szCs w:val="22"/>
              </w:rPr>
              <w:t xml:space="preserve">High Needs Services </w:t>
            </w:r>
          </w:p>
        </w:tc>
        <w:tc>
          <w:tcPr>
            <w:tcW w:w="1560" w:type="dxa"/>
            <w:tcBorders>
              <w:top w:val="nil"/>
              <w:left w:val="single" w:sz="4" w:space="0" w:color="auto"/>
              <w:bottom w:val="nil"/>
              <w:right w:val="single" w:sz="4" w:space="0" w:color="auto"/>
            </w:tcBorders>
            <w:shd w:val="clear" w:color="auto" w:fill="auto"/>
            <w:noWrap/>
            <w:vAlign w:val="bottom"/>
            <w:hideMark/>
          </w:tcPr>
          <w:p w14:paraId="4F49FB3E" w14:textId="77777777" w:rsidR="007F6F24" w:rsidRPr="00705CE4" w:rsidRDefault="007F6F24" w:rsidP="003F1871">
            <w:pPr>
              <w:jc w:val="right"/>
              <w:rPr>
                <w:rFonts w:ascii="Arial" w:hAnsi="Arial" w:cs="Arial"/>
                <w:color w:val="000000"/>
                <w:sz w:val="22"/>
                <w:szCs w:val="22"/>
              </w:rPr>
            </w:pPr>
            <w:r w:rsidRPr="00705CE4">
              <w:rPr>
                <w:rFonts w:ascii="Arial" w:hAnsi="Arial" w:cs="Arial"/>
                <w:color w:val="000000"/>
                <w:sz w:val="22"/>
                <w:szCs w:val="22"/>
              </w:rPr>
              <w:t>0.467</w:t>
            </w:r>
          </w:p>
        </w:tc>
      </w:tr>
      <w:tr w:rsidR="007F6F24" w:rsidRPr="00CB4B14" w14:paraId="37BB31CD" w14:textId="77777777" w:rsidTr="003F1871">
        <w:trPr>
          <w:trHeight w:val="276"/>
        </w:trPr>
        <w:tc>
          <w:tcPr>
            <w:tcW w:w="5377" w:type="dxa"/>
            <w:tcBorders>
              <w:top w:val="nil"/>
              <w:left w:val="single" w:sz="4" w:space="0" w:color="auto"/>
              <w:bottom w:val="nil"/>
              <w:right w:val="nil"/>
            </w:tcBorders>
            <w:shd w:val="clear" w:color="auto" w:fill="auto"/>
            <w:noWrap/>
            <w:vAlign w:val="bottom"/>
          </w:tcPr>
          <w:p w14:paraId="60A09FEB" w14:textId="77777777" w:rsidR="007F6F24" w:rsidRPr="00705CE4" w:rsidRDefault="007F6F24" w:rsidP="003F1871">
            <w:pPr>
              <w:rPr>
                <w:rFonts w:ascii="Arial" w:hAnsi="Arial" w:cs="Arial"/>
                <w:color w:val="000000"/>
                <w:sz w:val="22"/>
                <w:szCs w:val="22"/>
              </w:rPr>
            </w:pPr>
            <w:r>
              <w:rPr>
                <w:rFonts w:ascii="Arial" w:hAnsi="Arial" w:cs="Arial"/>
                <w:color w:val="000000"/>
                <w:sz w:val="22"/>
                <w:szCs w:val="22"/>
              </w:rPr>
              <w:t>Contribution to Reserves (repay deficit)</w:t>
            </w:r>
          </w:p>
        </w:tc>
        <w:tc>
          <w:tcPr>
            <w:tcW w:w="1560" w:type="dxa"/>
            <w:tcBorders>
              <w:top w:val="nil"/>
              <w:left w:val="single" w:sz="4" w:space="0" w:color="auto"/>
              <w:bottom w:val="nil"/>
              <w:right w:val="single" w:sz="4" w:space="0" w:color="auto"/>
            </w:tcBorders>
            <w:shd w:val="clear" w:color="auto" w:fill="auto"/>
            <w:noWrap/>
            <w:vAlign w:val="bottom"/>
          </w:tcPr>
          <w:p w14:paraId="0D23F6AE" w14:textId="77777777" w:rsidR="007F6F24" w:rsidRPr="00705CE4" w:rsidRDefault="007F6F24" w:rsidP="003F1871">
            <w:pPr>
              <w:jc w:val="right"/>
              <w:rPr>
                <w:rFonts w:ascii="Arial" w:hAnsi="Arial" w:cs="Arial"/>
                <w:color w:val="000000"/>
                <w:sz w:val="22"/>
                <w:szCs w:val="22"/>
              </w:rPr>
            </w:pPr>
            <w:r>
              <w:rPr>
                <w:rFonts w:ascii="Arial" w:hAnsi="Arial" w:cs="Arial"/>
                <w:color w:val="000000"/>
                <w:sz w:val="22"/>
                <w:szCs w:val="22"/>
              </w:rPr>
              <w:t>0.173</w:t>
            </w:r>
          </w:p>
        </w:tc>
      </w:tr>
      <w:tr w:rsidR="007F6F24" w:rsidRPr="00CB4B14" w14:paraId="5FB94685" w14:textId="77777777" w:rsidTr="003F1871">
        <w:trPr>
          <w:trHeight w:val="276"/>
        </w:trPr>
        <w:tc>
          <w:tcPr>
            <w:tcW w:w="5377" w:type="dxa"/>
            <w:tcBorders>
              <w:top w:val="nil"/>
              <w:left w:val="single" w:sz="4" w:space="0" w:color="auto"/>
              <w:bottom w:val="nil"/>
              <w:right w:val="nil"/>
            </w:tcBorders>
            <w:shd w:val="clear" w:color="auto" w:fill="auto"/>
            <w:noWrap/>
            <w:vAlign w:val="bottom"/>
          </w:tcPr>
          <w:p w14:paraId="23724EFB" w14:textId="77777777" w:rsidR="007F6F24" w:rsidRDefault="007F6F24" w:rsidP="003F1871">
            <w:pPr>
              <w:rPr>
                <w:rFonts w:ascii="Arial" w:hAnsi="Arial" w:cs="Arial"/>
                <w:color w:val="000000"/>
                <w:sz w:val="22"/>
                <w:szCs w:val="22"/>
              </w:rPr>
            </w:pPr>
            <w:r>
              <w:rPr>
                <w:rFonts w:ascii="Arial" w:hAnsi="Arial" w:cs="Arial"/>
                <w:color w:val="000000"/>
                <w:sz w:val="22"/>
                <w:szCs w:val="22"/>
              </w:rPr>
              <w:t>Provision for MTFS proposals</w:t>
            </w:r>
          </w:p>
        </w:tc>
        <w:tc>
          <w:tcPr>
            <w:tcW w:w="1560" w:type="dxa"/>
            <w:tcBorders>
              <w:top w:val="nil"/>
              <w:left w:val="single" w:sz="4" w:space="0" w:color="auto"/>
              <w:bottom w:val="nil"/>
              <w:right w:val="single" w:sz="4" w:space="0" w:color="auto"/>
            </w:tcBorders>
            <w:shd w:val="clear" w:color="auto" w:fill="auto"/>
            <w:noWrap/>
            <w:vAlign w:val="bottom"/>
          </w:tcPr>
          <w:p w14:paraId="734CADED" w14:textId="77777777" w:rsidR="007F6F24" w:rsidRDefault="007F6F24" w:rsidP="003F1871">
            <w:pPr>
              <w:jc w:val="right"/>
              <w:rPr>
                <w:rFonts w:ascii="Arial" w:hAnsi="Arial" w:cs="Arial"/>
                <w:color w:val="000000"/>
                <w:sz w:val="22"/>
                <w:szCs w:val="22"/>
              </w:rPr>
            </w:pPr>
            <w:r>
              <w:rPr>
                <w:rFonts w:ascii="Arial" w:hAnsi="Arial" w:cs="Arial"/>
                <w:color w:val="000000"/>
                <w:sz w:val="22"/>
                <w:szCs w:val="22"/>
              </w:rPr>
              <w:t>0.282</w:t>
            </w:r>
          </w:p>
        </w:tc>
      </w:tr>
      <w:tr w:rsidR="007F6F24" w:rsidRPr="00CB4B14" w14:paraId="0BCE625B" w14:textId="77777777" w:rsidTr="003F1871">
        <w:trPr>
          <w:trHeight w:val="276"/>
        </w:trPr>
        <w:tc>
          <w:tcPr>
            <w:tcW w:w="5377" w:type="dxa"/>
            <w:tcBorders>
              <w:top w:val="single" w:sz="4" w:space="0" w:color="auto"/>
              <w:left w:val="single" w:sz="4" w:space="0" w:color="auto"/>
              <w:bottom w:val="single" w:sz="4" w:space="0" w:color="auto"/>
              <w:right w:val="nil"/>
            </w:tcBorders>
            <w:shd w:val="clear" w:color="auto" w:fill="auto"/>
            <w:noWrap/>
            <w:vAlign w:val="bottom"/>
            <w:hideMark/>
          </w:tcPr>
          <w:p w14:paraId="61D34C08" w14:textId="77777777" w:rsidR="007F6F24" w:rsidRPr="00705CE4" w:rsidRDefault="007F6F24" w:rsidP="003F1871">
            <w:pPr>
              <w:jc w:val="right"/>
              <w:rPr>
                <w:rFonts w:ascii="Arial" w:hAnsi="Arial" w:cs="Arial"/>
                <w:b/>
                <w:bCs/>
                <w:color w:val="000000"/>
                <w:sz w:val="22"/>
                <w:szCs w:val="22"/>
              </w:rPr>
            </w:pPr>
            <w:r w:rsidRPr="00705CE4">
              <w:rPr>
                <w:rFonts w:ascii="Arial" w:hAnsi="Arial" w:cs="Arial"/>
                <w:b/>
                <w:bCs/>
                <w:color w:val="000000"/>
                <w:sz w:val="22"/>
                <w:szCs w:val="22"/>
              </w:rPr>
              <w:t>Total Budget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8C872" w14:textId="77777777" w:rsidR="007F6F24" w:rsidRPr="00705CE4" w:rsidRDefault="007F6F24" w:rsidP="003F1871">
            <w:pPr>
              <w:jc w:val="right"/>
              <w:rPr>
                <w:rFonts w:ascii="Arial" w:hAnsi="Arial" w:cs="Arial"/>
                <w:b/>
                <w:bCs/>
                <w:color w:val="000000"/>
                <w:sz w:val="22"/>
                <w:szCs w:val="22"/>
              </w:rPr>
            </w:pPr>
            <w:r>
              <w:rPr>
                <w:rFonts w:ascii="Arial" w:hAnsi="Arial" w:cs="Arial"/>
                <w:b/>
                <w:bCs/>
                <w:color w:val="000000"/>
                <w:sz w:val="22"/>
                <w:szCs w:val="22"/>
              </w:rPr>
              <w:t>12.689</w:t>
            </w:r>
          </w:p>
        </w:tc>
      </w:tr>
    </w:tbl>
    <w:p w14:paraId="23422BD8" w14:textId="15CB8F56" w:rsidR="007F6F24" w:rsidRDefault="007F6F24" w:rsidP="003B27BE">
      <w:pPr>
        <w:ind w:left="720" w:hanging="720"/>
        <w:rPr>
          <w:rFonts w:ascii="Arial" w:hAnsi="Arial" w:cs="Arial"/>
        </w:rPr>
      </w:pPr>
    </w:p>
    <w:p w14:paraId="088B1762" w14:textId="18F0E508" w:rsidR="00BE6D2A" w:rsidRPr="00B63511" w:rsidRDefault="00C12D6E" w:rsidP="00F2265C">
      <w:pPr>
        <w:ind w:left="709" w:hanging="709"/>
        <w:rPr>
          <w:rFonts w:ascii="Arial" w:hAnsi="Arial" w:cs="Arial"/>
          <w:b/>
          <w:u w:val="single"/>
        </w:rPr>
      </w:pPr>
      <w:r>
        <w:rPr>
          <w:rFonts w:ascii="Arial" w:hAnsi="Arial" w:cs="Arial"/>
        </w:rPr>
        <w:t>4</w:t>
      </w:r>
      <w:r w:rsidR="00B00997">
        <w:rPr>
          <w:rFonts w:ascii="Arial" w:hAnsi="Arial" w:cs="Arial"/>
        </w:rPr>
        <w:t>.2</w:t>
      </w:r>
      <w:r w:rsidR="00B63511">
        <w:rPr>
          <w:rFonts w:ascii="Arial" w:hAnsi="Arial" w:cs="Arial"/>
        </w:rPr>
        <w:tab/>
      </w:r>
      <w:r w:rsidR="007F6F24" w:rsidRPr="009D602C">
        <w:rPr>
          <w:rFonts w:ascii="Arial" w:hAnsi="Arial"/>
        </w:rPr>
        <w:t>Work to establish the three-year MTFS is underway. The MTFS will provide information to support planned budgets over a three-year planning period.</w:t>
      </w:r>
      <w:r w:rsidR="007F6F24">
        <w:rPr>
          <w:rFonts w:ascii="Arial" w:hAnsi="Arial"/>
        </w:rPr>
        <w:t xml:space="preserve"> Until the MTFS work is complete, any budget changes have been reviewed for 2021/22 only.</w:t>
      </w:r>
    </w:p>
    <w:p w14:paraId="5B0CBAB4" w14:textId="77777777" w:rsidR="002F150B" w:rsidRDefault="002F150B" w:rsidP="004E4BFB">
      <w:pPr>
        <w:ind w:left="360"/>
        <w:rPr>
          <w:rFonts w:ascii="Arial" w:hAnsi="Arial" w:cs="Arial"/>
        </w:rPr>
      </w:pPr>
    </w:p>
    <w:p w14:paraId="12637CC3" w14:textId="1C810D00" w:rsidR="007C5FDE" w:rsidRDefault="007C5FDE" w:rsidP="00970616">
      <w:pPr>
        <w:ind w:left="709" w:hanging="709"/>
        <w:rPr>
          <w:rFonts w:ascii="Arial" w:hAnsi="Arial" w:cs="Arial"/>
        </w:rPr>
      </w:pPr>
      <w:r>
        <w:rPr>
          <w:rFonts w:ascii="Arial" w:hAnsi="Arial" w:cs="Arial"/>
        </w:rPr>
        <w:t>4.3</w:t>
      </w:r>
      <w:r>
        <w:rPr>
          <w:rFonts w:ascii="Arial" w:hAnsi="Arial" w:cs="Arial"/>
        </w:rPr>
        <w:tab/>
      </w:r>
      <w:r w:rsidR="007F6F24" w:rsidRPr="0010147B">
        <w:rPr>
          <w:rFonts w:ascii="Arial" w:hAnsi="Arial"/>
        </w:rPr>
        <w:t xml:space="preserve">The planned budget at paragraph </w:t>
      </w:r>
      <w:r w:rsidR="007F6F24">
        <w:rPr>
          <w:rFonts w:ascii="Arial" w:hAnsi="Arial"/>
        </w:rPr>
        <w:t>4</w:t>
      </w:r>
      <w:r w:rsidR="007F6F24" w:rsidRPr="0010147B">
        <w:rPr>
          <w:rFonts w:ascii="Arial" w:hAnsi="Arial"/>
        </w:rPr>
        <w:t xml:space="preserve">.1 includes two proposals for </w:t>
      </w:r>
      <w:r w:rsidR="007F6F24">
        <w:rPr>
          <w:rFonts w:ascii="Arial" w:hAnsi="Arial"/>
        </w:rPr>
        <w:t xml:space="preserve">implementation for </w:t>
      </w:r>
      <w:r w:rsidR="007F6F24" w:rsidRPr="0010147B">
        <w:rPr>
          <w:rFonts w:ascii="Arial" w:hAnsi="Arial"/>
        </w:rPr>
        <w:t>2021/22</w:t>
      </w:r>
      <w:r w:rsidR="007F6F24">
        <w:rPr>
          <w:rFonts w:ascii="Arial" w:hAnsi="Arial"/>
        </w:rPr>
        <w:t xml:space="preserve"> </w:t>
      </w:r>
      <w:r w:rsidR="007F6F24" w:rsidRPr="0010147B">
        <w:rPr>
          <w:rFonts w:ascii="Arial" w:hAnsi="Arial"/>
        </w:rPr>
        <w:t>only</w:t>
      </w:r>
      <w:r w:rsidR="007F6F24">
        <w:rPr>
          <w:rFonts w:ascii="Arial" w:hAnsi="Arial"/>
        </w:rPr>
        <w:t>,</w:t>
      </w:r>
      <w:r w:rsidR="007F6F24" w:rsidRPr="0010147B">
        <w:rPr>
          <w:rFonts w:ascii="Arial" w:hAnsi="Arial"/>
        </w:rPr>
        <w:t xml:space="preserve"> pending the completion of the three-year MTFS.</w:t>
      </w:r>
      <w:r w:rsidR="007F6F24">
        <w:rPr>
          <w:rFonts w:ascii="Arial" w:hAnsi="Arial"/>
        </w:rPr>
        <w:t xml:space="preserve"> The proposals have been recommended for approval at </w:t>
      </w:r>
      <w:r w:rsidR="00404D3A">
        <w:rPr>
          <w:rFonts w:ascii="Arial" w:hAnsi="Arial"/>
        </w:rPr>
        <w:t>Children’s</w:t>
      </w:r>
      <w:r w:rsidR="007F6F24">
        <w:rPr>
          <w:rFonts w:ascii="Arial" w:hAnsi="Arial"/>
        </w:rPr>
        <w:t xml:space="preserve"> Services Committee on 27 January 2021 by Schools’ Forum.</w:t>
      </w:r>
    </w:p>
    <w:p w14:paraId="0DB5F180" w14:textId="77777777" w:rsidR="007C5FDE" w:rsidRDefault="007C5FDE" w:rsidP="004E4BFB">
      <w:pPr>
        <w:ind w:left="360"/>
        <w:rPr>
          <w:rFonts w:ascii="Arial" w:hAnsi="Arial" w:cs="Arial"/>
        </w:rPr>
      </w:pPr>
    </w:p>
    <w:p w14:paraId="7BE841B6" w14:textId="6F773CA5" w:rsidR="009C1F4D" w:rsidRDefault="00C12D6E" w:rsidP="009C1F4D">
      <w:pPr>
        <w:tabs>
          <w:tab w:val="left" w:pos="709"/>
        </w:tabs>
        <w:ind w:left="709" w:hanging="709"/>
        <w:rPr>
          <w:rFonts w:ascii="Arial" w:hAnsi="Arial"/>
        </w:rPr>
      </w:pPr>
      <w:r>
        <w:rPr>
          <w:rFonts w:ascii="Arial" w:hAnsi="Arial" w:cs="Arial"/>
        </w:rPr>
        <w:t>4</w:t>
      </w:r>
      <w:r w:rsidR="007C5FDE">
        <w:rPr>
          <w:rFonts w:ascii="Arial" w:hAnsi="Arial" w:cs="Arial"/>
        </w:rPr>
        <w:t>.4</w:t>
      </w:r>
      <w:r w:rsidR="00B63511">
        <w:rPr>
          <w:rFonts w:ascii="Arial" w:hAnsi="Arial" w:cs="Arial"/>
        </w:rPr>
        <w:tab/>
      </w:r>
      <w:r w:rsidR="009C1F4D" w:rsidRPr="0010147B">
        <w:rPr>
          <w:rFonts w:ascii="Arial" w:hAnsi="Arial"/>
        </w:rPr>
        <w:t xml:space="preserve">The first proposal is to increase the SEND top-up ranges payable to schools to fund additional provision and support for pupils with SEND. The top-up ranges were approved by </w:t>
      </w:r>
      <w:r w:rsidR="00F8292F">
        <w:rPr>
          <w:rFonts w:ascii="Arial" w:hAnsi="Arial"/>
        </w:rPr>
        <w:t xml:space="preserve">Children’s Services </w:t>
      </w:r>
      <w:r w:rsidR="009C1F4D" w:rsidRPr="0010147B">
        <w:rPr>
          <w:rFonts w:ascii="Arial" w:hAnsi="Arial"/>
        </w:rPr>
        <w:t>Committee and implemented during 2018/19. Rates have not been</w:t>
      </w:r>
      <w:r w:rsidR="009C1F4D">
        <w:rPr>
          <w:rFonts w:ascii="Arial" w:hAnsi="Arial"/>
        </w:rPr>
        <w:t xml:space="preserve"> inflated since implementation in 2018/19 as high needs funding from government has been insufficient to cover the known budget requirement. </w:t>
      </w:r>
    </w:p>
    <w:p w14:paraId="17FE78DE" w14:textId="0DAB33A0" w:rsidR="00F851B9" w:rsidRDefault="00F851B9" w:rsidP="00205AF9">
      <w:pPr>
        <w:pStyle w:val="ListParagraph"/>
        <w:ind w:left="709" w:hanging="709"/>
        <w:rPr>
          <w:rFonts w:ascii="Arial" w:hAnsi="Arial" w:cs="Arial"/>
        </w:rPr>
      </w:pPr>
    </w:p>
    <w:p w14:paraId="7D2A281C" w14:textId="6A364EF1" w:rsidR="009C1F4D" w:rsidRDefault="00F851B9" w:rsidP="00D75D9A">
      <w:pPr>
        <w:tabs>
          <w:tab w:val="left" w:pos="709"/>
        </w:tabs>
        <w:ind w:left="709" w:hanging="709"/>
        <w:rPr>
          <w:rFonts w:ascii="Arial" w:hAnsi="Arial"/>
        </w:rPr>
      </w:pPr>
      <w:r>
        <w:rPr>
          <w:rFonts w:ascii="Arial" w:hAnsi="Arial" w:cs="Arial"/>
        </w:rPr>
        <w:t>4.5</w:t>
      </w:r>
      <w:r>
        <w:rPr>
          <w:rFonts w:ascii="Arial" w:hAnsi="Arial" w:cs="Arial"/>
        </w:rPr>
        <w:tab/>
      </w:r>
      <w:r w:rsidR="009C1F4D">
        <w:rPr>
          <w:rFonts w:ascii="Arial" w:hAnsi="Arial"/>
        </w:rPr>
        <w:t>At their meeting on 9 December 2020, Schools’ Forum voted unanimously to recommend application of inflation at the rate of 2.75% for each of the financial years 2019/20, 2020/21 and 2021/22. This equates to inflation of an overall 8.5% to be applied in 2021/22 only.</w:t>
      </w:r>
    </w:p>
    <w:p w14:paraId="5551BB46" w14:textId="77777777" w:rsidR="009C1F4D" w:rsidRDefault="009C1F4D" w:rsidP="009C1F4D">
      <w:pPr>
        <w:tabs>
          <w:tab w:val="left" w:pos="851"/>
        </w:tabs>
        <w:ind w:left="851" w:hanging="851"/>
        <w:rPr>
          <w:rFonts w:ascii="Arial" w:hAnsi="Arial"/>
        </w:rPr>
      </w:pPr>
    </w:p>
    <w:p w14:paraId="3B8A4512" w14:textId="74C7C1F0" w:rsidR="009C1F4D" w:rsidRDefault="009C1F4D" w:rsidP="00D75D9A">
      <w:pPr>
        <w:tabs>
          <w:tab w:val="left" w:pos="709"/>
        </w:tabs>
        <w:ind w:left="709" w:hanging="709"/>
        <w:rPr>
          <w:rFonts w:ascii="Arial" w:hAnsi="Arial"/>
        </w:rPr>
      </w:pPr>
      <w:r>
        <w:rPr>
          <w:rFonts w:ascii="Arial" w:hAnsi="Arial"/>
        </w:rPr>
        <w:t>4.6</w:t>
      </w:r>
      <w:r>
        <w:rPr>
          <w:rFonts w:ascii="Arial" w:hAnsi="Arial"/>
        </w:rPr>
        <w:tab/>
        <w:t>The cost of this proposal in 2021/22 is estimated at £0.135m. This cost is considered fully affordable within the High Needs Block funding available.</w:t>
      </w:r>
    </w:p>
    <w:p w14:paraId="428898CF" w14:textId="77777777" w:rsidR="009C1F4D" w:rsidRDefault="009C1F4D" w:rsidP="009C1F4D">
      <w:pPr>
        <w:tabs>
          <w:tab w:val="left" w:pos="851"/>
        </w:tabs>
        <w:ind w:left="851" w:hanging="851"/>
        <w:rPr>
          <w:rFonts w:ascii="Arial" w:hAnsi="Arial"/>
        </w:rPr>
      </w:pPr>
    </w:p>
    <w:p w14:paraId="0D5B0BCD" w14:textId="3A9DF4D9" w:rsidR="009C1F4D" w:rsidRDefault="009C1F4D" w:rsidP="00D75D9A">
      <w:pPr>
        <w:tabs>
          <w:tab w:val="left" w:pos="709"/>
        </w:tabs>
        <w:ind w:left="709" w:hanging="709"/>
        <w:rPr>
          <w:rFonts w:ascii="Arial" w:hAnsi="Arial"/>
        </w:rPr>
      </w:pPr>
      <w:r>
        <w:rPr>
          <w:rFonts w:ascii="Arial" w:hAnsi="Arial"/>
        </w:rPr>
        <w:t>4.7</w:t>
      </w:r>
      <w:r>
        <w:rPr>
          <w:rFonts w:ascii="Arial" w:hAnsi="Arial"/>
        </w:rPr>
        <w:tab/>
        <w:t xml:space="preserve">The second proposal is to increase the level of Minimum Funding Guarantee (MFG) payable to special schools (Springwell Primary School and Catcote Academy). </w:t>
      </w:r>
      <w:r w:rsidR="00F8292F">
        <w:rPr>
          <w:rFonts w:ascii="Arial" w:hAnsi="Arial"/>
        </w:rPr>
        <w:t>Children’s Services</w:t>
      </w:r>
      <w:r>
        <w:rPr>
          <w:rFonts w:ascii="Arial" w:hAnsi="Arial"/>
        </w:rPr>
        <w:t xml:space="preserve"> Committee approved and implemented the MFG arrangement in 2018/19. Since 2020/21, the regulations have required that special schools receive protection of at least 100.00% of their prior year MFG budget. Authorities are able to provide protection of above 100.00% at Member’s discretion.</w:t>
      </w:r>
    </w:p>
    <w:p w14:paraId="78E07FB3" w14:textId="77777777" w:rsidR="009C1F4D" w:rsidRDefault="009C1F4D" w:rsidP="009C1F4D">
      <w:pPr>
        <w:tabs>
          <w:tab w:val="left" w:pos="851"/>
        </w:tabs>
        <w:ind w:left="851" w:hanging="851"/>
        <w:rPr>
          <w:rFonts w:ascii="Arial" w:hAnsi="Arial"/>
        </w:rPr>
      </w:pPr>
    </w:p>
    <w:p w14:paraId="578FFA20" w14:textId="019A0484" w:rsidR="009C1F4D" w:rsidRDefault="009C1F4D" w:rsidP="00D75D9A">
      <w:pPr>
        <w:ind w:left="709" w:hanging="709"/>
        <w:rPr>
          <w:rFonts w:ascii="Arial" w:hAnsi="Arial"/>
        </w:rPr>
      </w:pPr>
      <w:r>
        <w:rPr>
          <w:rFonts w:ascii="Arial" w:hAnsi="Arial"/>
        </w:rPr>
        <w:t>4.8</w:t>
      </w:r>
      <w:r>
        <w:rPr>
          <w:rFonts w:ascii="Arial" w:hAnsi="Arial"/>
        </w:rPr>
        <w:tab/>
        <w:t>At their meeting on 9 December 2020, Schools’ Forum voted unanimously to recommend the application of protection at 103.00% - an additional 3% above the minimum requirement within the regulations. Schools’ Forum recommend that the additional 3% is applied across financial years 2019/20, 2020/21 and 2021/22. This equates to inflation of an ov</w:t>
      </w:r>
      <w:r w:rsidRPr="00802040">
        <w:rPr>
          <w:rFonts w:ascii="Arial" w:hAnsi="Arial"/>
        </w:rPr>
        <w:t>erall 9.3% to be</w:t>
      </w:r>
      <w:r>
        <w:rPr>
          <w:rFonts w:ascii="Arial" w:hAnsi="Arial"/>
        </w:rPr>
        <w:t xml:space="preserve"> applied in 2021/22 only.</w:t>
      </w:r>
    </w:p>
    <w:p w14:paraId="497B8075" w14:textId="77777777" w:rsidR="009C1F4D" w:rsidRDefault="009C1F4D" w:rsidP="009C1F4D">
      <w:pPr>
        <w:tabs>
          <w:tab w:val="left" w:pos="851"/>
        </w:tabs>
        <w:ind w:left="851" w:hanging="851"/>
        <w:rPr>
          <w:rFonts w:ascii="Arial" w:hAnsi="Arial"/>
        </w:rPr>
      </w:pPr>
    </w:p>
    <w:p w14:paraId="21FBD263" w14:textId="3C96EEEB" w:rsidR="009C1F4D" w:rsidRDefault="009C1F4D" w:rsidP="00D75D9A">
      <w:pPr>
        <w:tabs>
          <w:tab w:val="left" w:pos="709"/>
        </w:tabs>
        <w:ind w:left="709" w:hanging="709"/>
        <w:rPr>
          <w:rFonts w:ascii="Arial" w:hAnsi="Arial"/>
        </w:rPr>
      </w:pPr>
      <w:r>
        <w:rPr>
          <w:rFonts w:ascii="Arial" w:hAnsi="Arial"/>
        </w:rPr>
        <w:lastRenderedPageBreak/>
        <w:t>4.9</w:t>
      </w:r>
      <w:r>
        <w:rPr>
          <w:rFonts w:ascii="Arial" w:hAnsi="Arial"/>
        </w:rPr>
        <w:tab/>
        <w:t>The cost of this proposal in 2021/22 is estimated at £0.178m. This cost is considered fully affordable within the High Needs Block funding available.</w:t>
      </w:r>
    </w:p>
    <w:p w14:paraId="4A492F8D" w14:textId="77777777" w:rsidR="00AB350D" w:rsidRDefault="00AB350D" w:rsidP="00D75D9A">
      <w:pPr>
        <w:tabs>
          <w:tab w:val="left" w:pos="709"/>
        </w:tabs>
        <w:ind w:left="709" w:hanging="709"/>
        <w:rPr>
          <w:rFonts w:ascii="Arial" w:hAnsi="Arial" w:cs="Arial"/>
        </w:rPr>
      </w:pPr>
    </w:p>
    <w:p w14:paraId="03C0311C" w14:textId="1ED818FF" w:rsidR="009C1F4D" w:rsidRDefault="009C1F4D" w:rsidP="00D75D9A">
      <w:pPr>
        <w:tabs>
          <w:tab w:val="left" w:pos="709"/>
        </w:tabs>
        <w:ind w:left="709" w:hanging="709"/>
        <w:rPr>
          <w:rFonts w:ascii="Arial" w:hAnsi="Arial"/>
        </w:rPr>
      </w:pPr>
      <w:r>
        <w:rPr>
          <w:rFonts w:ascii="Arial" w:hAnsi="Arial"/>
        </w:rPr>
        <w:t>4.10</w:t>
      </w:r>
      <w:r>
        <w:rPr>
          <w:rFonts w:ascii="Arial" w:hAnsi="Arial"/>
        </w:rPr>
        <w:tab/>
        <w:t>Although there is a high level of confidence regarding the affordability of budget proposals presented at paragraphs 4.4 and 4.7 of this report, this position may not be sustainable in future years.</w:t>
      </w:r>
    </w:p>
    <w:p w14:paraId="7F28A84E" w14:textId="77777777" w:rsidR="009C1F4D" w:rsidRDefault="009C1F4D" w:rsidP="00D75D9A">
      <w:pPr>
        <w:tabs>
          <w:tab w:val="left" w:pos="709"/>
        </w:tabs>
        <w:ind w:left="709" w:hanging="709"/>
        <w:rPr>
          <w:rFonts w:ascii="Arial" w:hAnsi="Arial"/>
        </w:rPr>
      </w:pPr>
    </w:p>
    <w:p w14:paraId="55CDADD3" w14:textId="379782B6" w:rsidR="009C1F4D" w:rsidRDefault="009C1F4D" w:rsidP="00D75D9A">
      <w:pPr>
        <w:tabs>
          <w:tab w:val="left" w:pos="709"/>
        </w:tabs>
        <w:ind w:left="709" w:hanging="709"/>
        <w:rPr>
          <w:rFonts w:ascii="Arial" w:hAnsi="Arial"/>
        </w:rPr>
      </w:pPr>
      <w:r>
        <w:rPr>
          <w:rFonts w:ascii="Arial" w:hAnsi="Arial"/>
        </w:rPr>
        <w:t>4.11</w:t>
      </w:r>
      <w:r>
        <w:rPr>
          <w:rFonts w:ascii="Arial" w:hAnsi="Arial"/>
        </w:rPr>
        <w:tab/>
        <w:t>To mitigate this risk, both proposals are restricted to one financial year (2021/22) whilst the MTFS is completed.</w:t>
      </w:r>
    </w:p>
    <w:p w14:paraId="4E924A4C" w14:textId="77777777" w:rsidR="009C1F4D" w:rsidRDefault="009C1F4D" w:rsidP="00D75D9A">
      <w:pPr>
        <w:tabs>
          <w:tab w:val="left" w:pos="709"/>
        </w:tabs>
        <w:ind w:left="709" w:hanging="709"/>
        <w:rPr>
          <w:rFonts w:ascii="Arial" w:hAnsi="Arial"/>
        </w:rPr>
      </w:pPr>
    </w:p>
    <w:p w14:paraId="5D392CDC" w14:textId="6D4232AE" w:rsidR="009C1F4D" w:rsidRDefault="009C1F4D" w:rsidP="00D75D9A">
      <w:pPr>
        <w:tabs>
          <w:tab w:val="left" w:pos="709"/>
        </w:tabs>
        <w:ind w:left="709" w:hanging="709"/>
        <w:rPr>
          <w:rFonts w:ascii="Arial" w:hAnsi="Arial"/>
        </w:rPr>
      </w:pPr>
      <w:r>
        <w:rPr>
          <w:rFonts w:ascii="Arial" w:hAnsi="Arial"/>
        </w:rPr>
        <w:t>4.12</w:t>
      </w:r>
      <w:r>
        <w:rPr>
          <w:rFonts w:ascii="Arial" w:hAnsi="Arial"/>
        </w:rPr>
        <w:tab/>
        <w:t>The MTFS will allow for a greater consideration of risk for the demand and complexity of SEND provision over a three-year planning period.</w:t>
      </w:r>
    </w:p>
    <w:p w14:paraId="7F6A01A7" w14:textId="77777777" w:rsidR="00646A3E" w:rsidRDefault="00646A3E" w:rsidP="00D75D9A">
      <w:pPr>
        <w:tabs>
          <w:tab w:val="left" w:pos="709"/>
        </w:tabs>
        <w:ind w:left="709" w:hanging="709"/>
        <w:rPr>
          <w:rFonts w:ascii="Arial" w:hAnsi="Arial" w:cs="Arial"/>
        </w:rPr>
      </w:pPr>
    </w:p>
    <w:p w14:paraId="5848C3C2" w14:textId="6722A894" w:rsidR="00F851B9" w:rsidRDefault="009C1F4D" w:rsidP="00F851B9">
      <w:pPr>
        <w:ind w:left="709" w:hanging="709"/>
        <w:rPr>
          <w:rFonts w:ascii="Arial" w:hAnsi="Arial" w:cs="Arial"/>
          <w:b/>
          <w:u w:val="single"/>
        </w:rPr>
      </w:pPr>
      <w:r>
        <w:rPr>
          <w:rFonts w:ascii="Arial" w:hAnsi="Arial" w:cs="Arial"/>
          <w:b/>
        </w:rPr>
        <w:t>5</w:t>
      </w:r>
      <w:r w:rsidR="00F851B9" w:rsidRPr="00D22808">
        <w:rPr>
          <w:rFonts w:ascii="Arial" w:hAnsi="Arial" w:cs="Arial"/>
          <w:b/>
        </w:rPr>
        <w:t>.</w:t>
      </w:r>
      <w:r w:rsidR="00F851B9">
        <w:rPr>
          <w:rFonts w:ascii="Arial" w:hAnsi="Arial" w:cs="Arial"/>
        </w:rPr>
        <w:tab/>
      </w:r>
      <w:r w:rsidR="00F851B9" w:rsidRPr="00FC2304">
        <w:rPr>
          <w:rFonts w:ascii="Arial" w:hAnsi="Arial" w:cs="Arial"/>
          <w:b/>
          <w:u w:val="single"/>
        </w:rPr>
        <w:t>Recommendations</w:t>
      </w:r>
    </w:p>
    <w:p w14:paraId="7A8AE0AF" w14:textId="77777777" w:rsidR="00F851B9" w:rsidRDefault="00F851B9" w:rsidP="00F851B9">
      <w:pPr>
        <w:ind w:left="709" w:hanging="709"/>
        <w:rPr>
          <w:rFonts w:ascii="Arial" w:hAnsi="Arial" w:cs="Arial"/>
          <w:b/>
          <w:u w:val="single"/>
        </w:rPr>
      </w:pPr>
    </w:p>
    <w:p w14:paraId="293BD9C3" w14:textId="2BB5A241" w:rsidR="00453454" w:rsidRDefault="009C1F4D" w:rsidP="009C1F4D">
      <w:pPr>
        <w:ind w:left="709" w:hanging="709"/>
        <w:rPr>
          <w:rFonts w:ascii="Arial" w:hAnsi="Arial" w:cs="Arial"/>
        </w:rPr>
      </w:pPr>
      <w:r>
        <w:rPr>
          <w:rFonts w:ascii="Arial" w:hAnsi="Arial" w:cs="Arial"/>
        </w:rPr>
        <w:t>5</w:t>
      </w:r>
      <w:r w:rsidR="00F851B9">
        <w:rPr>
          <w:rFonts w:ascii="Arial" w:hAnsi="Arial" w:cs="Arial"/>
        </w:rPr>
        <w:t>.1</w:t>
      </w:r>
      <w:r w:rsidR="00F851B9">
        <w:rPr>
          <w:rFonts w:ascii="Arial" w:hAnsi="Arial" w:cs="Arial"/>
        </w:rPr>
        <w:tab/>
        <w:t>Forum is recommended to</w:t>
      </w:r>
      <w:r>
        <w:rPr>
          <w:rFonts w:ascii="Arial" w:hAnsi="Arial" w:cs="Arial"/>
        </w:rPr>
        <w:t xml:space="preserve"> note the contents of the report.</w:t>
      </w:r>
    </w:p>
    <w:p w14:paraId="2A20A6E8" w14:textId="77777777" w:rsidR="00453454" w:rsidRPr="00453454" w:rsidRDefault="00453454" w:rsidP="00453454">
      <w:pPr>
        <w:rPr>
          <w:rFonts w:ascii="Arial" w:hAnsi="Arial" w:cs="Arial"/>
        </w:rPr>
      </w:pPr>
    </w:p>
    <w:p w14:paraId="139AE31A" w14:textId="77777777" w:rsidR="00453454" w:rsidRPr="00453454" w:rsidRDefault="00453454" w:rsidP="00453454">
      <w:pPr>
        <w:rPr>
          <w:rFonts w:ascii="Arial" w:hAnsi="Arial" w:cs="Arial"/>
        </w:rPr>
      </w:pPr>
    </w:p>
    <w:p w14:paraId="045EE6DD" w14:textId="77777777" w:rsidR="00453454" w:rsidRPr="00453454" w:rsidRDefault="00453454" w:rsidP="00453454">
      <w:pPr>
        <w:rPr>
          <w:rFonts w:ascii="Arial" w:hAnsi="Arial" w:cs="Arial"/>
        </w:rPr>
      </w:pPr>
    </w:p>
    <w:p w14:paraId="60C3A666" w14:textId="77777777" w:rsidR="00453454" w:rsidRPr="00453454" w:rsidRDefault="00453454" w:rsidP="00453454">
      <w:pPr>
        <w:rPr>
          <w:rFonts w:ascii="Arial" w:hAnsi="Arial" w:cs="Arial"/>
        </w:rPr>
      </w:pPr>
    </w:p>
    <w:p w14:paraId="6714AD8F" w14:textId="77777777" w:rsidR="00453454" w:rsidRPr="00453454" w:rsidRDefault="00453454" w:rsidP="00453454">
      <w:pPr>
        <w:rPr>
          <w:rFonts w:ascii="Arial" w:hAnsi="Arial" w:cs="Arial"/>
        </w:rPr>
      </w:pPr>
    </w:p>
    <w:p w14:paraId="56793063" w14:textId="77777777" w:rsidR="00453454" w:rsidRPr="00453454" w:rsidRDefault="00453454" w:rsidP="00453454">
      <w:pPr>
        <w:rPr>
          <w:rFonts w:ascii="Arial" w:hAnsi="Arial" w:cs="Arial"/>
        </w:rPr>
      </w:pPr>
    </w:p>
    <w:p w14:paraId="3D0A5C2C" w14:textId="77777777" w:rsidR="00453454" w:rsidRPr="00453454" w:rsidRDefault="00453454" w:rsidP="00453454">
      <w:pPr>
        <w:rPr>
          <w:rFonts w:ascii="Arial" w:hAnsi="Arial" w:cs="Arial"/>
        </w:rPr>
      </w:pPr>
    </w:p>
    <w:p w14:paraId="0C21E40B" w14:textId="77777777" w:rsidR="00453454" w:rsidRPr="00453454" w:rsidRDefault="00453454" w:rsidP="00453454">
      <w:pPr>
        <w:rPr>
          <w:rFonts w:ascii="Arial" w:hAnsi="Arial" w:cs="Arial"/>
        </w:rPr>
      </w:pPr>
    </w:p>
    <w:p w14:paraId="3BA0286B" w14:textId="77777777" w:rsidR="00453454" w:rsidRPr="00453454" w:rsidRDefault="00453454" w:rsidP="00453454">
      <w:pPr>
        <w:rPr>
          <w:rFonts w:ascii="Arial" w:hAnsi="Arial" w:cs="Arial"/>
        </w:rPr>
      </w:pPr>
    </w:p>
    <w:p w14:paraId="23F55FBD" w14:textId="77777777" w:rsidR="00453454" w:rsidRPr="00453454" w:rsidRDefault="00453454" w:rsidP="00453454">
      <w:pPr>
        <w:rPr>
          <w:rFonts w:ascii="Arial" w:hAnsi="Arial" w:cs="Arial"/>
        </w:rPr>
      </w:pPr>
    </w:p>
    <w:p w14:paraId="590017D4" w14:textId="77777777" w:rsidR="00453454" w:rsidRPr="00453454" w:rsidRDefault="00453454" w:rsidP="00453454">
      <w:pPr>
        <w:rPr>
          <w:rFonts w:ascii="Arial" w:hAnsi="Arial" w:cs="Arial"/>
        </w:rPr>
      </w:pPr>
    </w:p>
    <w:p w14:paraId="340F61CD" w14:textId="77777777" w:rsidR="00453454" w:rsidRPr="00453454" w:rsidRDefault="00453454" w:rsidP="00453454">
      <w:pPr>
        <w:rPr>
          <w:rFonts w:ascii="Arial" w:hAnsi="Arial" w:cs="Arial"/>
        </w:rPr>
      </w:pPr>
    </w:p>
    <w:p w14:paraId="0AED05E0" w14:textId="77777777" w:rsidR="00453454" w:rsidRPr="00453454" w:rsidRDefault="00453454" w:rsidP="00453454">
      <w:pPr>
        <w:rPr>
          <w:rFonts w:ascii="Arial" w:hAnsi="Arial" w:cs="Arial"/>
        </w:rPr>
      </w:pPr>
    </w:p>
    <w:p w14:paraId="2750C1AD" w14:textId="77777777" w:rsidR="00453454" w:rsidRPr="00453454" w:rsidRDefault="00453454" w:rsidP="00453454">
      <w:pPr>
        <w:rPr>
          <w:rFonts w:ascii="Arial" w:hAnsi="Arial" w:cs="Arial"/>
        </w:rPr>
      </w:pPr>
    </w:p>
    <w:p w14:paraId="330D4510" w14:textId="77777777" w:rsidR="00453454" w:rsidRPr="00453454" w:rsidRDefault="00453454" w:rsidP="00453454">
      <w:pPr>
        <w:rPr>
          <w:rFonts w:ascii="Arial" w:hAnsi="Arial" w:cs="Arial"/>
        </w:rPr>
      </w:pPr>
    </w:p>
    <w:p w14:paraId="0D38416F" w14:textId="77777777" w:rsidR="00453454" w:rsidRPr="00453454" w:rsidRDefault="00453454" w:rsidP="00453454">
      <w:pPr>
        <w:rPr>
          <w:rFonts w:ascii="Arial" w:hAnsi="Arial" w:cs="Arial"/>
        </w:rPr>
      </w:pPr>
    </w:p>
    <w:p w14:paraId="369C7F87" w14:textId="77777777" w:rsidR="00453454" w:rsidRPr="00453454" w:rsidRDefault="00453454" w:rsidP="00453454">
      <w:pPr>
        <w:rPr>
          <w:rFonts w:ascii="Arial" w:hAnsi="Arial" w:cs="Arial"/>
        </w:rPr>
      </w:pPr>
    </w:p>
    <w:p w14:paraId="07978FC4" w14:textId="77777777" w:rsidR="00453454" w:rsidRPr="00453454" w:rsidRDefault="00453454" w:rsidP="00453454">
      <w:pPr>
        <w:rPr>
          <w:rFonts w:ascii="Arial" w:hAnsi="Arial" w:cs="Arial"/>
        </w:rPr>
      </w:pPr>
    </w:p>
    <w:p w14:paraId="42044906" w14:textId="77777777" w:rsidR="00453454" w:rsidRPr="00453454" w:rsidRDefault="00453454" w:rsidP="00453454">
      <w:pPr>
        <w:rPr>
          <w:rFonts w:ascii="Arial" w:hAnsi="Arial" w:cs="Arial"/>
        </w:rPr>
      </w:pPr>
    </w:p>
    <w:p w14:paraId="6F27E9FD" w14:textId="77777777" w:rsidR="00453454" w:rsidRPr="00453454" w:rsidRDefault="00453454" w:rsidP="00453454">
      <w:pPr>
        <w:rPr>
          <w:rFonts w:ascii="Arial" w:hAnsi="Arial" w:cs="Arial"/>
        </w:rPr>
      </w:pPr>
    </w:p>
    <w:p w14:paraId="1B295104" w14:textId="77777777" w:rsidR="00453454" w:rsidRPr="00453454" w:rsidRDefault="00453454" w:rsidP="00453454">
      <w:pPr>
        <w:rPr>
          <w:rFonts w:ascii="Arial" w:hAnsi="Arial" w:cs="Arial"/>
        </w:rPr>
      </w:pPr>
    </w:p>
    <w:p w14:paraId="2C56C7F4" w14:textId="77777777" w:rsidR="00453454" w:rsidRPr="00453454" w:rsidRDefault="00453454" w:rsidP="00453454">
      <w:pPr>
        <w:rPr>
          <w:rFonts w:ascii="Arial" w:hAnsi="Arial" w:cs="Arial"/>
        </w:rPr>
      </w:pPr>
    </w:p>
    <w:p w14:paraId="28300BA6" w14:textId="77777777" w:rsidR="00453454" w:rsidRPr="00453454" w:rsidRDefault="00453454" w:rsidP="00453454">
      <w:pPr>
        <w:rPr>
          <w:rFonts w:ascii="Arial" w:hAnsi="Arial" w:cs="Arial"/>
        </w:rPr>
      </w:pPr>
    </w:p>
    <w:p w14:paraId="47246CB3" w14:textId="77777777" w:rsidR="00453454" w:rsidRPr="00453454" w:rsidRDefault="00453454" w:rsidP="00453454">
      <w:pPr>
        <w:rPr>
          <w:rFonts w:ascii="Arial" w:hAnsi="Arial" w:cs="Arial"/>
        </w:rPr>
      </w:pPr>
    </w:p>
    <w:p w14:paraId="2D71D579" w14:textId="77777777" w:rsidR="00453454" w:rsidRPr="00453454" w:rsidRDefault="00453454" w:rsidP="00453454">
      <w:pPr>
        <w:rPr>
          <w:rFonts w:ascii="Arial" w:hAnsi="Arial" w:cs="Arial"/>
        </w:rPr>
      </w:pPr>
    </w:p>
    <w:p w14:paraId="2DCF23A4" w14:textId="77777777" w:rsidR="00453454" w:rsidRPr="00453454" w:rsidRDefault="00453454" w:rsidP="00453454">
      <w:pPr>
        <w:rPr>
          <w:rFonts w:ascii="Arial" w:hAnsi="Arial" w:cs="Arial"/>
        </w:rPr>
      </w:pPr>
    </w:p>
    <w:p w14:paraId="07BBE148" w14:textId="77777777" w:rsidR="00453454" w:rsidRPr="00453454" w:rsidRDefault="00453454" w:rsidP="00453454">
      <w:pPr>
        <w:rPr>
          <w:rFonts w:ascii="Arial" w:hAnsi="Arial" w:cs="Arial"/>
        </w:rPr>
      </w:pPr>
    </w:p>
    <w:p w14:paraId="721E5FC4" w14:textId="4DBE42B9" w:rsidR="00453454" w:rsidRDefault="00453454" w:rsidP="00453454">
      <w:pPr>
        <w:rPr>
          <w:rFonts w:ascii="Arial" w:hAnsi="Arial" w:cs="Arial"/>
        </w:rPr>
      </w:pPr>
    </w:p>
    <w:p w14:paraId="17129C8F" w14:textId="400CDC43" w:rsidR="00453454" w:rsidRDefault="00453454" w:rsidP="00453454">
      <w:pPr>
        <w:rPr>
          <w:rFonts w:ascii="Arial" w:hAnsi="Arial" w:cs="Arial"/>
        </w:rPr>
      </w:pPr>
    </w:p>
    <w:p w14:paraId="486AC6AA" w14:textId="77777777" w:rsidR="00F851B9" w:rsidRPr="00453454" w:rsidRDefault="00F851B9" w:rsidP="00453454">
      <w:pPr>
        <w:jc w:val="right"/>
        <w:rPr>
          <w:rFonts w:ascii="Arial" w:hAnsi="Arial" w:cs="Arial"/>
        </w:rPr>
      </w:pPr>
    </w:p>
    <w:sectPr w:rsidR="00F851B9" w:rsidRPr="00453454" w:rsidSect="0075449A">
      <w:headerReference w:type="default" r:id="rId10"/>
      <w:footerReference w:type="default" r:id="rId11"/>
      <w:pgSz w:w="11906" w:h="16838"/>
      <w:pgMar w:top="1134"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6B24C" w14:textId="77777777" w:rsidR="0045093E" w:rsidRDefault="0045093E" w:rsidP="00E471C6">
      <w:r>
        <w:separator/>
      </w:r>
    </w:p>
  </w:endnote>
  <w:endnote w:type="continuationSeparator" w:id="0">
    <w:p w14:paraId="4D4ABF6F" w14:textId="77777777" w:rsidR="0045093E" w:rsidRDefault="0045093E" w:rsidP="00E4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78A23" w14:textId="77777777" w:rsidR="0045093E" w:rsidRPr="00E471C6" w:rsidRDefault="00E57780" w:rsidP="00E471C6">
    <w:pPr>
      <w:pStyle w:val="Footer"/>
      <w:jc w:val="right"/>
      <w:rPr>
        <w:rFonts w:ascii="Arial" w:hAnsi="Arial" w:cs="Arial"/>
        <w:sz w:val="12"/>
        <w:szCs w:val="12"/>
      </w:rPr>
    </w:pPr>
    <w:r>
      <w:rPr>
        <w:rFonts w:ascii="Arial" w:hAnsi="Arial" w:cs="Arial"/>
        <w:noProof/>
        <w:sz w:val="12"/>
        <w:szCs w:val="12"/>
      </w:rPr>
      <w:fldChar w:fldCharType="begin"/>
    </w:r>
    <w:r>
      <w:rPr>
        <w:rFonts w:ascii="Arial" w:hAnsi="Arial" w:cs="Arial"/>
        <w:noProof/>
        <w:sz w:val="12"/>
        <w:szCs w:val="12"/>
      </w:rPr>
      <w:instrText xml:space="preserve"> FILENAME  \* Lower \p  \* MERGEFORMAT </w:instrText>
    </w:r>
    <w:r>
      <w:rPr>
        <w:rFonts w:ascii="Arial" w:hAnsi="Arial" w:cs="Arial"/>
        <w:noProof/>
        <w:sz w:val="12"/>
        <w:szCs w:val="12"/>
      </w:rPr>
      <w:fldChar w:fldCharType="separate"/>
    </w:r>
    <w:r w:rsidR="00404D3A">
      <w:rPr>
        <w:rFonts w:ascii="Arial" w:hAnsi="Arial" w:cs="Arial"/>
        <w:noProof/>
        <w:sz w:val="12"/>
        <w:szCs w:val="12"/>
      </w:rPr>
      <w:t>z:\corporate finance\child &amp; adult services\child\schools\schools forum\meetings\2020-21\02 feb 2021\item x_2021 0202 high needs block budget update 202122.docx</w:t>
    </w:r>
    <w:r>
      <w:rPr>
        <w:rFonts w:ascii="Arial" w:hAnsi="Arial" w:cs="Arial"/>
        <w:noProof/>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5D28F" w14:textId="77777777" w:rsidR="0045093E" w:rsidRDefault="0045093E" w:rsidP="00E471C6">
      <w:r>
        <w:separator/>
      </w:r>
    </w:p>
  </w:footnote>
  <w:footnote w:type="continuationSeparator" w:id="0">
    <w:p w14:paraId="45B20FB2" w14:textId="77777777" w:rsidR="0045093E" w:rsidRDefault="0045093E" w:rsidP="00E4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01386"/>
      <w:docPartObj>
        <w:docPartGallery w:val="Page Numbers (Top of Page)"/>
        <w:docPartUnique/>
      </w:docPartObj>
    </w:sdtPr>
    <w:sdtEndPr/>
    <w:sdtContent>
      <w:p w14:paraId="33ADADE6" w14:textId="77777777" w:rsidR="0045093E" w:rsidRDefault="0045093E">
        <w:pPr>
          <w:pStyle w:val="Header"/>
          <w:jc w:val="right"/>
        </w:pPr>
        <w:r w:rsidRPr="004C5FD4">
          <w:rPr>
            <w:rFonts w:ascii="Arial" w:hAnsi="Arial" w:cs="Arial"/>
            <w:sz w:val="16"/>
            <w:szCs w:val="16"/>
          </w:rPr>
          <w:t xml:space="preserve">Page </w:t>
        </w:r>
        <w:r w:rsidRPr="004C5FD4">
          <w:rPr>
            <w:rFonts w:ascii="Arial" w:hAnsi="Arial" w:cs="Arial"/>
            <w:b/>
            <w:sz w:val="16"/>
            <w:szCs w:val="16"/>
          </w:rPr>
          <w:fldChar w:fldCharType="begin"/>
        </w:r>
        <w:r w:rsidRPr="004C5FD4">
          <w:rPr>
            <w:rFonts w:ascii="Arial" w:hAnsi="Arial" w:cs="Arial"/>
            <w:b/>
            <w:sz w:val="16"/>
            <w:szCs w:val="16"/>
          </w:rPr>
          <w:instrText xml:space="preserve"> PAGE </w:instrText>
        </w:r>
        <w:r w:rsidRPr="004C5FD4">
          <w:rPr>
            <w:rFonts w:ascii="Arial" w:hAnsi="Arial" w:cs="Arial"/>
            <w:b/>
            <w:sz w:val="16"/>
            <w:szCs w:val="16"/>
          </w:rPr>
          <w:fldChar w:fldCharType="separate"/>
        </w:r>
        <w:r w:rsidR="00EB7762">
          <w:rPr>
            <w:rFonts w:ascii="Arial" w:hAnsi="Arial" w:cs="Arial"/>
            <w:b/>
            <w:noProof/>
            <w:sz w:val="16"/>
            <w:szCs w:val="16"/>
          </w:rPr>
          <w:t>1</w:t>
        </w:r>
        <w:r w:rsidRPr="004C5FD4">
          <w:rPr>
            <w:rFonts w:ascii="Arial" w:hAnsi="Arial" w:cs="Arial"/>
            <w:b/>
            <w:sz w:val="16"/>
            <w:szCs w:val="16"/>
          </w:rPr>
          <w:fldChar w:fldCharType="end"/>
        </w:r>
        <w:r w:rsidRPr="004C5FD4">
          <w:rPr>
            <w:rFonts w:ascii="Arial" w:hAnsi="Arial" w:cs="Arial"/>
            <w:sz w:val="16"/>
            <w:szCs w:val="16"/>
          </w:rPr>
          <w:t xml:space="preserve"> of </w:t>
        </w:r>
        <w:r w:rsidRPr="004C5FD4">
          <w:rPr>
            <w:rFonts w:ascii="Arial" w:hAnsi="Arial" w:cs="Arial"/>
            <w:b/>
            <w:sz w:val="16"/>
            <w:szCs w:val="16"/>
          </w:rPr>
          <w:fldChar w:fldCharType="begin"/>
        </w:r>
        <w:r w:rsidRPr="004C5FD4">
          <w:rPr>
            <w:rFonts w:ascii="Arial" w:hAnsi="Arial" w:cs="Arial"/>
            <w:b/>
            <w:sz w:val="16"/>
            <w:szCs w:val="16"/>
          </w:rPr>
          <w:instrText xml:space="preserve"> NUMPAGES  </w:instrText>
        </w:r>
        <w:r w:rsidRPr="004C5FD4">
          <w:rPr>
            <w:rFonts w:ascii="Arial" w:hAnsi="Arial" w:cs="Arial"/>
            <w:b/>
            <w:sz w:val="16"/>
            <w:szCs w:val="16"/>
          </w:rPr>
          <w:fldChar w:fldCharType="separate"/>
        </w:r>
        <w:r w:rsidR="00EB7762">
          <w:rPr>
            <w:rFonts w:ascii="Arial" w:hAnsi="Arial" w:cs="Arial"/>
            <w:b/>
            <w:noProof/>
            <w:sz w:val="16"/>
            <w:szCs w:val="16"/>
          </w:rPr>
          <w:t>4</w:t>
        </w:r>
        <w:r w:rsidRPr="004C5FD4">
          <w:rPr>
            <w:rFonts w:ascii="Arial" w:hAnsi="Arial" w:cs="Arial"/>
            <w:b/>
            <w:sz w:val="16"/>
            <w:szCs w:val="16"/>
          </w:rPr>
          <w:fldChar w:fldCharType="end"/>
        </w:r>
      </w:p>
    </w:sdtContent>
  </w:sdt>
  <w:p w14:paraId="28F51AA9" w14:textId="77777777" w:rsidR="0045093E" w:rsidRDefault="004509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31A9"/>
    <w:multiLevelType w:val="multilevel"/>
    <w:tmpl w:val="99B4265E"/>
    <w:lvl w:ilvl="0">
      <w:start w:val="4"/>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18D722C9"/>
    <w:multiLevelType w:val="multilevel"/>
    <w:tmpl w:val="411C48D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F42110"/>
    <w:multiLevelType w:val="multilevel"/>
    <w:tmpl w:val="40CAD6E2"/>
    <w:lvl w:ilvl="0">
      <w:start w:val="4"/>
      <w:numFmt w:val="decimal"/>
      <w:lvlText w:val="%1"/>
      <w:lvlJc w:val="left"/>
      <w:pPr>
        <w:ind w:left="468" w:hanging="468"/>
      </w:pPr>
      <w:rPr>
        <w:rFonts w:hint="default"/>
        <w:color w:val="FF0000"/>
      </w:rPr>
    </w:lvl>
    <w:lvl w:ilvl="1">
      <w:start w:val="11"/>
      <w:numFmt w:val="decimal"/>
      <w:lvlText w:val="%1.%2"/>
      <w:lvlJc w:val="left"/>
      <w:pPr>
        <w:ind w:left="468" w:hanging="468"/>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3" w15:restartNumberingAfterBreak="0">
    <w:nsid w:val="262922EA"/>
    <w:multiLevelType w:val="multilevel"/>
    <w:tmpl w:val="2264B0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F7B030B"/>
    <w:multiLevelType w:val="multilevel"/>
    <w:tmpl w:val="D586F776"/>
    <w:lvl w:ilvl="0">
      <w:start w:val="4"/>
      <w:numFmt w:val="decimal"/>
      <w:lvlText w:val="%1"/>
      <w:lvlJc w:val="left"/>
      <w:pPr>
        <w:ind w:left="468" w:hanging="468"/>
      </w:pPr>
      <w:rPr>
        <w:rFonts w:hint="default"/>
      </w:rPr>
    </w:lvl>
    <w:lvl w:ilvl="1">
      <w:start w:val="1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C77D56"/>
    <w:multiLevelType w:val="hybridMultilevel"/>
    <w:tmpl w:val="5BB6B7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BFF3467"/>
    <w:multiLevelType w:val="hybridMultilevel"/>
    <w:tmpl w:val="3E4C6490"/>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7" w15:restartNumberingAfterBreak="0">
    <w:nsid w:val="4F63570A"/>
    <w:multiLevelType w:val="hybridMultilevel"/>
    <w:tmpl w:val="D236E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11E22A4"/>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9" w15:restartNumberingAfterBreak="0">
    <w:nsid w:val="5496584D"/>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0" w15:restartNumberingAfterBreak="0">
    <w:nsid w:val="58697234"/>
    <w:multiLevelType w:val="multilevel"/>
    <w:tmpl w:val="079E844E"/>
    <w:lvl w:ilvl="0">
      <w:start w:val="4"/>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CE36E8"/>
    <w:multiLevelType w:val="multilevel"/>
    <w:tmpl w:val="500C434A"/>
    <w:lvl w:ilvl="0">
      <w:start w:val="5"/>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2" w15:restartNumberingAfterBreak="0">
    <w:nsid w:val="6D471DEB"/>
    <w:multiLevelType w:val="multilevel"/>
    <w:tmpl w:val="DAFEC882"/>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6F9B6804"/>
    <w:multiLevelType w:val="multilevel"/>
    <w:tmpl w:val="7BE44776"/>
    <w:lvl w:ilvl="0">
      <w:start w:val="4"/>
      <w:numFmt w:val="decimal"/>
      <w:lvlText w:val="%1"/>
      <w:lvlJc w:val="left"/>
      <w:pPr>
        <w:ind w:left="360" w:hanging="360"/>
      </w:pPr>
      <w:rPr>
        <w:rFonts w:hint="default"/>
        <w:b w:val="0"/>
        <w:u w:val="none"/>
      </w:rPr>
    </w:lvl>
    <w:lvl w:ilvl="1">
      <w:start w:val="7"/>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4" w15:restartNumberingAfterBreak="0">
    <w:nsid w:val="72D64CC1"/>
    <w:multiLevelType w:val="hybridMultilevel"/>
    <w:tmpl w:val="3F96E7F6"/>
    <w:lvl w:ilvl="0" w:tplc="320667B0">
      <w:start w:val="4"/>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CA58A5"/>
    <w:multiLevelType w:val="hybridMultilevel"/>
    <w:tmpl w:val="0D34005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9"/>
  </w:num>
  <w:num w:numId="2">
    <w:abstractNumId w:val="8"/>
  </w:num>
  <w:num w:numId="3">
    <w:abstractNumId w:val="3"/>
  </w:num>
  <w:num w:numId="4">
    <w:abstractNumId w:val="14"/>
  </w:num>
  <w:num w:numId="5">
    <w:abstractNumId w:val="11"/>
  </w:num>
  <w:num w:numId="6">
    <w:abstractNumId w:val="12"/>
  </w:num>
  <w:num w:numId="7">
    <w:abstractNumId w:val="1"/>
  </w:num>
  <w:num w:numId="8">
    <w:abstractNumId w:val="13"/>
  </w:num>
  <w:num w:numId="9">
    <w:abstractNumId w:val="0"/>
  </w:num>
  <w:num w:numId="10">
    <w:abstractNumId w:val="2"/>
  </w:num>
  <w:num w:numId="11">
    <w:abstractNumId w:val="10"/>
  </w:num>
  <w:num w:numId="12">
    <w:abstractNumId w:val="4"/>
  </w:num>
  <w:num w:numId="13">
    <w:abstractNumId w:val="15"/>
  </w:num>
  <w:num w:numId="14">
    <w:abstractNumId w:val="6"/>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F0"/>
    <w:rsid w:val="000057EB"/>
    <w:rsid w:val="00011F8F"/>
    <w:rsid w:val="00013AF5"/>
    <w:rsid w:val="00015EDE"/>
    <w:rsid w:val="000403CC"/>
    <w:rsid w:val="00062C85"/>
    <w:rsid w:val="000921B9"/>
    <w:rsid w:val="000D59F9"/>
    <w:rsid w:val="000F04A7"/>
    <w:rsid w:val="000F185B"/>
    <w:rsid w:val="00102965"/>
    <w:rsid w:val="0010706F"/>
    <w:rsid w:val="0012616F"/>
    <w:rsid w:val="00131B1A"/>
    <w:rsid w:val="001346EA"/>
    <w:rsid w:val="00146A1E"/>
    <w:rsid w:val="0015598A"/>
    <w:rsid w:val="001627E9"/>
    <w:rsid w:val="00170DA8"/>
    <w:rsid w:val="00172F8F"/>
    <w:rsid w:val="0018543D"/>
    <w:rsid w:val="00187032"/>
    <w:rsid w:val="001A1633"/>
    <w:rsid w:val="001B4E94"/>
    <w:rsid w:val="001C1CEC"/>
    <w:rsid w:val="001C2445"/>
    <w:rsid w:val="001D58E7"/>
    <w:rsid w:val="001E722C"/>
    <w:rsid w:val="001F2A93"/>
    <w:rsid w:val="001F530F"/>
    <w:rsid w:val="00205AF9"/>
    <w:rsid w:val="0022097E"/>
    <w:rsid w:val="0022639B"/>
    <w:rsid w:val="00243216"/>
    <w:rsid w:val="00246152"/>
    <w:rsid w:val="00250AF1"/>
    <w:rsid w:val="0026631E"/>
    <w:rsid w:val="00266910"/>
    <w:rsid w:val="00270F89"/>
    <w:rsid w:val="00273464"/>
    <w:rsid w:val="00276FC8"/>
    <w:rsid w:val="00282753"/>
    <w:rsid w:val="00287C2A"/>
    <w:rsid w:val="002A5C86"/>
    <w:rsid w:val="002B4790"/>
    <w:rsid w:val="002E08A2"/>
    <w:rsid w:val="002E693C"/>
    <w:rsid w:val="002F069C"/>
    <w:rsid w:val="002F150B"/>
    <w:rsid w:val="003055E8"/>
    <w:rsid w:val="00311B40"/>
    <w:rsid w:val="003204CE"/>
    <w:rsid w:val="0033037F"/>
    <w:rsid w:val="00381270"/>
    <w:rsid w:val="00385AB3"/>
    <w:rsid w:val="003871F0"/>
    <w:rsid w:val="0039065B"/>
    <w:rsid w:val="00391979"/>
    <w:rsid w:val="003A3E4F"/>
    <w:rsid w:val="003A5E6B"/>
    <w:rsid w:val="003B27BE"/>
    <w:rsid w:val="003C21DE"/>
    <w:rsid w:val="003C3884"/>
    <w:rsid w:val="003D45F7"/>
    <w:rsid w:val="003F7BDB"/>
    <w:rsid w:val="00400A90"/>
    <w:rsid w:val="0040116D"/>
    <w:rsid w:val="00404D3A"/>
    <w:rsid w:val="00414EA3"/>
    <w:rsid w:val="0043458F"/>
    <w:rsid w:val="0045093E"/>
    <w:rsid w:val="00453454"/>
    <w:rsid w:val="00484477"/>
    <w:rsid w:val="004853D7"/>
    <w:rsid w:val="004A3200"/>
    <w:rsid w:val="004C5FD4"/>
    <w:rsid w:val="004E4B4D"/>
    <w:rsid w:val="004E4BFB"/>
    <w:rsid w:val="004E613E"/>
    <w:rsid w:val="00501251"/>
    <w:rsid w:val="00507549"/>
    <w:rsid w:val="0051311E"/>
    <w:rsid w:val="0054743C"/>
    <w:rsid w:val="00561C0D"/>
    <w:rsid w:val="0056328A"/>
    <w:rsid w:val="0057428A"/>
    <w:rsid w:val="00590195"/>
    <w:rsid w:val="005962C8"/>
    <w:rsid w:val="005B4F82"/>
    <w:rsid w:val="005C0AB2"/>
    <w:rsid w:val="005C1EF2"/>
    <w:rsid w:val="005D1A77"/>
    <w:rsid w:val="005D205F"/>
    <w:rsid w:val="005E2E8A"/>
    <w:rsid w:val="005E5F47"/>
    <w:rsid w:val="00602F79"/>
    <w:rsid w:val="006266F4"/>
    <w:rsid w:val="006306AD"/>
    <w:rsid w:val="00646A3E"/>
    <w:rsid w:val="00653A1D"/>
    <w:rsid w:val="00663FCF"/>
    <w:rsid w:val="006732F1"/>
    <w:rsid w:val="006A3E9F"/>
    <w:rsid w:val="006B68F2"/>
    <w:rsid w:val="006C1A27"/>
    <w:rsid w:val="006D1BF1"/>
    <w:rsid w:val="006D415F"/>
    <w:rsid w:val="006D4B67"/>
    <w:rsid w:val="006E3489"/>
    <w:rsid w:val="00703A3D"/>
    <w:rsid w:val="00713A5E"/>
    <w:rsid w:val="00714D5F"/>
    <w:rsid w:val="00725E24"/>
    <w:rsid w:val="00727711"/>
    <w:rsid w:val="00732263"/>
    <w:rsid w:val="0073581B"/>
    <w:rsid w:val="007409F8"/>
    <w:rsid w:val="00741D19"/>
    <w:rsid w:val="00744CFF"/>
    <w:rsid w:val="0075449A"/>
    <w:rsid w:val="0075722A"/>
    <w:rsid w:val="007608C2"/>
    <w:rsid w:val="00780177"/>
    <w:rsid w:val="007871FB"/>
    <w:rsid w:val="007A7859"/>
    <w:rsid w:val="007C5FDE"/>
    <w:rsid w:val="007D7C94"/>
    <w:rsid w:val="007F6F24"/>
    <w:rsid w:val="00822771"/>
    <w:rsid w:val="0086108B"/>
    <w:rsid w:val="008911E4"/>
    <w:rsid w:val="00893A7E"/>
    <w:rsid w:val="008A226A"/>
    <w:rsid w:val="008D5BE0"/>
    <w:rsid w:val="008E7E00"/>
    <w:rsid w:val="00911F8A"/>
    <w:rsid w:val="009357D5"/>
    <w:rsid w:val="00936635"/>
    <w:rsid w:val="00970616"/>
    <w:rsid w:val="00980EB8"/>
    <w:rsid w:val="009856E9"/>
    <w:rsid w:val="0098703B"/>
    <w:rsid w:val="0099785C"/>
    <w:rsid w:val="009C16A3"/>
    <w:rsid w:val="009C1F4D"/>
    <w:rsid w:val="009D0919"/>
    <w:rsid w:val="009D3D8F"/>
    <w:rsid w:val="009D51D6"/>
    <w:rsid w:val="009D7961"/>
    <w:rsid w:val="009E43D5"/>
    <w:rsid w:val="009F26E4"/>
    <w:rsid w:val="009F60F5"/>
    <w:rsid w:val="00A61498"/>
    <w:rsid w:val="00A673B8"/>
    <w:rsid w:val="00A8059B"/>
    <w:rsid w:val="00AB350D"/>
    <w:rsid w:val="00B00997"/>
    <w:rsid w:val="00B120D0"/>
    <w:rsid w:val="00B1548E"/>
    <w:rsid w:val="00B51317"/>
    <w:rsid w:val="00B62D8A"/>
    <w:rsid w:val="00B63511"/>
    <w:rsid w:val="00B72C8B"/>
    <w:rsid w:val="00B97826"/>
    <w:rsid w:val="00BC2816"/>
    <w:rsid w:val="00BD4F0F"/>
    <w:rsid w:val="00BE56CB"/>
    <w:rsid w:val="00BE6D2A"/>
    <w:rsid w:val="00C00559"/>
    <w:rsid w:val="00C026FB"/>
    <w:rsid w:val="00C02934"/>
    <w:rsid w:val="00C10331"/>
    <w:rsid w:val="00C12D6E"/>
    <w:rsid w:val="00C27453"/>
    <w:rsid w:val="00C30CF7"/>
    <w:rsid w:val="00C3215F"/>
    <w:rsid w:val="00C434FA"/>
    <w:rsid w:val="00C601E2"/>
    <w:rsid w:val="00C83C5D"/>
    <w:rsid w:val="00C9166F"/>
    <w:rsid w:val="00C93284"/>
    <w:rsid w:val="00CA3206"/>
    <w:rsid w:val="00CA5477"/>
    <w:rsid w:val="00CB5907"/>
    <w:rsid w:val="00CC75F9"/>
    <w:rsid w:val="00CF45B8"/>
    <w:rsid w:val="00D22808"/>
    <w:rsid w:val="00D64311"/>
    <w:rsid w:val="00D75D9A"/>
    <w:rsid w:val="00D76D22"/>
    <w:rsid w:val="00D87564"/>
    <w:rsid w:val="00D904CF"/>
    <w:rsid w:val="00D91329"/>
    <w:rsid w:val="00DA41FA"/>
    <w:rsid w:val="00DB1989"/>
    <w:rsid w:val="00DB5D4E"/>
    <w:rsid w:val="00DC3355"/>
    <w:rsid w:val="00DD0E20"/>
    <w:rsid w:val="00E0381A"/>
    <w:rsid w:val="00E409C8"/>
    <w:rsid w:val="00E471C6"/>
    <w:rsid w:val="00E57780"/>
    <w:rsid w:val="00E60B25"/>
    <w:rsid w:val="00E62BA1"/>
    <w:rsid w:val="00E744A1"/>
    <w:rsid w:val="00E82800"/>
    <w:rsid w:val="00E90F23"/>
    <w:rsid w:val="00EB7762"/>
    <w:rsid w:val="00ED4F3E"/>
    <w:rsid w:val="00EF5032"/>
    <w:rsid w:val="00F01A48"/>
    <w:rsid w:val="00F02884"/>
    <w:rsid w:val="00F2265C"/>
    <w:rsid w:val="00F332B6"/>
    <w:rsid w:val="00F33780"/>
    <w:rsid w:val="00F45C3F"/>
    <w:rsid w:val="00F545DB"/>
    <w:rsid w:val="00F8207A"/>
    <w:rsid w:val="00F8292F"/>
    <w:rsid w:val="00F851B9"/>
    <w:rsid w:val="00F86583"/>
    <w:rsid w:val="00F94AE0"/>
    <w:rsid w:val="00FA2FC6"/>
    <w:rsid w:val="00FB5F7F"/>
    <w:rsid w:val="00FB6C7E"/>
    <w:rsid w:val="00FC2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9BAC"/>
  <w15:docId w15:val="{C7B609B8-B687-4DCB-A57A-C1D7ABC9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F0"/>
    <w:pPr>
      <w:ind w:left="720"/>
      <w:contextualSpacing/>
    </w:pPr>
  </w:style>
  <w:style w:type="paragraph" w:styleId="BalloonText">
    <w:name w:val="Balloon Text"/>
    <w:basedOn w:val="Normal"/>
    <w:link w:val="BalloonTextChar"/>
    <w:uiPriority w:val="99"/>
    <w:semiHidden/>
    <w:unhideWhenUsed/>
    <w:rsid w:val="0040116D"/>
    <w:rPr>
      <w:rFonts w:ascii="Tahoma" w:hAnsi="Tahoma" w:cs="Tahoma"/>
      <w:sz w:val="16"/>
      <w:szCs w:val="16"/>
    </w:rPr>
  </w:style>
  <w:style w:type="character" w:customStyle="1" w:styleId="BalloonTextChar">
    <w:name w:val="Balloon Text Char"/>
    <w:basedOn w:val="DefaultParagraphFont"/>
    <w:link w:val="BalloonText"/>
    <w:uiPriority w:val="99"/>
    <w:semiHidden/>
    <w:rsid w:val="0040116D"/>
    <w:rPr>
      <w:rFonts w:ascii="Tahoma" w:eastAsia="Times New Roman" w:hAnsi="Tahoma" w:cs="Tahoma"/>
      <w:sz w:val="16"/>
      <w:szCs w:val="16"/>
    </w:rPr>
  </w:style>
  <w:style w:type="paragraph" w:styleId="Header">
    <w:name w:val="header"/>
    <w:basedOn w:val="Normal"/>
    <w:link w:val="HeaderChar"/>
    <w:uiPriority w:val="99"/>
    <w:unhideWhenUsed/>
    <w:rsid w:val="00E471C6"/>
    <w:pPr>
      <w:tabs>
        <w:tab w:val="center" w:pos="4513"/>
        <w:tab w:val="right" w:pos="9026"/>
      </w:tabs>
    </w:pPr>
  </w:style>
  <w:style w:type="character" w:customStyle="1" w:styleId="HeaderChar">
    <w:name w:val="Header Char"/>
    <w:basedOn w:val="DefaultParagraphFont"/>
    <w:link w:val="Header"/>
    <w:uiPriority w:val="99"/>
    <w:rsid w:val="00E471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1C6"/>
    <w:pPr>
      <w:tabs>
        <w:tab w:val="center" w:pos="4513"/>
        <w:tab w:val="right" w:pos="9026"/>
      </w:tabs>
    </w:pPr>
  </w:style>
  <w:style w:type="character" w:customStyle="1" w:styleId="FooterChar">
    <w:name w:val="Footer Char"/>
    <w:basedOn w:val="DefaultParagraphFont"/>
    <w:link w:val="Footer"/>
    <w:uiPriority w:val="99"/>
    <w:rsid w:val="00E471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4BFB"/>
    <w:rPr>
      <w:sz w:val="16"/>
      <w:szCs w:val="16"/>
    </w:rPr>
  </w:style>
  <w:style w:type="paragraph" w:styleId="CommentText">
    <w:name w:val="annotation text"/>
    <w:basedOn w:val="Normal"/>
    <w:link w:val="CommentTextChar"/>
    <w:uiPriority w:val="99"/>
    <w:semiHidden/>
    <w:unhideWhenUsed/>
    <w:rsid w:val="004E4BFB"/>
    <w:rPr>
      <w:sz w:val="20"/>
      <w:szCs w:val="20"/>
    </w:rPr>
  </w:style>
  <w:style w:type="character" w:customStyle="1" w:styleId="CommentTextChar">
    <w:name w:val="Comment Text Char"/>
    <w:basedOn w:val="DefaultParagraphFont"/>
    <w:link w:val="CommentText"/>
    <w:uiPriority w:val="99"/>
    <w:semiHidden/>
    <w:rsid w:val="004E4B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BFB"/>
    <w:rPr>
      <w:b/>
      <w:bCs/>
    </w:rPr>
  </w:style>
  <w:style w:type="character" w:customStyle="1" w:styleId="CommentSubjectChar">
    <w:name w:val="Comment Subject Char"/>
    <w:basedOn w:val="CommentTextChar"/>
    <w:link w:val="CommentSubject"/>
    <w:uiPriority w:val="99"/>
    <w:semiHidden/>
    <w:rsid w:val="004E4BFB"/>
    <w:rPr>
      <w:rFonts w:ascii="Times New Roman" w:eastAsia="Times New Roman" w:hAnsi="Times New Roman" w:cs="Times New Roman"/>
      <w:b/>
      <w:bCs/>
      <w:sz w:val="20"/>
      <w:szCs w:val="20"/>
    </w:rPr>
  </w:style>
  <w:style w:type="paragraph" w:styleId="Revision">
    <w:name w:val="Revision"/>
    <w:hidden/>
    <w:uiPriority w:val="99"/>
    <w:semiHidden/>
    <w:rsid w:val="004E4BF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B3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C2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007">
      <w:bodyDiv w:val="1"/>
      <w:marLeft w:val="0"/>
      <w:marRight w:val="0"/>
      <w:marTop w:val="0"/>
      <w:marBottom w:val="0"/>
      <w:divBdr>
        <w:top w:val="none" w:sz="0" w:space="0" w:color="auto"/>
        <w:left w:val="none" w:sz="0" w:space="0" w:color="auto"/>
        <w:bottom w:val="none" w:sz="0" w:space="0" w:color="auto"/>
        <w:right w:val="none" w:sz="0" w:space="0" w:color="auto"/>
      </w:divBdr>
    </w:div>
    <w:div w:id="679938723">
      <w:bodyDiv w:val="1"/>
      <w:marLeft w:val="0"/>
      <w:marRight w:val="0"/>
      <w:marTop w:val="0"/>
      <w:marBottom w:val="0"/>
      <w:divBdr>
        <w:top w:val="none" w:sz="0" w:space="0" w:color="auto"/>
        <w:left w:val="none" w:sz="0" w:space="0" w:color="auto"/>
        <w:bottom w:val="none" w:sz="0" w:space="0" w:color="auto"/>
        <w:right w:val="none" w:sz="0" w:space="0" w:color="auto"/>
      </w:divBdr>
    </w:div>
    <w:div w:id="9537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HNB Funding Factors 2021/22 (%age per factor)</a:t>
            </a:r>
          </a:p>
          <a:p>
            <a:pPr>
              <a:defRPr/>
            </a:pPr>
            <a:r>
              <a:rPr lang="en-GB" sz="1400"/>
              <a:t>NB: Excludes</a:t>
            </a:r>
            <a:r>
              <a:rPr lang="en-GB" sz="1400" baseline="0"/>
              <a:t> Import / Export Adjustment and Gains Cap</a:t>
            </a:r>
            <a:endParaRPr lang="en-GB" sz="1400"/>
          </a:p>
        </c:rich>
      </c:tx>
      <c:layout/>
      <c:overlay val="0"/>
    </c:title>
    <c:autoTitleDeleted val="0"/>
    <c:plotArea>
      <c:layout/>
      <c:barChart>
        <c:barDir val="col"/>
        <c:grouping val="clustered"/>
        <c:varyColors val="0"/>
        <c:ser>
          <c:idx val="0"/>
          <c:order val="0"/>
          <c:tx>
            <c:strRef>
              <c:f>Sheet1!$E$3</c:f>
              <c:strCache>
                <c:ptCount val="1"/>
                <c:pt idx="0">
                  <c:v>%</c:v>
                </c:pt>
              </c:strCache>
            </c:strRef>
          </c:tx>
          <c:invertIfNegative val="0"/>
          <c:cat>
            <c:strRef>
              <c:f>Sheet1!$D$4:$D$14</c:f>
              <c:strCache>
                <c:ptCount val="11"/>
                <c:pt idx="0">
                  <c:v>Basic Entitlement</c:v>
                </c:pt>
                <c:pt idx="1">
                  <c:v>Historic Spend Factor</c:v>
                </c:pt>
                <c:pt idx="2">
                  <c:v>Proxy Factor - Population</c:v>
                </c:pt>
                <c:pt idx="3">
                  <c:v>Proxy Factor - FSM</c:v>
                </c:pt>
                <c:pt idx="4">
                  <c:v>Proxy Factor - IDACI</c:v>
                </c:pt>
                <c:pt idx="5">
                  <c:v>Proxy Factor - Bad Health</c:v>
                </c:pt>
                <c:pt idx="6">
                  <c:v>Proxy Factor - Disability</c:v>
                </c:pt>
                <c:pt idx="7">
                  <c:v>Proxy Factor - Low Attainment</c:v>
                </c:pt>
                <c:pt idx="8">
                  <c:v>Funding Floor - Per Head</c:v>
                </c:pt>
                <c:pt idx="9">
                  <c:v>Funding Floor - Absolute</c:v>
                </c:pt>
                <c:pt idx="10">
                  <c:v>Alternative Provision Funding</c:v>
                </c:pt>
              </c:strCache>
            </c:strRef>
          </c:cat>
          <c:val>
            <c:numRef>
              <c:f>Sheet1!$E$4:$E$14</c:f>
              <c:numCache>
                <c:formatCode>0.0</c:formatCode>
                <c:ptCount val="11"/>
                <c:pt idx="0">
                  <c:v>9.1700113216491541</c:v>
                </c:pt>
                <c:pt idx="1">
                  <c:v>31.614158391443986</c:v>
                </c:pt>
                <c:pt idx="2">
                  <c:v>23.51498472638567</c:v>
                </c:pt>
                <c:pt idx="3">
                  <c:v>8.9364034533777037</c:v>
                </c:pt>
                <c:pt idx="4">
                  <c:v>9.6854764077076307</c:v>
                </c:pt>
                <c:pt idx="5">
                  <c:v>3.6118916710268074</c:v>
                </c:pt>
                <c:pt idx="6">
                  <c:v>4.7152818206165241</c:v>
                </c:pt>
                <c:pt idx="7">
                  <c:v>8.5738918470481185</c:v>
                </c:pt>
                <c:pt idx="8">
                  <c:v>0</c:v>
                </c:pt>
                <c:pt idx="9">
                  <c:v>0</c:v>
                </c:pt>
                <c:pt idx="10">
                  <c:v>0.17790036074440671</c:v>
                </c:pt>
              </c:numCache>
            </c:numRef>
          </c:val>
        </c:ser>
        <c:dLbls>
          <c:showLegendKey val="0"/>
          <c:showVal val="0"/>
          <c:showCatName val="0"/>
          <c:showSerName val="0"/>
          <c:showPercent val="0"/>
          <c:showBubbleSize val="0"/>
        </c:dLbls>
        <c:gapWidth val="150"/>
        <c:axId val="550003488"/>
        <c:axId val="550003880"/>
      </c:barChart>
      <c:catAx>
        <c:axId val="550003488"/>
        <c:scaling>
          <c:orientation val="minMax"/>
        </c:scaling>
        <c:delete val="0"/>
        <c:axPos val="b"/>
        <c:numFmt formatCode="General" sourceLinked="0"/>
        <c:majorTickMark val="none"/>
        <c:minorTickMark val="none"/>
        <c:tickLblPos val="nextTo"/>
        <c:crossAx val="550003880"/>
        <c:crosses val="autoZero"/>
        <c:auto val="1"/>
        <c:lblAlgn val="ctr"/>
        <c:lblOffset val="100"/>
        <c:noMultiLvlLbl val="0"/>
      </c:catAx>
      <c:valAx>
        <c:axId val="550003880"/>
        <c:scaling>
          <c:orientation val="minMax"/>
        </c:scaling>
        <c:delete val="0"/>
        <c:axPos val="l"/>
        <c:majorGridlines/>
        <c:title>
          <c:tx>
            <c:rich>
              <a:bodyPr/>
              <a:lstStyle/>
              <a:p>
                <a:pPr>
                  <a:defRPr/>
                </a:pPr>
                <a:r>
                  <a:rPr lang="en-GB" b="0" baseline="0"/>
                  <a:t>%</a:t>
                </a:r>
                <a:r>
                  <a:rPr lang="en-GB" baseline="0"/>
                  <a:t>age  Breakdown of Funding Factors</a:t>
                </a:r>
              </a:p>
            </c:rich>
          </c:tx>
          <c:layout/>
          <c:overlay val="0"/>
        </c:title>
        <c:numFmt formatCode="#,##0.0" sourceLinked="0"/>
        <c:majorTickMark val="none"/>
        <c:minorTickMark val="none"/>
        <c:tickLblPos val="nextTo"/>
        <c:crossAx val="5500034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GB"/>
              <a:t>HNB Funding Factors 2021/22 (£m per factor)</a:t>
            </a:r>
          </a:p>
          <a:p>
            <a:pPr>
              <a:defRPr/>
            </a:pPr>
            <a:r>
              <a:rPr lang="en-GB" sz="1400" b="1" i="0" u="none" strike="noStrike" baseline="0"/>
              <a:t>NB: Excludes Import / Export Adjustment and Gains Cap</a:t>
            </a:r>
            <a:endParaRPr lang="en-GB" sz="1400"/>
          </a:p>
        </c:rich>
      </c:tx>
      <c:layout/>
      <c:overlay val="0"/>
    </c:title>
    <c:autoTitleDeleted val="0"/>
    <c:plotArea>
      <c:layout/>
      <c:barChart>
        <c:barDir val="col"/>
        <c:grouping val="clustered"/>
        <c:varyColors val="0"/>
        <c:ser>
          <c:idx val="0"/>
          <c:order val="0"/>
          <c:tx>
            <c:strRef>
              <c:f>Sheet1!$I$3</c:f>
              <c:strCache>
                <c:ptCount val="1"/>
                <c:pt idx="0">
                  <c:v>£</c:v>
                </c:pt>
              </c:strCache>
            </c:strRef>
          </c:tx>
          <c:invertIfNegative val="0"/>
          <c:cat>
            <c:strRef>
              <c:f>Sheet1!$H$4:$H$14</c:f>
              <c:strCache>
                <c:ptCount val="11"/>
                <c:pt idx="0">
                  <c:v>Basic Entitlement</c:v>
                </c:pt>
                <c:pt idx="1">
                  <c:v>Historic Spend Factor</c:v>
                </c:pt>
                <c:pt idx="2">
                  <c:v>Proxy Factor - Population</c:v>
                </c:pt>
                <c:pt idx="3">
                  <c:v>Proxy Factor - FSM</c:v>
                </c:pt>
                <c:pt idx="4">
                  <c:v>Proxy Factor - IDACI</c:v>
                </c:pt>
                <c:pt idx="5">
                  <c:v>Proxy Factor - Bad Health</c:v>
                </c:pt>
                <c:pt idx="6">
                  <c:v>Proxy Factor - Disability</c:v>
                </c:pt>
                <c:pt idx="7">
                  <c:v>Proxy Factor - Low Attainment</c:v>
                </c:pt>
                <c:pt idx="8">
                  <c:v>Funding Floor - Per Head</c:v>
                </c:pt>
                <c:pt idx="9">
                  <c:v>Funding Floor - Absolute</c:v>
                </c:pt>
                <c:pt idx="10">
                  <c:v>Alternative Provision Funding</c:v>
                </c:pt>
              </c:strCache>
            </c:strRef>
          </c:cat>
          <c:val>
            <c:numRef>
              <c:f>Sheet1!$I$4:$I$14</c:f>
              <c:numCache>
                <c:formatCode>0.00</c:formatCode>
                <c:ptCount val="11"/>
                <c:pt idx="0">
                  <c:v>1.3607199999999999</c:v>
                </c:pt>
                <c:pt idx="1">
                  <c:v>4.6911629765217358</c:v>
                </c:pt>
                <c:pt idx="2">
                  <c:v>3.4893424767476784</c:v>
                </c:pt>
                <c:pt idx="3">
                  <c:v>1.326055386471785</c:v>
                </c:pt>
                <c:pt idx="4">
                  <c:v>1.437208853426557</c:v>
                </c:pt>
                <c:pt idx="5">
                  <c:v>0.53596152307865585</c:v>
                </c:pt>
                <c:pt idx="6">
                  <c:v>0.69969142391368599</c:v>
                </c:pt>
                <c:pt idx="7">
                  <c:v>1.2722629999999999</c:v>
                </c:pt>
                <c:pt idx="8">
                  <c:v>0</c:v>
                </c:pt>
                <c:pt idx="9">
                  <c:v>0</c:v>
                </c:pt>
                <c:pt idx="10">
                  <c:v>2.6398285714285714E-2</c:v>
                </c:pt>
              </c:numCache>
            </c:numRef>
          </c:val>
        </c:ser>
        <c:dLbls>
          <c:showLegendKey val="0"/>
          <c:showVal val="0"/>
          <c:showCatName val="0"/>
          <c:showSerName val="0"/>
          <c:showPercent val="0"/>
          <c:showBubbleSize val="0"/>
        </c:dLbls>
        <c:gapWidth val="150"/>
        <c:axId val="124862488"/>
        <c:axId val="124858960"/>
      </c:barChart>
      <c:catAx>
        <c:axId val="124862488"/>
        <c:scaling>
          <c:orientation val="minMax"/>
        </c:scaling>
        <c:delete val="0"/>
        <c:axPos val="b"/>
        <c:numFmt formatCode="General" sourceLinked="0"/>
        <c:majorTickMark val="none"/>
        <c:minorTickMark val="none"/>
        <c:tickLblPos val="nextTo"/>
        <c:crossAx val="124858960"/>
        <c:crosses val="autoZero"/>
        <c:auto val="1"/>
        <c:lblAlgn val="ctr"/>
        <c:lblOffset val="100"/>
        <c:noMultiLvlLbl val="0"/>
      </c:catAx>
      <c:valAx>
        <c:axId val="124858960"/>
        <c:scaling>
          <c:orientation val="minMax"/>
        </c:scaling>
        <c:delete val="0"/>
        <c:axPos val="l"/>
        <c:majorGridlines/>
        <c:title>
          <c:tx>
            <c:rich>
              <a:bodyPr/>
              <a:lstStyle/>
              <a:p>
                <a:pPr>
                  <a:defRPr/>
                </a:pPr>
                <a:r>
                  <a:rPr lang="en-GB"/>
                  <a:t>£m  Breakdown of Funding Factors</a:t>
                </a:r>
              </a:p>
            </c:rich>
          </c:tx>
          <c:layout/>
          <c:overlay val="0"/>
        </c:title>
        <c:numFmt formatCode="#,##0.0" sourceLinked="0"/>
        <c:majorTickMark val="none"/>
        <c:minorTickMark val="none"/>
        <c:tickLblPos val="nextTo"/>
        <c:crossAx val="1248624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456F6-F3AC-4BA0-8533-EE8C4132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Patton</dc:creator>
  <cp:lastModifiedBy>Jo Stubbs</cp:lastModifiedBy>
  <cp:revision>2</cp:revision>
  <cp:lastPrinted>2020-07-13T16:12:00Z</cp:lastPrinted>
  <dcterms:created xsi:type="dcterms:W3CDTF">2021-01-27T10:35:00Z</dcterms:created>
  <dcterms:modified xsi:type="dcterms:W3CDTF">2021-01-27T10:35:00Z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897438214</vt:i4>
  </property>
  <property fmtid="{D5CDD505-2E9C-101B-9397-08002B2CF9AE}" pid="3" name="_NewReviewCycle">
    <vt:lpwstr/>
  </property>
  <property fmtid="{D5CDD505-2E9C-101B-9397-08002B2CF9AE}" pid="4" name="_EmailSubject">
    <vt:lpwstr>Schools Forum - 2 Feb</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7" name="_PreviousAdHocReviewCycleID">
    <vt:i4>-1701449398</vt:i4>
  </property>
</Properties>
</file>