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3D0916">
        <w:rPr>
          <w:rFonts w:ascii="Arial" w:hAnsi="Arial" w:cs="Arial"/>
          <w:b/>
          <w:bCs/>
        </w:rPr>
        <w:t>1</w:t>
      </w:r>
      <w:r w:rsidR="00B0690C">
        <w:rPr>
          <w:rFonts w:ascii="Arial" w:hAnsi="Arial" w:cs="Arial"/>
          <w:b/>
          <w:bCs/>
        </w:rPr>
        <w:t>0</w:t>
      </w:r>
      <w:r w:rsidR="003D0916">
        <w:rPr>
          <w:rFonts w:ascii="Arial" w:hAnsi="Arial" w:cs="Arial"/>
          <w:b/>
          <w:bCs/>
        </w:rPr>
        <w:t xml:space="preserve"> </w:t>
      </w:r>
      <w:r w:rsidR="00B0690C">
        <w:rPr>
          <w:rFonts w:ascii="Arial" w:hAnsi="Arial" w:cs="Arial"/>
          <w:b/>
          <w:bCs/>
        </w:rPr>
        <w:t>June</w:t>
      </w:r>
      <w:r w:rsidR="00013AF5">
        <w:rPr>
          <w:rFonts w:ascii="Arial" w:hAnsi="Arial" w:cs="Arial"/>
          <w:b/>
          <w:bCs/>
        </w:rPr>
        <w:t xml:space="preserve"> 202</w:t>
      </w:r>
      <w:r w:rsidR="00B0690C">
        <w:rPr>
          <w:rFonts w:ascii="Arial" w:hAnsi="Arial" w:cs="Arial"/>
          <w:b/>
          <w:bCs/>
        </w:rPr>
        <w:t>1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3D0916">
        <w:rPr>
          <w:rFonts w:ascii="Arial" w:hAnsi="Arial" w:cs="Arial"/>
          <w:b/>
          <w:bCs/>
        </w:rPr>
        <w:t>Amanda Whitehead</w:t>
      </w:r>
      <w:r w:rsidR="00013AF5">
        <w:rPr>
          <w:rFonts w:ascii="Arial" w:hAnsi="Arial" w:cs="Arial"/>
          <w:b/>
          <w:bCs/>
        </w:rPr>
        <w:t xml:space="preserve"> (</w:t>
      </w:r>
      <w:r w:rsidR="003D0916">
        <w:rPr>
          <w:rFonts w:ascii="Arial" w:hAnsi="Arial" w:cs="Arial"/>
          <w:b/>
          <w:bCs/>
        </w:rPr>
        <w:t>Assistant Director - Education</w:t>
      </w:r>
      <w:r w:rsidR="00013AF5">
        <w:rPr>
          <w:rFonts w:ascii="Arial" w:hAnsi="Arial" w:cs="Arial"/>
          <w:b/>
          <w:bCs/>
        </w:rPr>
        <w:t>)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proofErr w:type="gramStart"/>
      <w:r w:rsidR="00DC788A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="0026691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44FF6">
        <w:rPr>
          <w:rFonts w:ascii="Arial" w:hAnsi="Arial" w:cs="Arial"/>
          <w:b/>
          <w:u w:val="single"/>
        </w:rPr>
        <w:t>Horizon</w:t>
      </w:r>
      <w:r w:rsidR="00EE5AC5">
        <w:rPr>
          <w:rFonts w:ascii="Arial" w:hAnsi="Arial" w:cs="Arial"/>
          <w:b/>
          <w:u w:val="single"/>
        </w:rPr>
        <w:t xml:space="preserve"> School and Alternative Provision</w:t>
      </w:r>
      <w:r w:rsidR="001346EA">
        <w:rPr>
          <w:rFonts w:ascii="Arial" w:hAnsi="Arial" w:cs="Arial"/>
          <w:b/>
          <w:u w:val="single"/>
        </w:rPr>
        <w:t xml:space="preserve"> </w:t>
      </w:r>
      <w:r w:rsidR="00E120DB">
        <w:rPr>
          <w:rFonts w:ascii="Arial" w:hAnsi="Arial" w:cs="Arial"/>
          <w:b/>
          <w:u w:val="single"/>
        </w:rPr>
        <w:t>2020/21</w:t>
      </w:r>
      <w:r w:rsidR="007C06C9">
        <w:rPr>
          <w:rFonts w:ascii="Arial" w:hAnsi="Arial" w:cs="Arial"/>
          <w:b/>
          <w:u w:val="single"/>
        </w:rPr>
        <w:t xml:space="preserve"> Final Outturn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</w:rPr>
      </w:pPr>
    </w:p>
    <w:p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3871F0" w:rsidRPr="00963D3D" w:rsidRDefault="003871F0" w:rsidP="00A30B66">
      <w:pPr>
        <w:pStyle w:val="ListParagraph"/>
        <w:numPr>
          <w:ilvl w:val="1"/>
          <w:numId w:val="1"/>
        </w:numPr>
        <w:ind w:hanging="786"/>
        <w:contextualSpacing w:val="0"/>
        <w:rPr>
          <w:rFonts w:ascii="Arial" w:hAnsi="Arial" w:cs="Arial"/>
        </w:rPr>
      </w:pPr>
      <w:r w:rsidRPr="00963D3D">
        <w:rPr>
          <w:rFonts w:ascii="Arial" w:hAnsi="Arial" w:cs="Arial"/>
        </w:rPr>
        <w:t>The purpose of the rep</w:t>
      </w:r>
      <w:r w:rsidR="00B72C8B" w:rsidRPr="00963D3D">
        <w:rPr>
          <w:rFonts w:ascii="Arial" w:hAnsi="Arial" w:cs="Arial"/>
        </w:rPr>
        <w:t xml:space="preserve">ort is to </w:t>
      </w:r>
      <w:r w:rsidR="003D0916" w:rsidRPr="00963D3D">
        <w:rPr>
          <w:rFonts w:ascii="Arial" w:hAnsi="Arial" w:cs="Arial"/>
        </w:rPr>
        <w:t>provide an update to Forum on</w:t>
      </w:r>
      <w:r w:rsidR="0098703B" w:rsidRPr="00963D3D">
        <w:rPr>
          <w:rFonts w:ascii="Arial" w:hAnsi="Arial" w:cs="Arial"/>
        </w:rPr>
        <w:t xml:space="preserve"> the 2020/21</w:t>
      </w:r>
      <w:r w:rsidR="00507549" w:rsidRPr="00963D3D">
        <w:rPr>
          <w:rFonts w:ascii="Arial" w:hAnsi="Arial" w:cs="Arial"/>
        </w:rPr>
        <w:t xml:space="preserve"> </w:t>
      </w:r>
      <w:r w:rsidR="004265CD">
        <w:rPr>
          <w:rFonts w:ascii="Arial" w:hAnsi="Arial" w:cs="Arial"/>
        </w:rPr>
        <w:t xml:space="preserve">final </w:t>
      </w:r>
      <w:r w:rsidR="00507549" w:rsidRPr="00963D3D">
        <w:rPr>
          <w:rFonts w:ascii="Arial" w:hAnsi="Arial" w:cs="Arial"/>
        </w:rPr>
        <w:t xml:space="preserve">outturn </w:t>
      </w:r>
      <w:r w:rsidR="00963D3D" w:rsidRPr="00963D3D">
        <w:rPr>
          <w:rFonts w:ascii="Arial" w:hAnsi="Arial" w:cs="Arial"/>
        </w:rPr>
        <w:t xml:space="preserve">position </w:t>
      </w:r>
      <w:r w:rsidR="009E43D5" w:rsidRPr="00963D3D">
        <w:rPr>
          <w:rFonts w:ascii="Arial" w:hAnsi="Arial" w:cs="Arial"/>
        </w:rPr>
        <w:t xml:space="preserve">for </w:t>
      </w:r>
      <w:r w:rsidR="00EE5AC5" w:rsidRPr="00963D3D">
        <w:rPr>
          <w:rFonts w:ascii="Arial" w:hAnsi="Arial" w:cs="Arial"/>
        </w:rPr>
        <w:t>the Horizon School and Alternative Provision</w:t>
      </w:r>
      <w:r w:rsidR="009E43D5" w:rsidRPr="00963D3D">
        <w:rPr>
          <w:rFonts w:ascii="Arial" w:hAnsi="Arial" w:cs="Arial"/>
        </w:rPr>
        <w:t xml:space="preserve"> </w:t>
      </w:r>
      <w:r w:rsidR="003D0916" w:rsidRPr="00963D3D">
        <w:rPr>
          <w:rFonts w:ascii="Arial" w:hAnsi="Arial" w:cs="Arial"/>
        </w:rPr>
        <w:t xml:space="preserve">(AP) </w:t>
      </w:r>
      <w:r w:rsidR="009E43D5" w:rsidRPr="00963D3D">
        <w:rPr>
          <w:rFonts w:ascii="Arial" w:hAnsi="Arial" w:cs="Arial"/>
        </w:rPr>
        <w:t>services.</w:t>
      </w:r>
      <w:r w:rsidR="0098703B" w:rsidRPr="00963D3D">
        <w:rPr>
          <w:rFonts w:ascii="Arial" w:hAnsi="Arial" w:cs="Arial"/>
        </w:rPr>
        <w:t xml:space="preserve"> </w:t>
      </w:r>
    </w:p>
    <w:p w:rsidR="003D0916" w:rsidRDefault="003D0916" w:rsidP="003D0916">
      <w:pPr>
        <w:pStyle w:val="ListParagraph"/>
        <w:ind w:left="786"/>
        <w:rPr>
          <w:rFonts w:ascii="Arial" w:hAnsi="Arial" w:cs="Arial"/>
        </w:rPr>
      </w:pPr>
    </w:p>
    <w:p w:rsidR="003D0916" w:rsidRDefault="003D0916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These budgets sit within the High Needs Block and are included in the high needs block outturn presented as a separate item on this agenda.</w:t>
      </w:r>
    </w:p>
    <w:p w:rsidR="00B4045F" w:rsidRPr="0063449C" w:rsidRDefault="00B4045F" w:rsidP="0063449C">
      <w:pPr>
        <w:rPr>
          <w:rFonts w:ascii="Arial" w:hAnsi="Arial" w:cs="Arial"/>
          <w:b/>
          <w:u w:val="single"/>
        </w:rPr>
      </w:pPr>
    </w:p>
    <w:p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63449C" w:rsidRDefault="003162D0" w:rsidP="00895B8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03AEE">
        <w:rPr>
          <w:rFonts w:ascii="Arial" w:hAnsi="Arial" w:cs="Arial"/>
        </w:rPr>
        <w:t>1</w:t>
      </w:r>
      <w:r>
        <w:rPr>
          <w:rFonts w:ascii="Arial" w:hAnsi="Arial" w:cs="Arial"/>
        </w:rPr>
        <w:tab/>
        <w:t>Schools’ Forum agreed to</w:t>
      </w:r>
      <w:r w:rsidR="0063449C" w:rsidRPr="0053725B">
        <w:rPr>
          <w:rFonts w:ascii="Arial" w:hAnsi="Arial" w:cs="Arial"/>
        </w:rPr>
        <w:t xml:space="preserve"> fund a</w:t>
      </w:r>
      <w:r w:rsidR="00895B8D" w:rsidRPr="0053725B">
        <w:rPr>
          <w:rFonts w:ascii="Arial" w:hAnsi="Arial" w:cs="Arial"/>
        </w:rPr>
        <w:t xml:space="preserve">n annual </w:t>
      </w:r>
      <w:r w:rsidR="0063449C" w:rsidRPr="0053725B">
        <w:rPr>
          <w:rFonts w:ascii="Arial" w:hAnsi="Arial" w:cs="Arial"/>
        </w:rPr>
        <w:t>cost baseline of £</w:t>
      </w:r>
      <w:r w:rsidR="003D0916">
        <w:rPr>
          <w:rFonts w:ascii="Arial" w:hAnsi="Arial" w:cs="Arial"/>
        </w:rPr>
        <w:t>0.750m</w:t>
      </w:r>
      <w:r w:rsidR="0063449C" w:rsidRPr="0053725B">
        <w:rPr>
          <w:rFonts w:ascii="Arial" w:hAnsi="Arial" w:cs="Arial"/>
        </w:rPr>
        <w:t xml:space="preserve"> </w:t>
      </w:r>
      <w:r w:rsidR="00E732ED">
        <w:rPr>
          <w:rFonts w:ascii="Arial" w:hAnsi="Arial" w:cs="Arial"/>
        </w:rPr>
        <w:t xml:space="preserve">from the High Needs Block </w:t>
      </w:r>
      <w:r>
        <w:rPr>
          <w:rFonts w:ascii="Arial" w:hAnsi="Arial" w:cs="Arial"/>
        </w:rPr>
        <w:t xml:space="preserve">for </w:t>
      </w:r>
      <w:r w:rsidR="0063449C" w:rsidRPr="005372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Horizon S</w:t>
      </w:r>
      <w:r w:rsidR="0063449C" w:rsidRPr="0053725B">
        <w:rPr>
          <w:rFonts w:ascii="Arial" w:hAnsi="Arial" w:cs="Arial"/>
        </w:rPr>
        <w:t>chool</w:t>
      </w:r>
      <w:r w:rsidR="00895B8D" w:rsidRPr="0053725B">
        <w:rPr>
          <w:rFonts w:ascii="Arial" w:hAnsi="Arial" w:cs="Arial"/>
        </w:rPr>
        <w:t xml:space="preserve"> f</w:t>
      </w:r>
      <w:r w:rsidR="003D0916">
        <w:rPr>
          <w:rFonts w:ascii="Arial" w:hAnsi="Arial" w:cs="Arial"/>
        </w:rPr>
        <w:t>or</w:t>
      </w:r>
      <w:r w:rsidR="0063449C" w:rsidRPr="0053725B">
        <w:rPr>
          <w:rFonts w:ascii="Arial" w:hAnsi="Arial" w:cs="Arial"/>
        </w:rPr>
        <w:t xml:space="preserve"> 2019/20</w:t>
      </w:r>
      <w:r w:rsidR="003D0916">
        <w:rPr>
          <w:rFonts w:ascii="Arial" w:hAnsi="Arial" w:cs="Arial"/>
        </w:rPr>
        <w:t xml:space="preserve"> and 2020/21</w:t>
      </w:r>
      <w:r w:rsidR="00E732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7239">
        <w:rPr>
          <w:rFonts w:ascii="Arial" w:hAnsi="Arial" w:cs="Arial"/>
        </w:rPr>
        <w:t xml:space="preserve">For 2020/21 the contribution from the High Needs Block is a net £0.675m (after direct income credited </w:t>
      </w:r>
      <w:r w:rsidR="007C06C9">
        <w:rPr>
          <w:rFonts w:ascii="Arial" w:hAnsi="Arial" w:cs="Arial"/>
        </w:rPr>
        <w:t xml:space="preserve">to </w:t>
      </w:r>
      <w:r w:rsidR="00FF7239">
        <w:rPr>
          <w:rFonts w:ascii="Arial" w:hAnsi="Arial" w:cs="Arial"/>
        </w:rPr>
        <w:t>the Horizon School).</w:t>
      </w:r>
    </w:p>
    <w:p w:rsidR="003D0916" w:rsidRDefault="003D0916" w:rsidP="00895B8D">
      <w:pPr>
        <w:ind w:left="720" w:hanging="720"/>
        <w:jc w:val="both"/>
        <w:rPr>
          <w:rFonts w:ascii="Arial" w:hAnsi="Arial" w:cs="Arial"/>
        </w:rPr>
      </w:pPr>
    </w:p>
    <w:p w:rsidR="00BB1870" w:rsidRDefault="00703AEE" w:rsidP="00BB187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D0916">
        <w:rPr>
          <w:rFonts w:ascii="Arial" w:hAnsi="Arial" w:cs="Arial"/>
        </w:rPr>
        <w:tab/>
        <w:t>Forum Members will recall that the financial responsibility for AP transferred to the Horizon School Head Teacher during 2020/21. Therefore, management of costs for permanently excluded pupils, whether managed within the Horizon School or within AP is now combined.</w:t>
      </w:r>
    </w:p>
    <w:p w:rsidR="00BB1870" w:rsidRDefault="00BB1870" w:rsidP="00BB1870">
      <w:pPr>
        <w:ind w:left="720" w:hanging="720"/>
        <w:jc w:val="both"/>
        <w:rPr>
          <w:rFonts w:ascii="Arial" w:hAnsi="Arial" w:cs="Arial"/>
        </w:rPr>
      </w:pPr>
    </w:p>
    <w:p w:rsidR="004265CD" w:rsidRDefault="00703AEE" w:rsidP="00BB187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B1870">
        <w:rPr>
          <w:rFonts w:ascii="Arial" w:hAnsi="Arial" w:cs="Arial"/>
        </w:rPr>
        <w:tab/>
      </w:r>
      <w:r w:rsidR="00963D3D">
        <w:rPr>
          <w:rFonts w:ascii="Arial" w:hAnsi="Arial" w:cs="Arial"/>
        </w:rPr>
        <w:t>The latest projection presented to Schools’ Forum estimated a year-end underspend</w:t>
      </w:r>
      <w:r w:rsidR="00BB1870">
        <w:rPr>
          <w:rFonts w:ascii="Arial" w:hAnsi="Arial" w:cs="Arial"/>
        </w:rPr>
        <w:t xml:space="preserve"> of £</w:t>
      </w:r>
      <w:r w:rsidR="004265CD">
        <w:rPr>
          <w:rFonts w:ascii="Arial" w:hAnsi="Arial" w:cs="Arial"/>
        </w:rPr>
        <w:t>0.072</w:t>
      </w:r>
      <w:r w:rsidR="00963D3D">
        <w:rPr>
          <w:rFonts w:ascii="Arial" w:hAnsi="Arial" w:cs="Arial"/>
        </w:rPr>
        <w:t xml:space="preserve">m </w:t>
      </w:r>
      <w:r w:rsidR="004265CD">
        <w:rPr>
          <w:rFonts w:ascii="Arial" w:hAnsi="Arial" w:cs="Arial"/>
        </w:rPr>
        <w:t>for the Horizon School and an anticipated overspend of £0.099m</w:t>
      </w:r>
      <w:r w:rsidR="00BB1870">
        <w:rPr>
          <w:rFonts w:ascii="Arial" w:hAnsi="Arial" w:cs="Arial"/>
        </w:rPr>
        <w:t xml:space="preserve"> for the Alternative Provision.</w:t>
      </w:r>
    </w:p>
    <w:p w:rsidR="004265CD" w:rsidRDefault="004265CD" w:rsidP="004265CD">
      <w:pPr>
        <w:ind w:left="720" w:hanging="720"/>
        <w:rPr>
          <w:rFonts w:ascii="Arial" w:hAnsi="Arial" w:cs="Arial"/>
        </w:rPr>
      </w:pPr>
    </w:p>
    <w:p w:rsidR="002B1195" w:rsidRPr="004E4BFB" w:rsidRDefault="00BB1870" w:rsidP="002B1195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 w:rsidRPr="00C66BA8">
        <w:rPr>
          <w:rFonts w:ascii="Arial" w:hAnsi="Arial" w:cs="Arial"/>
          <w:b/>
          <w:u w:val="single"/>
        </w:rPr>
        <w:t>Outturn</w:t>
      </w:r>
      <w:r w:rsidR="00A47C7C" w:rsidRPr="00C66BA8">
        <w:rPr>
          <w:rFonts w:ascii="Arial" w:hAnsi="Arial" w:cs="Arial"/>
          <w:b/>
          <w:u w:val="single"/>
        </w:rPr>
        <w:t xml:space="preserve"> 2020/21 - The</w:t>
      </w:r>
      <w:r w:rsidR="00C727E6" w:rsidRPr="00C66BA8">
        <w:rPr>
          <w:rFonts w:ascii="Arial" w:hAnsi="Arial" w:cs="Arial"/>
          <w:b/>
          <w:u w:val="single"/>
        </w:rPr>
        <w:t xml:space="preserve"> Horizon School</w:t>
      </w:r>
    </w:p>
    <w:p w:rsidR="002B1195" w:rsidRDefault="002B1195" w:rsidP="00C63765">
      <w:pPr>
        <w:ind w:left="720" w:hanging="720"/>
        <w:rPr>
          <w:rFonts w:ascii="Arial" w:hAnsi="Arial" w:cs="Arial"/>
        </w:rPr>
      </w:pPr>
    </w:p>
    <w:p w:rsidR="00BB1870" w:rsidRDefault="00C66BA8" w:rsidP="00BB18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1870">
        <w:rPr>
          <w:rFonts w:ascii="Arial" w:hAnsi="Arial" w:cs="Arial"/>
        </w:rPr>
        <w:t>.1</w:t>
      </w:r>
      <w:r w:rsidR="00BB1870">
        <w:rPr>
          <w:rFonts w:ascii="Arial" w:hAnsi="Arial" w:cs="Arial"/>
        </w:rPr>
        <w:tab/>
      </w:r>
      <w:r w:rsidR="00BB1870" w:rsidRPr="00C66BA8">
        <w:rPr>
          <w:rFonts w:ascii="Arial" w:hAnsi="Arial" w:cs="Arial"/>
        </w:rPr>
        <w:t xml:space="preserve">The final outturn for 2020/21 is an underspend of </w:t>
      </w:r>
      <w:r w:rsidR="00BB1870" w:rsidRPr="00C66BA8">
        <w:rPr>
          <w:rFonts w:ascii="Arial" w:hAnsi="Arial" w:cs="Arial"/>
          <w:b/>
        </w:rPr>
        <w:t>£0.</w:t>
      </w:r>
      <w:r w:rsidRPr="00C66BA8">
        <w:rPr>
          <w:rFonts w:ascii="Arial" w:hAnsi="Arial" w:cs="Arial"/>
          <w:b/>
        </w:rPr>
        <w:t>090</w:t>
      </w:r>
      <w:r w:rsidR="00BB1870" w:rsidRPr="00C66BA8">
        <w:rPr>
          <w:rFonts w:ascii="Arial" w:hAnsi="Arial" w:cs="Arial"/>
          <w:b/>
        </w:rPr>
        <w:t xml:space="preserve">m, </w:t>
      </w:r>
      <w:r w:rsidR="00BB1870" w:rsidRPr="00C66BA8">
        <w:rPr>
          <w:rFonts w:ascii="Arial" w:hAnsi="Arial" w:cs="Arial"/>
        </w:rPr>
        <w:t xml:space="preserve">exceeding the </w:t>
      </w:r>
      <w:r w:rsidRPr="00C66BA8">
        <w:rPr>
          <w:rFonts w:ascii="Arial" w:hAnsi="Arial" w:cs="Arial"/>
        </w:rPr>
        <w:t>estimated</w:t>
      </w:r>
      <w:r w:rsidR="00BB1870" w:rsidRPr="00C66BA8">
        <w:rPr>
          <w:rFonts w:ascii="Arial" w:hAnsi="Arial" w:cs="Arial"/>
        </w:rPr>
        <w:t xml:space="preserve"> outturn projection reported </w:t>
      </w:r>
      <w:r>
        <w:rPr>
          <w:rFonts w:ascii="Arial" w:hAnsi="Arial" w:cs="Arial"/>
        </w:rPr>
        <w:t>at November’s School Forum</w:t>
      </w:r>
      <w:r w:rsidR="00BB1870" w:rsidRPr="00C66BA8">
        <w:rPr>
          <w:rFonts w:ascii="Arial" w:hAnsi="Arial" w:cs="Arial"/>
        </w:rPr>
        <w:t xml:space="preserve"> of a £0.</w:t>
      </w:r>
      <w:r w:rsidRPr="00C66BA8">
        <w:rPr>
          <w:rFonts w:ascii="Arial" w:hAnsi="Arial" w:cs="Arial"/>
        </w:rPr>
        <w:t>072</w:t>
      </w:r>
      <w:r w:rsidR="00BB1870" w:rsidRPr="00C66BA8">
        <w:rPr>
          <w:rFonts w:ascii="Arial" w:hAnsi="Arial" w:cs="Arial"/>
        </w:rPr>
        <w:t>m underspend. This is summarised by each area of spend in the table below. The paragraphs that follow explain the main changes in the final outturn from the last update.</w:t>
      </w:r>
    </w:p>
    <w:p w:rsidR="004E3A18" w:rsidRDefault="004E3A18" w:rsidP="00BB1870">
      <w:pPr>
        <w:ind w:left="720" w:hanging="720"/>
        <w:rPr>
          <w:rFonts w:ascii="Arial" w:hAnsi="Arial" w:cs="Arial"/>
        </w:rPr>
      </w:pPr>
    </w:p>
    <w:p w:rsidR="004E3A18" w:rsidRDefault="004E3A18" w:rsidP="00BB18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C66BA8">
        <w:rPr>
          <w:rFonts w:ascii="Arial" w:hAnsi="Arial" w:cs="Arial"/>
        </w:rPr>
        <w:t>As the school is funded from the High Needs Block in 2020/21, following agreement by Schools’ Forum, the underspend has been returned to the Block.</w:t>
      </w:r>
    </w:p>
    <w:p w:rsidR="00C66BA8" w:rsidRDefault="00C66BA8" w:rsidP="00BB1870">
      <w:pPr>
        <w:ind w:left="720" w:hanging="720"/>
        <w:rPr>
          <w:rFonts w:ascii="Arial" w:hAnsi="Arial" w:cs="Arial"/>
        </w:rPr>
      </w:pPr>
    </w:p>
    <w:tbl>
      <w:tblPr>
        <w:tblW w:w="9248" w:type="dxa"/>
        <w:tblInd w:w="641" w:type="dxa"/>
        <w:tblLook w:val="04A0" w:firstRow="1" w:lastRow="0" w:firstColumn="1" w:lastColumn="0" w:noHBand="0" w:noVBand="1"/>
      </w:tblPr>
      <w:tblGrid>
        <w:gridCol w:w="3402"/>
        <w:gridCol w:w="1735"/>
        <w:gridCol w:w="1985"/>
        <w:gridCol w:w="2126"/>
      </w:tblGrid>
      <w:tr w:rsidR="00BB1870" w:rsidRPr="006670F8" w:rsidTr="00E02C5B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B1870" w:rsidRPr="006670F8" w:rsidRDefault="00B6758B" w:rsidP="00E02C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The Horizon School</w:t>
            </w:r>
            <w:r w:rsidR="00BB1870">
              <w:rPr>
                <w:rFonts w:ascii="Arial" w:hAnsi="Arial" w:cs="Arial"/>
                <w:color w:val="FFFFFF"/>
                <w:sz w:val="22"/>
                <w:szCs w:val="22"/>
              </w:rPr>
              <w:t xml:space="preserve"> Outturn 2020/21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1870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Revised Budget 2020/21</w:t>
            </w:r>
          </w:p>
          <w:p w:rsidR="00BB1870" w:rsidRPr="006670F8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 w:rsidRPr="006670F8"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BB1870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 Outturn 2020/21</w:t>
            </w:r>
          </w:p>
          <w:p w:rsidR="00BB1870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BB1870" w:rsidRPr="006670F8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BB1870" w:rsidRPr="00C434FA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</w:t>
            </w:r>
          </w:p>
          <w:p w:rsidR="00BB1870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Variance 2020/21</w:t>
            </w:r>
          </w:p>
          <w:p w:rsidR="00BB1870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Overspend (+) / Underspend (-)</w:t>
            </w:r>
          </w:p>
          <w:p w:rsidR="00BB1870" w:rsidRPr="006670F8" w:rsidRDefault="00BB1870" w:rsidP="00E02C5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Default="00A47C7C" w:rsidP="00E02C5B">
            <w:pPr>
              <w:rPr>
                <w:rFonts w:ascii="Arial" w:hAnsi="Arial" w:cs="Arial"/>
                <w:color w:val="000000"/>
              </w:rPr>
            </w:pPr>
            <w:r w:rsidRPr="00A47C7C">
              <w:rPr>
                <w:rFonts w:ascii="Arial" w:hAnsi="Arial" w:cs="Arial"/>
                <w:color w:val="000000"/>
                <w:sz w:val="22"/>
                <w:szCs w:val="22"/>
              </w:rPr>
              <w:t>Employees</w:t>
            </w:r>
          </w:p>
        </w:tc>
        <w:tc>
          <w:tcPr>
            <w:tcW w:w="1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BB1870" w:rsidP="00C0765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Premises </w:t>
            </w:r>
          </w:p>
        </w:tc>
        <w:tc>
          <w:tcPr>
            <w:tcW w:w="1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A435D3" w:rsidRDefault="00A47C7C" w:rsidP="00A47C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A47C7C" w:rsidP="00A47C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C07652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70" w:rsidRDefault="00A47C7C" w:rsidP="00C076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Supplies </w:t>
            </w:r>
            <w:r w:rsidR="00C07652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70" w:rsidRPr="006D415F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6D415F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6D415F" w:rsidRDefault="00C07652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70" w:rsidRDefault="00A47C7C" w:rsidP="00E02C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Capitation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70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6D415F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6D415F" w:rsidRDefault="00C07652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Grants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Pr="0026631E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(0.039)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(0.070)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C07652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0.031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Default="00A47C7C" w:rsidP="00E02C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Income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70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(0.037)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A47C7C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70" w:rsidRPr="00F01A48" w:rsidRDefault="00C07652" w:rsidP="00E02C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000000"/>
                <w:sz w:val="22"/>
                <w:szCs w:val="22"/>
              </w:rPr>
              <w:t>0.054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1870" w:rsidRPr="006670F8" w:rsidTr="00E02C5B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B1870" w:rsidRPr="00212490" w:rsidRDefault="00BB1870" w:rsidP="00A47C7C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Total Outturn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B1870" w:rsidRPr="0026631E" w:rsidRDefault="00A47C7C" w:rsidP="00E02C5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0.674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B1870" w:rsidRPr="005C1EF2" w:rsidRDefault="00A47C7C" w:rsidP="00E02C5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0.584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B1870" w:rsidRPr="005C1EF2" w:rsidRDefault="00C07652" w:rsidP="00E02C5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="00A47C7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0.090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:rsidR="00BB1870" w:rsidRDefault="00BB1870" w:rsidP="00C63765">
      <w:pPr>
        <w:ind w:left="720" w:hanging="720"/>
        <w:rPr>
          <w:rFonts w:ascii="Arial" w:hAnsi="Arial" w:cs="Arial"/>
        </w:rPr>
      </w:pPr>
    </w:p>
    <w:p w:rsidR="00A47C7C" w:rsidRDefault="00A47C7C" w:rsidP="006D4B67">
      <w:pPr>
        <w:ind w:left="720" w:hanging="720"/>
        <w:rPr>
          <w:rFonts w:ascii="Arial" w:hAnsi="Arial" w:cs="Arial"/>
        </w:rPr>
      </w:pPr>
    </w:p>
    <w:p w:rsidR="00C727E6" w:rsidRPr="004E4BFB" w:rsidRDefault="004E2A00" w:rsidP="00C727E6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C727E6" w:rsidRPr="00741D19">
        <w:rPr>
          <w:rFonts w:ascii="Arial" w:hAnsi="Arial" w:cs="Arial"/>
          <w:b/>
        </w:rPr>
        <w:t xml:space="preserve">. </w:t>
      </w:r>
      <w:r w:rsidR="00C727E6" w:rsidRPr="00741D19">
        <w:rPr>
          <w:rFonts w:ascii="Arial" w:hAnsi="Arial" w:cs="Arial"/>
          <w:b/>
        </w:rPr>
        <w:tab/>
      </w:r>
      <w:r w:rsidR="00C727E6" w:rsidRPr="00741D19">
        <w:rPr>
          <w:rFonts w:ascii="Arial" w:hAnsi="Arial" w:cs="Arial"/>
          <w:b/>
        </w:rPr>
        <w:tab/>
      </w:r>
      <w:r w:rsidR="00C727E6">
        <w:rPr>
          <w:rFonts w:ascii="Arial" w:hAnsi="Arial" w:cs="Arial"/>
          <w:b/>
          <w:u w:val="single"/>
        </w:rPr>
        <w:t>Outturn 2020/21 – A</w:t>
      </w:r>
      <w:r>
        <w:rPr>
          <w:rFonts w:ascii="Arial" w:hAnsi="Arial" w:cs="Arial"/>
          <w:b/>
          <w:u w:val="single"/>
        </w:rPr>
        <w:t xml:space="preserve">lternative </w:t>
      </w:r>
      <w:r w:rsidR="00C727E6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rovision</w:t>
      </w:r>
    </w:p>
    <w:p w:rsidR="00C727E6" w:rsidRDefault="00C727E6" w:rsidP="006D4B67">
      <w:pPr>
        <w:ind w:left="720" w:hanging="720"/>
        <w:rPr>
          <w:rFonts w:ascii="Arial" w:hAnsi="Arial" w:cs="Arial"/>
        </w:rPr>
      </w:pPr>
    </w:p>
    <w:p w:rsidR="004E2A00" w:rsidRDefault="00195739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27E6">
        <w:rPr>
          <w:rFonts w:ascii="Arial" w:hAnsi="Arial" w:cs="Arial"/>
        </w:rPr>
        <w:t>.1</w:t>
      </w:r>
      <w:r w:rsidR="00BF0180">
        <w:rPr>
          <w:rFonts w:ascii="Arial" w:hAnsi="Arial" w:cs="Arial"/>
        </w:rPr>
        <w:tab/>
      </w:r>
      <w:r w:rsidR="004E2A00" w:rsidRPr="00C66BA8">
        <w:rPr>
          <w:rFonts w:ascii="Arial" w:hAnsi="Arial" w:cs="Arial"/>
        </w:rPr>
        <w:t xml:space="preserve">The final outturn for 2020/21 is </w:t>
      </w:r>
      <w:proofErr w:type="gramStart"/>
      <w:r w:rsidR="004E2A00" w:rsidRPr="00C66BA8">
        <w:rPr>
          <w:rFonts w:ascii="Arial" w:hAnsi="Arial" w:cs="Arial"/>
        </w:rPr>
        <w:t xml:space="preserve">an </w:t>
      </w:r>
      <w:r w:rsidR="007C06C9">
        <w:rPr>
          <w:rFonts w:ascii="Arial" w:hAnsi="Arial" w:cs="Arial"/>
        </w:rPr>
        <w:t>over</w:t>
      </w:r>
      <w:r w:rsidR="00BA44EA">
        <w:rPr>
          <w:rFonts w:ascii="Arial" w:hAnsi="Arial" w:cs="Arial"/>
        </w:rPr>
        <w:t>spend</w:t>
      </w:r>
      <w:proofErr w:type="gramEnd"/>
      <w:r w:rsidR="004E2A00" w:rsidRPr="00C66BA8">
        <w:rPr>
          <w:rFonts w:ascii="Arial" w:hAnsi="Arial" w:cs="Arial"/>
        </w:rPr>
        <w:t xml:space="preserve"> of </w:t>
      </w:r>
      <w:r w:rsidR="004E2A00" w:rsidRPr="00C66BA8">
        <w:rPr>
          <w:rFonts w:ascii="Arial" w:hAnsi="Arial" w:cs="Arial"/>
          <w:b/>
        </w:rPr>
        <w:t>£0.0</w:t>
      </w:r>
      <w:r w:rsidR="00BA44EA">
        <w:rPr>
          <w:rFonts w:ascii="Arial" w:hAnsi="Arial" w:cs="Arial"/>
          <w:b/>
        </w:rPr>
        <w:t>35</w:t>
      </w:r>
      <w:r w:rsidR="004E2A00" w:rsidRPr="00C66BA8">
        <w:rPr>
          <w:rFonts w:ascii="Arial" w:hAnsi="Arial" w:cs="Arial"/>
          <w:b/>
        </w:rPr>
        <w:t xml:space="preserve">m, </w:t>
      </w:r>
      <w:r w:rsidR="00BA44EA">
        <w:rPr>
          <w:rFonts w:ascii="Arial" w:hAnsi="Arial" w:cs="Arial"/>
        </w:rPr>
        <w:t>lower than</w:t>
      </w:r>
      <w:r w:rsidR="004E2A00" w:rsidRPr="00C66BA8">
        <w:rPr>
          <w:rFonts w:ascii="Arial" w:hAnsi="Arial" w:cs="Arial"/>
        </w:rPr>
        <w:t xml:space="preserve"> the estimated outturn projection reported </w:t>
      </w:r>
      <w:r w:rsidR="004E2A00">
        <w:rPr>
          <w:rFonts w:ascii="Arial" w:hAnsi="Arial" w:cs="Arial"/>
        </w:rPr>
        <w:t>at November’s School Forum</w:t>
      </w:r>
      <w:r w:rsidR="004E2A00" w:rsidRPr="00C66BA8">
        <w:rPr>
          <w:rFonts w:ascii="Arial" w:hAnsi="Arial" w:cs="Arial"/>
        </w:rPr>
        <w:t xml:space="preserve"> of a £0.0</w:t>
      </w:r>
      <w:r w:rsidR="004E2A00">
        <w:rPr>
          <w:rFonts w:ascii="Arial" w:hAnsi="Arial" w:cs="Arial"/>
        </w:rPr>
        <w:t>99</w:t>
      </w:r>
      <w:r w:rsidR="004E2A00" w:rsidRPr="00C66BA8">
        <w:rPr>
          <w:rFonts w:ascii="Arial" w:hAnsi="Arial" w:cs="Arial"/>
        </w:rPr>
        <w:t xml:space="preserve">m </w:t>
      </w:r>
      <w:r w:rsidR="004E2A00">
        <w:rPr>
          <w:rFonts w:ascii="Arial" w:hAnsi="Arial" w:cs="Arial"/>
        </w:rPr>
        <w:t>over</w:t>
      </w:r>
      <w:r w:rsidR="004E2A00" w:rsidRPr="00C66BA8">
        <w:rPr>
          <w:rFonts w:ascii="Arial" w:hAnsi="Arial" w:cs="Arial"/>
        </w:rPr>
        <w:t xml:space="preserve">spend. </w:t>
      </w:r>
      <w:r w:rsidR="005C6065">
        <w:rPr>
          <w:rFonts w:ascii="Arial" w:hAnsi="Arial" w:cs="Arial"/>
        </w:rPr>
        <w:t>T</w:t>
      </w:r>
      <w:r w:rsidR="004E2A00" w:rsidRPr="00C66BA8">
        <w:rPr>
          <w:rFonts w:ascii="Arial" w:hAnsi="Arial" w:cs="Arial"/>
        </w:rPr>
        <w:t>his is summarised by each area of spend in the table below. The paragraphs that follow explain the main changes in the final outturn from the last update.</w:t>
      </w:r>
    </w:p>
    <w:p w:rsidR="00195739" w:rsidRDefault="00195739" w:rsidP="00FD7B05">
      <w:pPr>
        <w:ind w:left="720" w:hanging="720"/>
        <w:rPr>
          <w:rFonts w:ascii="Arial" w:hAnsi="Arial" w:cs="Arial"/>
        </w:rPr>
      </w:pPr>
    </w:p>
    <w:p w:rsidR="00195739" w:rsidRDefault="00195739" w:rsidP="00195739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1791"/>
        <w:gridCol w:w="2268"/>
        <w:gridCol w:w="2268"/>
      </w:tblGrid>
      <w:tr w:rsidR="00195739" w:rsidTr="007F50F0">
        <w:tc>
          <w:tcPr>
            <w:tcW w:w="2304" w:type="dxa"/>
            <w:shd w:val="clear" w:color="auto" w:fill="000000" w:themeFill="text1"/>
          </w:tcPr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000000" w:themeFill="text1"/>
          </w:tcPr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2020/21</w:t>
            </w:r>
          </w:p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£m</w:t>
            </w:r>
          </w:p>
        </w:tc>
        <w:tc>
          <w:tcPr>
            <w:tcW w:w="2268" w:type="dxa"/>
            <w:shd w:val="clear" w:color="auto" w:fill="000000" w:themeFill="text1"/>
          </w:tcPr>
          <w:p w:rsidR="007C06C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Outturn </w:t>
            </w:r>
          </w:p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268" w:type="dxa"/>
            <w:shd w:val="clear" w:color="auto" w:fill="000000" w:themeFill="text1"/>
          </w:tcPr>
          <w:p w:rsidR="007C06C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Variance </w:t>
            </w:r>
          </w:p>
          <w:p w:rsidR="00195739" w:rsidRDefault="0019573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  <w:p w:rsidR="007C06C9" w:rsidRDefault="007C06C9" w:rsidP="007F5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95739" w:rsidTr="007F50F0">
        <w:tc>
          <w:tcPr>
            <w:tcW w:w="2304" w:type="dxa"/>
          </w:tcPr>
          <w:p w:rsidR="00195739" w:rsidRDefault="00195739" w:rsidP="007F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791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0.040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(0.020)</w:t>
            </w:r>
          </w:p>
        </w:tc>
      </w:tr>
      <w:tr w:rsidR="00195739" w:rsidTr="007F50F0">
        <w:tc>
          <w:tcPr>
            <w:tcW w:w="2304" w:type="dxa"/>
          </w:tcPr>
          <w:p w:rsidR="00195739" w:rsidRDefault="00195739" w:rsidP="007F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Fees</w:t>
            </w:r>
          </w:p>
        </w:tc>
        <w:tc>
          <w:tcPr>
            <w:tcW w:w="1791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0.153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0.116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(0.037)</w:t>
            </w:r>
          </w:p>
        </w:tc>
      </w:tr>
      <w:tr w:rsidR="00195739" w:rsidTr="007F50F0">
        <w:tc>
          <w:tcPr>
            <w:tcW w:w="2304" w:type="dxa"/>
          </w:tcPr>
          <w:p w:rsidR="00195739" w:rsidRDefault="00195739" w:rsidP="007F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Clawback Income</w:t>
            </w:r>
          </w:p>
        </w:tc>
        <w:tc>
          <w:tcPr>
            <w:tcW w:w="1791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(0.150)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(0.058)</w:t>
            </w:r>
          </w:p>
        </w:tc>
        <w:tc>
          <w:tcPr>
            <w:tcW w:w="2268" w:type="dxa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0.092</w:t>
            </w:r>
          </w:p>
        </w:tc>
      </w:tr>
      <w:tr w:rsidR="00195739" w:rsidTr="007F50F0">
        <w:tc>
          <w:tcPr>
            <w:tcW w:w="2304" w:type="dxa"/>
            <w:shd w:val="clear" w:color="auto" w:fill="000000" w:themeFill="text1"/>
          </w:tcPr>
          <w:p w:rsidR="00195739" w:rsidRDefault="00195739" w:rsidP="007F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91" w:type="dxa"/>
            <w:shd w:val="clear" w:color="auto" w:fill="000000" w:themeFill="text1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0.043</w:t>
            </w:r>
          </w:p>
        </w:tc>
        <w:tc>
          <w:tcPr>
            <w:tcW w:w="2268" w:type="dxa"/>
            <w:shd w:val="clear" w:color="auto" w:fill="000000" w:themeFill="text1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0.078</w:t>
            </w:r>
          </w:p>
        </w:tc>
        <w:tc>
          <w:tcPr>
            <w:tcW w:w="2268" w:type="dxa"/>
            <w:shd w:val="clear" w:color="auto" w:fill="000000" w:themeFill="text1"/>
          </w:tcPr>
          <w:p w:rsidR="00195739" w:rsidRDefault="00195739" w:rsidP="007F5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0.035</w:t>
            </w:r>
          </w:p>
        </w:tc>
      </w:tr>
    </w:tbl>
    <w:p w:rsidR="00195739" w:rsidRDefault="00195739" w:rsidP="00195739">
      <w:pPr>
        <w:ind w:left="720" w:hanging="720"/>
        <w:rPr>
          <w:rFonts w:ascii="Arial" w:hAnsi="Arial" w:cs="Arial"/>
        </w:rPr>
      </w:pPr>
    </w:p>
    <w:p w:rsidR="002B1195" w:rsidRDefault="002B1195" w:rsidP="00FD7B05">
      <w:pPr>
        <w:ind w:left="720" w:hanging="720"/>
        <w:rPr>
          <w:rFonts w:ascii="Arial" w:hAnsi="Arial" w:cs="Arial"/>
        </w:rPr>
      </w:pPr>
    </w:p>
    <w:p w:rsidR="00293067" w:rsidRDefault="00195739" w:rsidP="0029306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C727E6">
        <w:rPr>
          <w:rFonts w:ascii="Arial" w:hAnsi="Arial" w:cs="Arial"/>
        </w:rPr>
        <w:t>.2</w:t>
      </w:r>
      <w:r w:rsidR="002B1195">
        <w:rPr>
          <w:rFonts w:ascii="Arial" w:hAnsi="Arial" w:cs="Arial"/>
        </w:rPr>
        <w:tab/>
      </w:r>
      <w:r w:rsidR="00293067">
        <w:rPr>
          <w:rFonts w:ascii="Arial" w:hAnsi="Arial" w:cs="Arial"/>
          <w:u w:val="single"/>
        </w:rPr>
        <w:t>Transport</w:t>
      </w:r>
      <w:r w:rsidR="00293067" w:rsidRPr="00703AEE">
        <w:rPr>
          <w:rFonts w:ascii="Arial" w:hAnsi="Arial" w:cs="Arial"/>
          <w:u w:val="single"/>
        </w:rPr>
        <w:t xml:space="preserve"> (£0.</w:t>
      </w:r>
      <w:r w:rsidR="00293067">
        <w:rPr>
          <w:rFonts w:ascii="Arial" w:hAnsi="Arial" w:cs="Arial"/>
          <w:u w:val="single"/>
        </w:rPr>
        <w:t>020</w:t>
      </w:r>
      <w:r w:rsidR="00293067" w:rsidRPr="00703AEE">
        <w:rPr>
          <w:rFonts w:ascii="Arial" w:hAnsi="Arial" w:cs="Arial"/>
          <w:u w:val="single"/>
        </w:rPr>
        <w:t>m underspend)</w:t>
      </w:r>
      <w:r w:rsidR="00293067">
        <w:rPr>
          <w:rFonts w:ascii="Arial" w:hAnsi="Arial" w:cs="Arial"/>
          <w:u w:val="single"/>
        </w:rPr>
        <w:t>.</w:t>
      </w:r>
    </w:p>
    <w:p w:rsidR="00293067" w:rsidRDefault="00293067" w:rsidP="00293067">
      <w:pPr>
        <w:ind w:left="567"/>
        <w:jc w:val="both"/>
        <w:rPr>
          <w:rFonts w:ascii="Arial" w:hAnsi="Arial" w:cs="Arial"/>
        </w:rPr>
      </w:pPr>
      <w:r w:rsidRPr="00C07652">
        <w:rPr>
          <w:rFonts w:ascii="Arial" w:hAnsi="Arial" w:cs="Arial"/>
        </w:rPr>
        <w:tab/>
        <w:t>Th</w:t>
      </w:r>
      <w:r>
        <w:rPr>
          <w:rFonts w:ascii="Arial" w:hAnsi="Arial" w:cs="Arial"/>
        </w:rPr>
        <w:t>e</w:t>
      </w:r>
      <w:r w:rsidRPr="00C0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underspend </w:t>
      </w:r>
      <w:r w:rsidRPr="00C07652">
        <w:rPr>
          <w:rFonts w:ascii="Arial" w:hAnsi="Arial" w:cs="Arial"/>
        </w:rPr>
        <w:t>relates t</w:t>
      </w:r>
      <w:r>
        <w:rPr>
          <w:rFonts w:ascii="Arial" w:hAnsi="Arial" w:cs="Arial"/>
        </w:rPr>
        <w:t xml:space="preserve">o </w:t>
      </w:r>
      <w:r w:rsidR="00C0552B">
        <w:rPr>
          <w:rFonts w:ascii="Arial" w:hAnsi="Arial" w:cs="Arial"/>
        </w:rPr>
        <w:t xml:space="preserve">lower </w:t>
      </w:r>
      <w:r>
        <w:rPr>
          <w:rFonts w:ascii="Arial" w:hAnsi="Arial" w:cs="Arial"/>
        </w:rPr>
        <w:t xml:space="preserve">pupil transport costs </w:t>
      </w:r>
      <w:r w:rsidR="00C40BD6">
        <w:rPr>
          <w:rFonts w:ascii="Arial" w:hAnsi="Arial" w:cs="Arial"/>
        </w:rPr>
        <w:t xml:space="preserve">of £0.020m </w:t>
      </w:r>
      <w:r w:rsidR="00C0552B">
        <w:rPr>
          <w:rFonts w:ascii="Arial" w:hAnsi="Arial" w:cs="Arial"/>
        </w:rPr>
        <w:t>compared to budget.</w:t>
      </w:r>
    </w:p>
    <w:p w:rsidR="00293067" w:rsidRDefault="00293067" w:rsidP="00293067">
      <w:pPr>
        <w:ind w:left="567"/>
        <w:jc w:val="both"/>
        <w:rPr>
          <w:rFonts w:ascii="Arial" w:hAnsi="Arial" w:cs="Arial"/>
        </w:rPr>
      </w:pPr>
    </w:p>
    <w:p w:rsidR="00C0552B" w:rsidRDefault="00C0552B" w:rsidP="00C0552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School Fees</w:t>
      </w:r>
      <w:r w:rsidRPr="00703AEE">
        <w:rPr>
          <w:rFonts w:ascii="Arial" w:hAnsi="Arial" w:cs="Arial"/>
          <w:u w:val="single"/>
        </w:rPr>
        <w:t xml:space="preserve"> (£0.</w:t>
      </w:r>
      <w:r>
        <w:rPr>
          <w:rFonts w:ascii="Arial" w:hAnsi="Arial" w:cs="Arial"/>
          <w:u w:val="single"/>
        </w:rPr>
        <w:t>037</w:t>
      </w:r>
      <w:r w:rsidRPr="00703AEE">
        <w:rPr>
          <w:rFonts w:ascii="Arial" w:hAnsi="Arial" w:cs="Arial"/>
          <w:u w:val="single"/>
        </w:rPr>
        <w:t>m underspend)</w:t>
      </w:r>
      <w:r>
        <w:rPr>
          <w:rFonts w:ascii="Arial" w:hAnsi="Arial" w:cs="Arial"/>
          <w:u w:val="single"/>
        </w:rPr>
        <w:t>.</w:t>
      </w:r>
    </w:p>
    <w:p w:rsidR="00C40BD6" w:rsidRDefault="00C0552B" w:rsidP="00C40BD6">
      <w:pPr>
        <w:ind w:left="720"/>
        <w:rPr>
          <w:rFonts w:ascii="Arial" w:hAnsi="Arial" w:cs="Arial"/>
        </w:rPr>
      </w:pPr>
      <w:r w:rsidRPr="00C07652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C0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underspend </w:t>
      </w:r>
      <w:r w:rsidRPr="00C07652">
        <w:rPr>
          <w:rFonts w:ascii="Arial" w:hAnsi="Arial" w:cs="Arial"/>
        </w:rPr>
        <w:t>relates t</w:t>
      </w:r>
      <w:r>
        <w:rPr>
          <w:rFonts w:ascii="Arial" w:hAnsi="Arial" w:cs="Arial"/>
        </w:rPr>
        <w:t>o lower school fees costs</w:t>
      </w:r>
      <w:r w:rsidR="00C40BD6">
        <w:rPr>
          <w:rFonts w:ascii="Arial" w:hAnsi="Arial" w:cs="Arial"/>
        </w:rPr>
        <w:t xml:space="preserve"> of £0.116m received </w:t>
      </w:r>
      <w:r>
        <w:rPr>
          <w:rFonts w:ascii="Arial" w:hAnsi="Arial" w:cs="Arial"/>
        </w:rPr>
        <w:t>compared to</w:t>
      </w:r>
      <w:r w:rsidR="00C40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budget.</w:t>
      </w:r>
      <w:r w:rsidR="00407D30">
        <w:rPr>
          <w:rFonts w:ascii="Arial" w:hAnsi="Arial" w:cs="Arial"/>
        </w:rPr>
        <w:t xml:space="preserve">  </w:t>
      </w:r>
      <w:r w:rsidR="00C40BD6">
        <w:rPr>
          <w:rFonts w:ascii="Arial" w:hAnsi="Arial" w:cs="Arial"/>
        </w:rPr>
        <w:t xml:space="preserve">This is owing to </w:t>
      </w:r>
      <w:r w:rsidR="00C40BD6" w:rsidRPr="00897847">
        <w:rPr>
          <w:rFonts w:ascii="Arial" w:hAnsi="Arial" w:cs="Arial"/>
        </w:rPr>
        <w:t>change</w:t>
      </w:r>
      <w:r w:rsidR="00C40BD6">
        <w:rPr>
          <w:rFonts w:ascii="Arial" w:hAnsi="Arial" w:cs="Arial"/>
        </w:rPr>
        <w:t>s</w:t>
      </w:r>
      <w:r w:rsidR="00C40BD6" w:rsidRPr="00897847">
        <w:rPr>
          <w:rFonts w:ascii="Arial" w:hAnsi="Arial" w:cs="Arial"/>
        </w:rPr>
        <w:t xml:space="preserve"> as outreach places end and new students come in, also chang</w:t>
      </w:r>
      <w:r w:rsidR="00C40BD6">
        <w:rPr>
          <w:rFonts w:ascii="Arial" w:hAnsi="Arial" w:cs="Arial"/>
        </w:rPr>
        <w:t>es due to reintegration or new permanently excluded pupils starting with the Horizon School</w:t>
      </w:r>
      <w:r w:rsidR="00C40BD6" w:rsidRPr="00897847">
        <w:rPr>
          <w:rFonts w:ascii="Arial" w:hAnsi="Arial" w:cs="Arial"/>
        </w:rPr>
        <w:t>.</w:t>
      </w:r>
    </w:p>
    <w:p w:rsidR="00C40BD6" w:rsidRDefault="00C40BD6" w:rsidP="00C40BD6">
      <w:pPr>
        <w:ind w:left="720"/>
        <w:rPr>
          <w:rFonts w:ascii="Arial" w:hAnsi="Arial" w:cs="Arial"/>
        </w:rPr>
      </w:pPr>
    </w:p>
    <w:p w:rsidR="00C40BD6" w:rsidRDefault="00C40BD6" w:rsidP="00C40B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Clawback Income</w:t>
      </w:r>
      <w:r w:rsidRPr="00703AEE">
        <w:rPr>
          <w:rFonts w:ascii="Arial" w:hAnsi="Arial" w:cs="Arial"/>
          <w:u w:val="single"/>
        </w:rPr>
        <w:t xml:space="preserve"> (£0.</w:t>
      </w:r>
      <w:r>
        <w:rPr>
          <w:rFonts w:ascii="Arial" w:hAnsi="Arial" w:cs="Arial"/>
          <w:u w:val="single"/>
        </w:rPr>
        <w:t>092</w:t>
      </w:r>
      <w:r w:rsidRPr="00703AEE">
        <w:rPr>
          <w:rFonts w:ascii="Arial" w:hAnsi="Arial" w:cs="Arial"/>
          <w:u w:val="single"/>
        </w:rPr>
        <w:t xml:space="preserve">m </w:t>
      </w:r>
      <w:r>
        <w:rPr>
          <w:rFonts w:ascii="Arial" w:hAnsi="Arial" w:cs="Arial"/>
          <w:u w:val="single"/>
        </w:rPr>
        <w:t>over</w:t>
      </w:r>
      <w:r w:rsidRPr="00703AEE">
        <w:rPr>
          <w:rFonts w:ascii="Arial" w:hAnsi="Arial" w:cs="Arial"/>
          <w:u w:val="single"/>
        </w:rPr>
        <w:t>spend)</w:t>
      </w:r>
      <w:r>
        <w:rPr>
          <w:rFonts w:ascii="Arial" w:hAnsi="Arial" w:cs="Arial"/>
          <w:u w:val="single"/>
        </w:rPr>
        <w:t>.</w:t>
      </w:r>
    </w:p>
    <w:p w:rsidR="00C40BD6" w:rsidRDefault="007C06C9" w:rsidP="00C40B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relates to c</w:t>
      </w:r>
      <w:r w:rsidR="00C40BD6">
        <w:rPr>
          <w:rFonts w:ascii="Arial" w:hAnsi="Arial" w:cs="Arial"/>
        </w:rPr>
        <w:t>lawback of pupil funding for permanently excluded pupils</w:t>
      </w:r>
      <w:r>
        <w:rPr>
          <w:rFonts w:ascii="Arial" w:hAnsi="Arial" w:cs="Arial"/>
        </w:rPr>
        <w:t>. Clawback is</w:t>
      </w:r>
      <w:r w:rsidR="00C40BD6">
        <w:rPr>
          <w:rFonts w:ascii="Arial" w:hAnsi="Arial" w:cs="Arial"/>
        </w:rPr>
        <w:t xml:space="preserve"> only possible where the pupil was on a school roll during the latest funding period (i.e. financial year). This </w:t>
      </w:r>
      <w:r>
        <w:rPr>
          <w:rFonts w:ascii="Arial" w:hAnsi="Arial" w:cs="Arial"/>
        </w:rPr>
        <w:t>was</w:t>
      </w:r>
      <w:r w:rsidR="00C40BD6">
        <w:rPr>
          <w:rFonts w:ascii="Arial" w:hAnsi="Arial" w:cs="Arial"/>
        </w:rPr>
        <w:t xml:space="preserve"> not the position for a significant number of pupils being managed in the Horizon School or AP in 2020/21. Therefore, clawback income </w:t>
      </w:r>
      <w:r>
        <w:rPr>
          <w:rFonts w:ascii="Arial" w:hAnsi="Arial" w:cs="Arial"/>
        </w:rPr>
        <w:t>achieved was limited to</w:t>
      </w:r>
      <w:r w:rsidR="00C40BD6">
        <w:rPr>
          <w:rFonts w:ascii="Arial" w:hAnsi="Arial" w:cs="Arial"/>
        </w:rPr>
        <w:t xml:space="preserve"> £0.0</w:t>
      </w:r>
      <w:r w:rsidR="00CA4DB3">
        <w:rPr>
          <w:rFonts w:ascii="Arial" w:hAnsi="Arial" w:cs="Arial"/>
        </w:rPr>
        <w:t>58</w:t>
      </w:r>
      <w:r w:rsidR="00C40BD6">
        <w:rPr>
          <w:rFonts w:ascii="Arial" w:hAnsi="Arial" w:cs="Arial"/>
        </w:rPr>
        <w:t xml:space="preserve">m for the year, against a budget target of £0.150m. </w:t>
      </w:r>
    </w:p>
    <w:p w:rsidR="00C40BD6" w:rsidRDefault="00C40BD6" w:rsidP="00C40BD6">
      <w:pPr>
        <w:ind w:firstLine="720"/>
        <w:rPr>
          <w:rFonts w:ascii="Arial" w:hAnsi="Arial" w:cs="Arial"/>
        </w:rPr>
      </w:pPr>
    </w:p>
    <w:p w:rsidR="00C727E6" w:rsidRDefault="00C727E6" w:rsidP="00FD7B05">
      <w:pPr>
        <w:ind w:left="720" w:hanging="720"/>
        <w:rPr>
          <w:rFonts w:ascii="Arial" w:hAnsi="Arial" w:cs="Arial"/>
        </w:rPr>
      </w:pPr>
    </w:p>
    <w:p w:rsidR="00FC2304" w:rsidRDefault="00195739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D22808" w:rsidRPr="00D22808" w:rsidRDefault="00195739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5E2E8A">
        <w:rPr>
          <w:rFonts w:ascii="Arial" w:hAnsi="Arial" w:cs="Arial"/>
        </w:rPr>
        <w:t xml:space="preserve"> note the contents of the report.</w:t>
      </w:r>
    </w:p>
    <w:sectPr w:rsidR="00D22808" w:rsidRPr="00D2280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3E" w:rsidRDefault="0045093E" w:rsidP="00E471C6">
      <w:r>
        <w:separator/>
      </w:r>
    </w:p>
  </w:endnote>
  <w:endnote w:type="continuationSeparator" w:id="0">
    <w:p w:rsidR="0045093E" w:rsidRDefault="0045093E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3E" w:rsidRPr="00E471C6" w:rsidRDefault="0045093E" w:rsidP="00E471C6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3E" w:rsidRDefault="0045093E" w:rsidP="00E471C6">
      <w:r>
        <w:separator/>
      </w:r>
    </w:p>
  </w:footnote>
  <w:footnote w:type="continuationSeparator" w:id="0">
    <w:p w:rsidR="0045093E" w:rsidRDefault="0045093E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C788A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C788A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BEE"/>
    <w:multiLevelType w:val="hybridMultilevel"/>
    <w:tmpl w:val="80FE073C"/>
    <w:lvl w:ilvl="0" w:tplc="7BCA7882">
      <w:start w:val="4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7BA69F4"/>
    <w:multiLevelType w:val="hybridMultilevel"/>
    <w:tmpl w:val="E2C402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21BD7BDF"/>
    <w:multiLevelType w:val="multilevel"/>
    <w:tmpl w:val="CBD40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C940C7"/>
    <w:multiLevelType w:val="hybridMultilevel"/>
    <w:tmpl w:val="9AA069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4"/>
  </w:num>
  <w:num w:numId="8">
    <w:abstractNumId w:val="18"/>
  </w:num>
  <w:num w:numId="9">
    <w:abstractNumId w:val="2"/>
  </w:num>
  <w:num w:numId="10">
    <w:abstractNumId w:val="5"/>
  </w:num>
  <w:num w:numId="11">
    <w:abstractNumId w:val="15"/>
  </w:num>
  <w:num w:numId="12">
    <w:abstractNumId w:val="9"/>
  </w:num>
  <w:num w:numId="13">
    <w:abstractNumId w:val="20"/>
  </w:num>
  <w:num w:numId="14">
    <w:abstractNumId w:val="11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057EB"/>
    <w:rsid w:val="00011F8F"/>
    <w:rsid w:val="00013AF5"/>
    <w:rsid w:val="00015EDE"/>
    <w:rsid w:val="000403CC"/>
    <w:rsid w:val="00062C85"/>
    <w:rsid w:val="000921B9"/>
    <w:rsid w:val="000B032D"/>
    <w:rsid w:val="000F04A7"/>
    <w:rsid w:val="000F185B"/>
    <w:rsid w:val="000F6A86"/>
    <w:rsid w:val="0010706F"/>
    <w:rsid w:val="00131B1A"/>
    <w:rsid w:val="001346EA"/>
    <w:rsid w:val="0015598A"/>
    <w:rsid w:val="00172F8F"/>
    <w:rsid w:val="0018543D"/>
    <w:rsid w:val="00187032"/>
    <w:rsid w:val="00195739"/>
    <w:rsid w:val="001A1633"/>
    <w:rsid w:val="001B4E94"/>
    <w:rsid w:val="001C1CEC"/>
    <w:rsid w:val="001D58E7"/>
    <w:rsid w:val="001F2A93"/>
    <w:rsid w:val="001F530F"/>
    <w:rsid w:val="0022097E"/>
    <w:rsid w:val="0022639B"/>
    <w:rsid w:val="00226A2E"/>
    <w:rsid w:val="00243216"/>
    <w:rsid w:val="00246152"/>
    <w:rsid w:val="00260599"/>
    <w:rsid w:val="0026631E"/>
    <w:rsid w:val="00266910"/>
    <w:rsid w:val="00270F89"/>
    <w:rsid w:val="00273464"/>
    <w:rsid w:val="00276FC8"/>
    <w:rsid w:val="00282753"/>
    <w:rsid w:val="00287C2A"/>
    <w:rsid w:val="00293067"/>
    <w:rsid w:val="002A47DD"/>
    <w:rsid w:val="002A5C86"/>
    <w:rsid w:val="002B1195"/>
    <w:rsid w:val="002B4790"/>
    <w:rsid w:val="002E08A2"/>
    <w:rsid w:val="002E693C"/>
    <w:rsid w:val="002F069C"/>
    <w:rsid w:val="002F150B"/>
    <w:rsid w:val="003055E8"/>
    <w:rsid w:val="00311B40"/>
    <w:rsid w:val="003162D0"/>
    <w:rsid w:val="003204CE"/>
    <w:rsid w:val="00325B8B"/>
    <w:rsid w:val="0033037F"/>
    <w:rsid w:val="00343904"/>
    <w:rsid w:val="00381270"/>
    <w:rsid w:val="00385AB3"/>
    <w:rsid w:val="003871F0"/>
    <w:rsid w:val="0039065B"/>
    <w:rsid w:val="003A3E4F"/>
    <w:rsid w:val="003B27BE"/>
    <w:rsid w:val="003C21DE"/>
    <w:rsid w:val="003C3884"/>
    <w:rsid w:val="003D0916"/>
    <w:rsid w:val="003D0DA4"/>
    <w:rsid w:val="003F1151"/>
    <w:rsid w:val="00400A90"/>
    <w:rsid w:val="0040116D"/>
    <w:rsid w:val="00407D30"/>
    <w:rsid w:val="00414EA3"/>
    <w:rsid w:val="004265CD"/>
    <w:rsid w:val="0043458F"/>
    <w:rsid w:val="0045093E"/>
    <w:rsid w:val="00452D84"/>
    <w:rsid w:val="00484477"/>
    <w:rsid w:val="004853D7"/>
    <w:rsid w:val="004A3200"/>
    <w:rsid w:val="004C5FD4"/>
    <w:rsid w:val="004D3D48"/>
    <w:rsid w:val="004E2A00"/>
    <w:rsid w:val="004E3A18"/>
    <w:rsid w:val="004E4B4D"/>
    <w:rsid w:val="004E4BFB"/>
    <w:rsid w:val="004E613E"/>
    <w:rsid w:val="00501251"/>
    <w:rsid w:val="00507549"/>
    <w:rsid w:val="0051311E"/>
    <w:rsid w:val="0053725B"/>
    <w:rsid w:val="0054743C"/>
    <w:rsid w:val="0057428A"/>
    <w:rsid w:val="005962C8"/>
    <w:rsid w:val="005A49A7"/>
    <w:rsid w:val="005B4F82"/>
    <w:rsid w:val="005C0AB2"/>
    <w:rsid w:val="005C1EF2"/>
    <w:rsid w:val="005C2C41"/>
    <w:rsid w:val="005C6065"/>
    <w:rsid w:val="005D1A77"/>
    <w:rsid w:val="005D205F"/>
    <w:rsid w:val="005E2E8A"/>
    <w:rsid w:val="005E5F47"/>
    <w:rsid w:val="00602F79"/>
    <w:rsid w:val="00614598"/>
    <w:rsid w:val="006266F4"/>
    <w:rsid w:val="006306AD"/>
    <w:rsid w:val="0063449C"/>
    <w:rsid w:val="00646A3E"/>
    <w:rsid w:val="00653A1D"/>
    <w:rsid w:val="00663FCF"/>
    <w:rsid w:val="006732F1"/>
    <w:rsid w:val="00687FED"/>
    <w:rsid w:val="00690DBF"/>
    <w:rsid w:val="006A3E9F"/>
    <w:rsid w:val="006B68F2"/>
    <w:rsid w:val="006D415F"/>
    <w:rsid w:val="006D4B67"/>
    <w:rsid w:val="006E3489"/>
    <w:rsid w:val="00703A3D"/>
    <w:rsid w:val="00703AEE"/>
    <w:rsid w:val="00713A5E"/>
    <w:rsid w:val="00725E24"/>
    <w:rsid w:val="00727711"/>
    <w:rsid w:val="00732263"/>
    <w:rsid w:val="0073581B"/>
    <w:rsid w:val="007409F8"/>
    <w:rsid w:val="00741227"/>
    <w:rsid w:val="00741D19"/>
    <w:rsid w:val="00744CFF"/>
    <w:rsid w:val="00750B22"/>
    <w:rsid w:val="0075449A"/>
    <w:rsid w:val="0075722A"/>
    <w:rsid w:val="007608C2"/>
    <w:rsid w:val="00780177"/>
    <w:rsid w:val="007B247B"/>
    <w:rsid w:val="007C06C9"/>
    <w:rsid w:val="007D7C94"/>
    <w:rsid w:val="007F24B5"/>
    <w:rsid w:val="00822771"/>
    <w:rsid w:val="0086108B"/>
    <w:rsid w:val="008911E4"/>
    <w:rsid w:val="00895B8D"/>
    <w:rsid w:val="00897847"/>
    <w:rsid w:val="008A1AEB"/>
    <w:rsid w:val="008A226A"/>
    <w:rsid w:val="008A6C9E"/>
    <w:rsid w:val="008B4E92"/>
    <w:rsid w:val="008D1A79"/>
    <w:rsid w:val="008E7E00"/>
    <w:rsid w:val="008F01FE"/>
    <w:rsid w:val="00911F8A"/>
    <w:rsid w:val="009204DC"/>
    <w:rsid w:val="009357D5"/>
    <w:rsid w:val="00936635"/>
    <w:rsid w:val="00944FF6"/>
    <w:rsid w:val="00963D3D"/>
    <w:rsid w:val="00980EB8"/>
    <w:rsid w:val="009856E9"/>
    <w:rsid w:val="0098703B"/>
    <w:rsid w:val="0099785C"/>
    <w:rsid w:val="009C16A3"/>
    <w:rsid w:val="009D0919"/>
    <w:rsid w:val="009D3D8F"/>
    <w:rsid w:val="009D51D6"/>
    <w:rsid w:val="009D7961"/>
    <w:rsid w:val="009E43D5"/>
    <w:rsid w:val="009F26E4"/>
    <w:rsid w:val="009F60F5"/>
    <w:rsid w:val="00A47C7C"/>
    <w:rsid w:val="00A61498"/>
    <w:rsid w:val="00A65284"/>
    <w:rsid w:val="00A673B8"/>
    <w:rsid w:val="00A8059B"/>
    <w:rsid w:val="00B00997"/>
    <w:rsid w:val="00B0690C"/>
    <w:rsid w:val="00B120D0"/>
    <w:rsid w:val="00B1548E"/>
    <w:rsid w:val="00B4045F"/>
    <w:rsid w:val="00B43848"/>
    <w:rsid w:val="00B51317"/>
    <w:rsid w:val="00B62D8A"/>
    <w:rsid w:val="00B63511"/>
    <w:rsid w:val="00B6758B"/>
    <w:rsid w:val="00B72C8B"/>
    <w:rsid w:val="00B97826"/>
    <w:rsid w:val="00BA44EA"/>
    <w:rsid w:val="00BB1870"/>
    <w:rsid w:val="00BD4F0F"/>
    <w:rsid w:val="00BE56CB"/>
    <w:rsid w:val="00BE6D2A"/>
    <w:rsid w:val="00BF0180"/>
    <w:rsid w:val="00C00559"/>
    <w:rsid w:val="00C01566"/>
    <w:rsid w:val="00C01A7E"/>
    <w:rsid w:val="00C026FB"/>
    <w:rsid w:val="00C02934"/>
    <w:rsid w:val="00C0552B"/>
    <w:rsid w:val="00C07652"/>
    <w:rsid w:val="00C10331"/>
    <w:rsid w:val="00C12D6E"/>
    <w:rsid w:val="00C27453"/>
    <w:rsid w:val="00C30CF7"/>
    <w:rsid w:val="00C3215F"/>
    <w:rsid w:val="00C40BD6"/>
    <w:rsid w:val="00C434FA"/>
    <w:rsid w:val="00C601E2"/>
    <w:rsid w:val="00C63765"/>
    <w:rsid w:val="00C66BA8"/>
    <w:rsid w:val="00C727E6"/>
    <w:rsid w:val="00C73162"/>
    <w:rsid w:val="00C83C5D"/>
    <w:rsid w:val="00C9166F"/>
    <w:rsid w:val="00C93284"/>
    <w:rsid w:val="00CA3206"/>
    <w:rsid w:val="00CA4DB3"/>
    <w:rsid w:val="00CB5907"/>
    <w:rsid w:val="00CC75F9"/>
    <w:rsid w:val="00CF0825"/>
    <w:rsid w:val="00CF0D3B"/>
    <w:rsid w:val="00D20C22"/>
    <w:rsid w:val="00D22808"/>
    <w:rsid w:val="00D87564"/>
    <w:rsid w:val="00D904CF"/>
    <w:rsid w:val="00D91329"/>
    <w:rsid w:val="00DA41FA"/>
    <w:rsid w:val="00DA58DA"/>
    <w:rsid w:val="00DB1989"/>
    <w:rsid w:val="00DB5D4E"/>
    <w:rsid w:val="00DC3355"/>
    <w:rsid w:val="00DC788A"/>
    <w:rsid w:val="00DD0E20"/>
    <w:rsid w:val="00E0381A"/>
    <w:rsid w:val="00E120DB"/>
    <w:rsid w:val="00E33420"/>
    <w:rsid w:val="00E37C97"/>
    <w:rsid w:val="00E409C8"/>
    <w:rsid w:val="00E471C6"/>
    <w:rsid w:val="00E520E0"/>
    <w:rsid w:val="00E57780"/>
    <w:rsid w:val="00E60B25"/>
    <w:rsid w:val="00E62BA1"/>
    <w:rsid w:val="00E732ED"/>
    <w:rsid w:val="00E744A1"/>
    <w:rsid w:val="00E864EF"/>
    <w:rsid w:val="00E90F23"/>
    <w:rsid w:val="00ED4F3E"/>
    <w:rsid w:val="00EE5AC5"/>
    <w:rsid w:val="00EF34DD"/>
    <w:rsid w:val="00EF5032"/>
    <w:rsid w:val="00F01A48"/>
    <w:rsid w:val="00F02884"/>
    <w:rsid w:val="00F2265C"/>
    <w:rsid w:val="00F545DB"/>
    <w:rsid w:val="00F80CB5"/>
    <w:rsid w:val="00F8207A"/>
    <w:rsid w:val="00F86583"/>
    <w:rsid w:val="00F94AE0"/>
    <w:rsid w:val="00FA2FC6"/>
    <w:rsid w:val="00FB6C7E"/>
    <w:rsid w:val="00FC2304"/>
    <w:rsid w:val="00FD7B05"/>
    <w:rsid w:val="00FE1D0F"/>
    <w:rsid w:val="00FE5B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94ED-A604-40B0-AE1A-AE8A0F3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Sandra Shears</cp:lastModifiedBy>
  <cp:revision>38</cp:revision>
  <cp:lastPrinted>2020-07-13T16:12:00Z</cp:lastPrinted>
  <dcterms:created xsi:type="dcterms:W3CDTF">2020-11-10T18:24:00Z</dcterms:created>
  <dcterms:modified xsi:type="dcterms:W3CDTF">2021-06-03T15:49:00Z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-1555011771</vt:i4>
  </property>
  <property fmtid="{D5CDD505-2E9C-101B-9397-08002B2CF9AE}" pid="3" name="_NewReviewCycle">
    <vt:lpwstr/>
  </property>
  <property fmtid="{D5CDD505-2E9C-101B-9397-08002B2CF9AE}" pid="4" name="_EmailSubject">
    <vt:lpwstr>Schools Forum - 10th June 2021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-1303288334</vt:i4>
  </property>
</Properties>
</file>