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F0" w:rsidRPr="00107F84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6A7FFC">
        <w:rPr>
          <w:rFonts w:ascii="Arial" w:hAnsi="Arial" w:cs="Arial"/>
          <w:b/>
          <w:bCs/>
        </w:rPr>
        <w:t>10 June 2021</w:t>
      </w:r>
    </w:p>
    <w:p w:rsidR="003871F0" w:rsidRPr="00BD5981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013AF5">
        <w:rPr>
          <w:rFonts w:ascii="Arial" w:hAnsi="Arial" w:cs="Arial"/>
          <w:b/>
          <w:bCs/>
        </w:rPr>
        <w:t xml:space="preserve">Danielle Swainston (Assistant </w:t>
      </w:r>
      <w:r>
        <w:rPr>
          <w:rFonts w:ascii="Arial" w:hAnsi="Arial" w:cs="Arial"/>
          <w:b/>
          <w:bCs/>
        </w:rPr>
        <w:t>Director</w:t>
      </w:r>
      <w:r w:rsidR="00013AF5">
        <w:rPr>
          <w:rFonts w:ascii="Arial" w:hAnsi="Arial" w:cs="Arial"/>
          <w:b/>
          <w:bCs/>
        </w:rPr>
        <w:t xml:space="preserve"> – Joint Commissioning)</w:t>
      </w:r>
    </w:p>
    <w:p w:rsidR="001F2A93" w:rsidRDefault="001F2A93"/>
    <w:p w:rsidR="003871F0" w:rsidRDefault="00E471C6" w:rsidP="003871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Item </w:t>
      </w:r>
      <w:r w:rsidR="006B1BD7">
        <w:rPr>
          <w:rFonts w:ascii="Arial" w:hAnsi="Arial" w:cs="Arial"/>
          <w:b/>
          <w:u w:val="single"/>
        </w:rPr>
        <w:t>4</w:t>
      </w:r>
      <w:bookmarkStart w:id="0" w:name="_GoBack"/>
      <w:bookmarkEnd w:id="0"/>
      <w:r w:rsidR="0026691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: </w:t>
      </w:r>
      <w:r w:rsidR="003871F0" w:rsidRPr="003871F0">
        <w:rPr>
          <w:rFonts w:ascii="Arial" w:hAnsi="Arial" w:cs="Arial"/>
          <w:b/>
          <w:u w:val="single"/>
        </w:rPr>
        <w:t>High</w:t>
      </w:r>
      <w:r w:rsidR="003871F0">
        <w:rPr>
          <w:rFonts w:ascii="Arial" w:hAnsi="Arial" w:cs="Arial"/>
          <w:b/>
          <w:u w:val="single"/>
        </w:rPr>
        <w:t xml:space="preserve"> </w:t>
      </w:r>
      <w:r w:rsidR="009E43D5">
        <w:rPr>
          <w:rFonts w:ascii="Arial" w:hAnsi="Arial" w:cs="Arial"/>
          <w:b/>
          <w:u w:val="single"/>
        </w:rPr>
        <w:t>Needs</w:t>
      </w:r>
      <w:r w:rsidR="00013AF5">
        <w:rPr>
          <w:rFonts w:ascii="Arial" w:hAnsi="Arial" w:cs="Arial"/>
          <w:b/>
          <w:u w:val="single"/>
        </w:rPr>
        <w:t xml:space="preserve"> </w:t>
      </w:r>
      <w:r w:rsidR="001346EA">
        <w:rPr>
          <w:rFonts w:ascii="Arial" w:hAnsi="Arial" w:cs="Arial"/>
          <w:b/>
          <w:u w:val="single"/>
        </w:rPr>
        <w:t xml:space="preserve">Block </w:t>
      </w:r>
      <w:r w:rsidR="006A7FFC">
        <w:rPr>
          <w:rFonts w:ascii="Arial" w:hAnsi="Arial" w:cs="Arial"/>
          <w:b/>
          <w:u w:val="single"/>
        </w:rPr>
        <w:t>Final Outturn 2020/21</w:t>
      </w:r>
    </w:p>
    <w:p w:rsidR="003871F0" w:rsidRDefault="003871F0" w:rsidP="003871F0">
      <w:pPr>
        <w:jc w:val="center"/>
        <w:rPr>
          <w:rFonts w:ascii="Arial" w:hAnsi="Arial" w:cs="Arial"/>
          <w:b/>
          <w:u w:val="single"/>
        </w:rPr>
      </w:pPr>
    </w:p>
    <w:p w:rsidR="0026631E" w:rsidRPr="0026631E" w:rsidRDefault="0026631E" w:rsidP="0026631E">
      <w:pPr>
        <w:pStyle w:val="ListParagraph"/>
        <w:rPr>
          <w:rFonts w:ascii="Arial" w:hAnsi="Arial" w:cs="Arial"/>
        </w:rPr>
      </w:pPr>
    </w:p>
    <w:p w:rsidR="003871F0" w:rsidRPr="003871F0" w:rsidRDefault="003871F0" w:rsidP="002F069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Introduction</w:t>
      </w:r>
    </w:p>
    <w:p w:rsidR="009357D5" w:rsidRDefault="009357D5" w:rsidP="003871F0">
      <w:pPr>
        <w:ind w:left="360"/>
        <w:rPr>
          <w:rFonts w:ascii="Arial" w:hAnsi="Arial" w:cs="Arial"/>
        </w:rPr>
      </w:pPr>
    </w:p>
    <w:p w:rsidR="003871F0" w:rsidRPr="00732263" w:rsidRDefault="003871F0" w:rsidP="006732F1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 w:rsidRPr="00732263">
        <w:rPr>
          <w:rFonts w:ascii="Arial" w:hAnsi="Arial" w:cs="Arial"/>
        </w:rPr>
        <w:t>The purpose of the rep</w:t>
      </w:r>
      <w:r w:rsidR="00B72C8B">
        <w:rPr>
          <w:rFonts w:ascii="Arial" w:hAnsi="Arial" w:cs="Arial"/>
        </w:rPr>
        <w:t xml:space="preserve">ort is to </w:t>
      </w:r>
      <w:r w:rsidR="00507549">
        <w:rPr>
          <w:rFonts w:ascii="Arial" w:hAnsi="Arial" w:cs="Arial"/>
        </w:rPr>
        <w:t>confirm the final</w:t>
      </w:r>
      <w:r w:rsidRPr="00732263">
        <w:rPr>
          <w:rFonts w:ascii="Arial" w:hAnsi="Arial" w:cs="Arial"/>
        </w:rPr>
        <w:t xml:space="preserve"> </w:t>
      </w:r>
      <w:r w:rsidR="006A7FFC">
        <w:rPr>
          <w:rFonts w:ascii="Arial" w:hAnsi="Arial" w:cs="Arial"/>
        </w:rPr>
        <w:t>2020/21</w:t>
      </w:r>
      <w:r w:rsidR="00507549">
        <w:rPr>
          <w:rFonts w:ascii="Arial" w:hAnsi="Arial" w:cs="Arial"/>
        </w:rPr>
        <w:t xml:space="preserve"> outturn </w:t>
      </w:r>
      <w:r w:rsidR="009E43D5">
        <w:rPr>
          <w:rFonts w:ascii="Arial" w:hAnsi="Arial" w:cs="Arial"/>
        </w:rPr>
        <w:t>for high needs services.</w:t>
      </w:r>
    </w:p>
    <w:p w:rsidR="0026631E" w:rsidRDefault="0026631E" w:rsidP="0026631E">
      <w:pPr>
        <w:pStyle w:val="ListParagraph"/>
        <w:rPr>
          <w:rFonts w:ascii="Arial" w:hAnsi="Arial" w:cs="Arial"/>
          <w:b/>
          <w:u w:val="single"/>
        </w:rPr>
      </w:pPr>
    </w:p>
    <w:p w:rsidR="003871F0" w:rsidRPr="0026631E" w:rsidRDefault="003871F0" w:rsidP="0026631E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26631E">
        <w:rPr>
          <w:rFonts w:ascii="Arial" w:hAnsi="Arial" w:cs="Arial"/>
          <w:b/>
          <w:u w:val="single"/>
        </w:rPr>
        <w:t>Background</w:t>
      </w:r>
    </w:p>
    <w:p w:rsidR="009357D5" w:rsidRDefault="009357D5" w:rsidP="009357D5">
      <w:pPr>
        <w:pStyle w:val="ListParagraph"/>
        <w:rPr>
          <w:rFonts w:ascii="Arial" w:hAnsi="Arial" w:cs="Arial"/>
          <w:b/>
          <w:u w:val="single"/>
        </w:rPr>
      </w:pPr>
    </w:p>
    <w:p w:rsidR="00ED4F3E" w:rsidRPr="0018543D" w:rsidRDefault="00013AF5" w:rsidP="0040116D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Financial pressures affecting the provision of services for Special Educational Needs and Disabilities (SEND) have been reported to Schools’ Forum </w:t>
      </w:r>
      <w:r w:rsidR="006A7FFC">
        <w:rPr>
          <w:rFonts w:ascii="Arial" w:hAnsi="Arial" w:cs="Arial"/>
        </w:rPr>
        <w:t>at regular intervals during 2020/21</w:t>
      </w:r>
      <w:r w:rsidR="0067700C">
        <w:rPr>
          <w:rFonts w:ascii="Arial" w:hAnsi="Arial" w:cs="Arial"/>
        </w:rPr>
        <w:t>, and previous financial years.</w:t>
      </w:r>
    </w:p>
    <w:p w:rsidR="0018543D" w:rsidRPr="0018543D" w:rsidRDefault="0018543D" w:rsidP="0018543D">
      <w:pPr>
        <w:pStyle w:val="ListParagraph"/>
        <w:ind w:left="786"/>
        <w:rPr>
          <w:rFonts w:ascii="Arial" w:hAnsi="Arial" w:cs="Arial"/>
          <w:color w:val="FF0000"/>
        </w:rPr>
      </w:pPr>
    </w:p>
    <w:p w:rsidR="001346EA" w:rsidRPr="00ED4F3E" w:rsidRDefault="001346EA" w:rsidP="001346EA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Under disapplication, the authority transferred</w:t>
      </w:r>
      <w:r w:rsidR="006A7FFC">
        <w:rPr>
          <w:rFonts w:ascii="Arial" w:hAnsi="Arial" w:cs="Arial"/>
        </w:rPr>
        <w:t xml:space="preserve"> £0.329</w:t>
      </w:r>
      <w:r>
        <w:rPr>
          <w:rFonts w:ascii="Arial" w:hAnsi="Arial" w:cs="Arial"/>
        </w:rPr>
        <w:t>m from the Schools Block</w:t>
      </w:r>
      <w:r w:rsidR="006A7FFC">
        <w:rPr>
          <w:rFonts w:ascii="Arial" w:hAnsi="Arial" w:cs="Arial"/>
        </w:rPr>
        <w:t xml:space="preserve"> to the High Needs Block in 2020/21</w:t>
      </w:r>
      <w:r>
        <w:rPr>
          <w:rFonts w:ascii="Arial" w:hAnsi="Arial" w:cs="Arial"/>
        </w:rPr>
        <w:t xml:space="preserve"> to support </w:t>
      </w:r>
      <w:r w:rsidR="006A7F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projected funding shortfall.</w:t>
      </w:r>
    </w:p>
    <w:p w:rsidR="001346EA" w:rsidRPr="001346EA" w:rsidRDefault="001346EA" w:rsidP="001346EA">
      <w:pPr>
        <w:pStyle w:val="ListParagraph"/>
        <w:rPr>
          <w:rFonts w:ascii="Arial" w:hAnsi="Arial" w:cs="Arial"/>
        </w:rPr>
      </w:pPr>
    </w:p>
    <w:p w:rsidR="0018543D" w:rsidRPr="00ED4F3E" w:rsidRDefault="0018543D" w:rsidP="0040116D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The latest projection presented to Schools’ Forum esti</w:t>
      </w:r>
      <w:r w:rsidR="007446CE">
        <w:rPr>
          <w:rFonts w:ascii="Arial" w:hAnsi="Arial" w:cs="Arial"/>
        </w:rPr>
        <w:t>mated a year-end und</w:t>
      </w:r>
      <w:r w:rsidR="001346EA">
        <w:rPr>
          <w:rFonts w:ascii="Arial" w:hAnsi="Arial" w:cs="Arial"/>
        </w:rPr>
        <w:t>ersp</w:t>
      </w:r>
      <w:r w:rsidR="007446CE">
        <w:rPr>
          <w:rFonts w:ascii="Arial" w:hAnsi="Arial" w:cs="Arial"/>
        </w:rPr>
        <w:t>end</w:t>
      </w:r>
      <w:r w:rsidR="001346EA">
        <w:rPr>
          <w:rFonts w:ascii="Arial" w:hAnsi="Arial" w:cs="Arial"/>
        </w:rPr>
        <w:t xml:space="preserve"> of £0</w:t>
      </w:r>
      <w:r w:rsidR="007446CE">
        <w:rPr>
          <w:rFonts w:ascii="Arial" w:hAnsi="Arial" w:cs="Arial"/>
        </w:rPr>
        <w:t>.224m (mid-case).</w:t>
      </w:r>
    </w:p>
    <w:p w:rsidR="0040116D" w:rsidRPr="002F069C" w:rsidRDefault="00ED4F3E" w:rsidP="00ED4F3E">
      <w:pPr>
        <w:pStyle w:val="ListParagraph"/>
        <w:ind w:left="786"/>
        <w:rPr>
          <w:rFonts w:ascii="Arial" w:hAnsi="Arial" w:cs="Arial"/>
          <w:color w:val="FF0000"/>
        </w:rPr>
      </w:pPr>
      <w:r w:rsidRPr="00ED4F3E">
        <w:rPr>
          <w:rFonts w:ascii="Arial" w:hAnsi="Arial" w:cs="Arial"/>
          <w:color w:val="FF0000"/>
        </w:rPr>
        <w:t xml:space="preserve"> </w:t>
      </w:r>
    </w:p>
    <w:p w:rsidR="002F069C" w:rsidRPr="004E4BFB" w:rsidRDefault="001346EA" w:rsidP="0040116D">
      <w:p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="00741D19" w:rsidRPr="00741D19">
        <w:rPr>
          <w:rFonts w:ascii="Arial" w:hAnsi="Arial" w:cs="Arial"/>
          <w:b/>
        </w:rPr>
        <w:t xml:space="preserve">. </w:t>
      </w:r>
      <w:r w:rsidR="00741D19" w:rsidRPr="00741D19">
        <w:rPr>
          <w:rFonts w:ascii="Arial" w:hAnsi="Arial" w:cs="Arial"/>
          <w:b/>
        </w:rPr>
        <w:tab/>
      </w:r>
      <w:r w:rsidR="00741D19" w:rsidRPr="00741D19">
        <w:rPr>
          <w:rFonts w:ascii="Arial" w:hAnsi="Arial" w:cs="Arial"/>
          <w:b/>
        </w:rPr>
        <w:tab/>
      </w:r>
      <w:r w:rsidR="007446CE">
        <w:rPr>
          <w:rFonts w:ascii="Arial" w:hAnsi="Arial" w:cs="Arial"/>
          <w:b/>
          <w:u w:val="single"/>
        </w:rPr>
        <w:t>2020/21</w:t>
      </w:r>
      <w:r w:rsidR="002F069C" w:rsidRPr="004E4BF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Outturn</w:t>
      </w:r>
    </w:p>
    <w:p w:rsidR="0051311E" w:rsidRDefault="0051311E" w:rsidP="0040116D">
      <w:pPr>
        <w:ind w:left="360" w:hanging="360"/>
        <w:rPr>
          <w:rFonts w:ascii="Arial" w:hAnsi="Arial" w:cs="Arial"/>
        </w:rPr>
      </w:pPr>
    </w:p>
    <w:p w:rsidR="008A226A" w:rsidRDefault="002B4790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9D7961">
        <w:rPr>
          <w:rFonts w:ascii="Arial" w:hAnsi="Arial" w:cs="Arial"/>
        </w:rPr>
        <w:t xml:space="preserve">The </w:t>
      </w:r>
      <w:r w:rsidR="00DD0E20">
        <w:rPr>
          <w:rFonts w:ascii="Arial" w:hAnsi="Arial" w:cs="Arial"/>
        </w:rPr>
        <w:t xml:space="preserve">final outturn </w:t>
      </w:r>
      <w:r w:rsidR="007446CE">
        <w:rPr>
          <w:rFonts w:ascii="Arial" w:hAnsi="Arial" w:cs="Arial"/>
        </w:rPr>
        <w:t>for 2020/21</w:t>
      </w:r>
      <w:r w:rsidR="003B27BE">
        <w:rPr>
          <w:rFonts w:ascii="Arial" w:hAnsi="Arial" w:cs="Arial"/>
        </w:rPr>
        <w:t xml:space="preserve"> </w:t>
      </w:r>
      <w:r w:rsidR="00DD0E20">
        <w:rPr>
          <w:rFonts w:ascii="Arial" w:hAnsi="Arial" w:cs="Arial"/>
        </w:rPr>
        <w:t xml:space="preserve">is </w:t>
      </w:r>
      <w:r w:rsidR="007446CE">
        <w:rPr>
          <w:rFonts w:ascii="Arial" w:hAnsi="Arial" w:cs="Arial"/>
        </w:rPr>
        <w:t>an und</w:t>
      </w:r>
      <w:r w:rsidR="001346EA">
        <w:rPr>
          <w:rFonts w:ascii="Arial" w:hAnsi="Arial" w:cs="Arial"/>
        </w:rPr>
        <w:t xml:space="preserve">erspend of </w:t>
      </w:r>
      <w:r w:rsidR="00A9711B">
        <w:rPr>
          <w:rFonts w:ascii="Arial" w:hAnsi="Arial" w:cs="Arial"/>
          <w:b/>
        </w:rPr>
        <w:t>£0.848</w:t>
      </w:r>
      <w:r w:rsidR="00187032" w:rsidRPr="004E4B4D">
        <w:rPr>
          <w:rFonts w:ascii="Arial" w:hAnsi="Arial" w:cs="Arial"/>
          <w:b/>
        </w:rPr>
        <w:t>m</w:t>
      </w:r>
      <w:r w:rsidR="00C02A66">
        <w:rPr>
          <w:rFonts w:ascii="Arial" w:hAnsi="Arial" w:cs="Arial"/>
          <w:b/>
        </w:rPr>
        <w:t xml:space="preserve">, </w:t>
      </w:r>
      <w:r w:rsidR="00C02A66" w:rsidRPr="00C02A66">
        <w:rPr>
          <w:rFonts w:ascii="Arial" w:hAnsi="Arial" w:cs="Arial"/>
        </w:rPr>
        <w:t xml:space="preserve">exceeding the best-case outturn projection reported at quarter 3 of </w:t>
      </w:r>
      <w:r w:rsidR="00C02A66">
        <w:rPr>
          <w:rFonts w:ascii="Arial" w:hAnsi="Arial" w:cs="Arial"/>
        </w:rPr>
        <w:t xml:space="preserve">a </w:t>
      </w:r>
      <w:r w:rsidR="00C02A66" w:rsidRPr="00C02A66">
        <w:rPr>
          <w:rFonts w:ascii="Arial" w:hAnsi="Arial" w:cs="Arial"/>
        </w:rPr>
        <w:t>£0.385m underspend</w:t>
      </w:r>
      <w:r w:rsidR="00187032">
        <w:rPr>
          <w:rFonts w:ascii="Arial" w:hAnsi="Arial" w:cs="Arial"/>
        </w:rPr>
        <w:t xml:space="preserve">. This is summarised by each area of spend in the table below. </w:t>
      </w:r>
      <w:r w:rsidR="008A226A">
        <w:rPr>
          <w:rFonts w:ascii="Arial" w:hAnsi="Arial" w:cs="Arial"/>
        </w:rPr>
        <w:t xml:space="preserve">The paragraphs that follow explain the </w:t>
      </w:r>
      <w:r w:rsidR="003B27BE">
        <w:rPr>
          <w:rFonts w:ascii="Arial" w:hAnsi="Arial" w:cs="Arial"/>
        </w:rPr>
        <w:t xml:space="preserve">main </w:t>
      </w:r>
      <w:r w:rsidR="008A226A">
        <w:rPr>
          <w:rFonts w:ascii="Arial" w:hAnsi="Arial" w:cs="Arial"/>
        </w:rPr>
        <w:t>change</w:t>
      </w:r>
      <w:r w:rsidR="003B27BE">
        <w:rPr>
          <w:rFonts w:ascii="Arial" w:hAnsi="Arial" w:cs="Arial"/>
        </w:rPr>
        <w:t>s</w:t>
      </w:r>
      <w:r w:rsidR="008A226A">
        <w:rPr>
          <w:rFonts w:ascii="Arial" w:hAnsi="Arial" w:cs="Arial"/>
        </w:rPr>
        <w:t xml:space="preserve"> in </w:t>
      </w:r>
      <w:r w:rsidR="00980EB8">
        <w:rPr>
          <w:rFonts w:ascii="Arial" w:hAnsi="Arial" w:cs="Arial"/>
        </w:rPr>
        <w:t>the final outturn</w:t>
      </w:r>
      <w:r w:rsidR="008A226A">
        <w:rPr>
          <w:rFonts w:ascii="Arial" w:hAnsi="Arial" w:cs="Arial"/>
        </w:rPr>
        <w:t xml:space="preserve"> from the last update.</w:t>
      </w:r>
    </w:p>
    <w:p w:rsidR="004E4BFB" w:rsidRDefault="004E4BFB" w:rsidP="0040116D">
      <w:pPr>
        <w:ind w:left="360" w:hanging="360"/>
        <w:rPr>
          <w:rFonts w:ascii="Arial" w:hAnsi="Arial" w:cs="Arial"/>
        </w:rPr>
      </w:pPr>
    </w:p>
    <w:tbl>
      <w:tblPr>
        <w:tblW w:w="9248" w:type="dxa"/>
        <w:tblInd w:w="641" w:type="dxa"/>
        <w:tblLook w:val="04A0" w:firstRow="1" w:lastRow="0" w:firstColumn="1" w:lastColumn="0" w:noHBand="0" w:noVBand="1"/>
      </w:tblPr>
      <w:tblGrid>
        <w:gridCol w:w="3402"/>
        <w:gridCol w:w="1735"/>
        <w:gridCol w:w="1985"/>
        <w:gridCol w:w="2126"/>
      </w:tblGrid>
      <w:tr w:rsidR="00936635" w:rsidRPr="006670F8" w:rsidTr="00A435D3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36635" w:rsidRPr="006670F8" w:rsidRDefault="007446CE" w:rsidP="00A435D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High Needs Outturn 2020/21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36635" w:rsidRDefault="007446CE" w:rsidP="00A435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Revised Budget 2020/21</w:t>
            </w:r>
          </w:p>
          <w:p w:rsidR="00936635" w:rsidRPr="006670F8" w:rsidRDefault="00936635" w:rsidP="00A435D3">
            <w:pPr>
              <w:jc w:val="center"/>
              <w:rPr>
                <w:rFonts w:ascii="Arial" w:hAnsi="Arial" w:cs="Arial"/>
                <w:color w:val="FFFFFF"/>
              </w:rPr>
            </w:pPr>
            <w:r w:rsidRPr="006670F8"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</w:tcPr>
          <w:p w:rsidR="00936635" w:rsidRDefault="007446CE" w:rsidP="00A435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Final Outturn 2020/21</w:t>
            </w:r>
          </w:p>
          <w:p w:rsidR="00A435D3" w:rsidRDefault="00A435D3" w:rsidP="00A435D3">
            <w:pPr>
              <w:jc w:val="center"/>
              <w:rPr>
                <w:rFonts w:ascii="Arial" w:hAnsi="Arial" w:cs="Arial"/>
                <w:color w:val="FFFFFF"/>
              </w:rPr>
            </w:pPr>
          </w:p>
          <w:p w:rsidR="00936635" w:rsidRPr="006670F8" w:rsidRDefault="00936635" w:rsidP="00A435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</w:tcPr>
          <w:p w:rsidR="00936635" w:rsidRPr="00C434FA" w:rsidRDefault="00936635" w:rsidP="00A435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Final</w:t>
            </w:r>
          </w:p>
          <w:p w:rsidR="00936635" w:rsidRDefault="007446CE" w:rsidP="00A435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Variance 2020/21</w:t>
            </w:r>
          </w:p>
          <w:p w:rsidR="00A435D3" w:rsidRDefault="00A435D3" w:rsidP="00A435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Overspend (+) / Underspend (-)</w:t>
            </w:r>
          </w:p>
          <w:p w:rsidR="00936635" w:rsidRPr="006670F8" w:rsidRDefault="00936635" w:rsidP="00A435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</w:tr>
      <w:tr w:rsidR="00936635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place funding</w:t>
            </w:r>
          </w:p>
        </w:tc>
        <w:tc>
          <w:tcPr>
            <w:tcW w:w="1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1.36</w:t>
            </w:r>
            <w:r w:rsidR="00F01A4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1.366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936635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rPr>
                <w:rFonts w:ascii="Arial" w:hAnsi="Arial" w:cs="Arial"/>
                <w:color w:val="000000"/>
              </w:rPr>
            </w:pPr>
            <w:r w:rsidRPr="0026631E">
              <w:rPr>
                <w:rFonts w:ascii="Arial" w:hAnsi="Arial" w:cs="Arial"/>
                <w:color w:val="000000"/>
                <w:sz w:val="22"/>
                <w:szCs w:val="22"/>
              </w:rPr>
              <w:t>Independent school fees</w:t>
            </w:r>
          </w:p>
        </w:tc>
        <w:tc>
          <w:tcPr>
            <w:tcW w:w="1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2.755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2.405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5D3" w:rsidRPr="00A435D3" w:rsidRDefault="00173D76" w:rsidP="00A435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(0.350)</w:t>
            </w:r>
          </w:p>
        </w:tc>
      </w:tr>
      <w:tr w:rsidR="00936635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 of authority top-ups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(0.133</w:t>
            </w:r>
            <w:r w:rsidR="005C1EF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187032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32" w:rsidRDefault="00187032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Exclusions</w:t>
            </w:r>
            <w:r w:rsidR="00173D76">
              <w:rPr>
                <w:rFonts w:ascii="Arial" w:hAnsi="Arial" w:cs="Arial"/>
                <w:color w:val="000000"/>
                <w:sz w:val="22"/>
                <w:szCs w:val="22"/>
              </w:rPr>
              <w:t xml:space="preserve"> (incl Horizon School)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32" w:rsidRPr="006D415F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032" w:rsidRPr="006D415F" w:rsidRDefault="008B1D3F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032" w:rsidRPr="006D415F" w:rsidRDefault="008B1D3F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(0.055</w:t>
            </w:r>
            <w:r w:rsidR="006D415F" w:rsidRPr="006D415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173D76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76" w:rsidRDefault="00173D76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SEMH Free School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76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D76" w:rsidRPr="006D415F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D76" w:rsidRPr="006D415F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(0.063)</w:t>
            </w:r>
          </w:p>
        </w:tc>
      </w:tr>
      <w:tr w:rsidR="00936635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Top-up funding and support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Pr="0026631E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4.656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8B1D3F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8B1D3F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(0.406</w:t>
            </w:r>
            <w:r w:rsidR="00173D7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36635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Post-16 top-up funding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187032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0.903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0.183</w:t>
            </w:r>
          </w:p>
        </w:tc>
      </w:tr>
      <w:tr w:rsidR="00936635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Support services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5" w:rsidRDefault="00936635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5C1EF2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635" w:rsidRPr="00F01A48" w:rsidRDefault="00173D76" w:rsidP="00980E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936635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936635" w:rsidRPr="00212490" w:rsidRDefault="00936635" w:rsidP="007446C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Total Outturn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936635" w:rsidRPr="0026631E" w:rsidRDefault="00173D76" w:rsidP="002B479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11.186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36635" w:rsidRPr="005C1EF2" w:rsidRDefault="00936635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:rsidR="005C1EF2" w:rsidRPr="005C1EF2" w:rsidRDefault="00173D76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10.362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5C1EF2" w:rsidRPr="005C1EF2" w:rsidRDefault="005C1EF2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:rsidR="00936635" w:rsidRPr="005C1EF2" w:rsidRDefault="00C10D33" w:rsidP="00980EB8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r w:rsidR="00173D7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0.824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C10D33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10D33" w:rsidRPr="0039065B" w:rsidRDefault="00C10D33" w:rsidP="00C10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 year adjustment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0D33" w:rsidRPr="0039065B" w:rsidRDefault="00C10D33" w:rsidP="00C10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0D33" w:rsidRPr="005C1EF2" w:rsidRDefault="00C10D33" w:rsidP="00C10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(0.023)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0D33" w:rsidRPr="005C1EF2" w:rsidRDefault="00C10D33" w:rsidP="00C10D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(0.023)</w:t>
            </w:r>
          </w:p>
        </w:tc>
      </w:tr>
      <w:tr w:rsidR="00C10D33" w:rsidRPr="006670F8" w:rsidTr="00A435D3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</w:tcPr>
          <w:p w:rsidR="00C10D33" w:rsidRDefault="00C10D33" w:rsidP="00C10D3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Final position 2020/21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10D33" w:rsidRPr="0026631E" w:rsidRDefault="00C10D33" w:rsidP="00C10D33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11.186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C10D33" w:rsidRPr="005C1EF2" w:rsidRDefault="00C10D33" w:rsidP="00C10D33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10.339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C10D33" w:rsidRPr="005C1EF2" w:rsidRDefault="00C10D33" w:rsidP="00C10D33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(0.847)</w:t>
            </w:r>
          </w:p>
        </w:tc>
      </w:tr>
    </w:tbl>
    <w:p w:rsidR="0051311E" w:rsidRDefault="0051311E" w:rsidP="0040116D">
      <w:pPr>
        <w:ind w:left="360" w:hanging="360"/>
        <w:rPr>
          <w:rFonts w:ascii="Arial" w:hAnsi="Arial" w:cs="Arial"/>
        </w:rPr>
      </w:pPr>
    </w:p>
    <w:p w:rsidR="00A435D3" w:rsidRDefault="00A435D3" w:rsidP="00F2265C">
      <w:pPr>
        <w:ind w:left="709" w:hanging="709"/>
        <w:rPr>
          <w:rFonts w:ascii="Arial" w:hAnsi="Arial" w:cs="Arial"/>
        </w:rPr>
      </w:pPr>
    </w:p>
    <w:p w:rsidR="00A435D3" w:rsidRDefault="00A435D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6D2A" w:rsidRPr="00B63511" w:rsidRDefault="00C12D6E" w:rsidP="00F2265C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>4</w:t>
      </w:r>
      <w:r w:rsidR="00B63511">
        <w:rPr>
          <w:rFonts w:ascii="Arial" w:hAnsi="Arial" w:cs="Arial"/>
        </w:rPr>
        <w:t>.1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 xml:space="preserve">Local authority place funding </w:t>
      </w:r>
      <w:r w:rsidR="004E4B4D">
        <w:rPr>
          <w:rFonts w:ascii="Arial" w:hAnsi="Arial" w:cs="Arial"/>
          <w:u w:val="single"/>
        </w:rPr>
        <w:t>(on budget</w:t>
      </w:r>
      <w:r w:rsidR="00C601E2">
        <w:rPr>
          <w:rFonts w:ascii="Arial" w:hAnsi="Arial" w:cs="Arial"/>
          <w:u w:val="single"/>
        </w:rPr>
        <w:t>).</w:t>
      </w:r>
      <w:r w:rsidR="00732263" w:rsidRPr="002F069C">
        <w:rPr>
          <w:rFonts w:ascii="Arial" w:hAnsi="Arial" w:cs="Arial"/>
          <w:b/>
          <w:u w:val="single"/>
        </w:rPr>
        <w:br/>
      </w:r>
      <w:r w:rsidR="00C601E2">
        <w:rPr>
          <w:rFonts w:ascii="Arial" w:hAnsi="Arial" w:cs="Arial"/>
        </w:rPr>
        <w:t xml:space="preserve">The </w:t>
      </w:r>
      <w:r w:rsidR="00911F8A">
        <w:rPr>
          <w:rFonts w:ascii="Arial" w:hAnsi="Arial" w:cs="Arial"/>
        </w:rPr>
        <w:t>final outturn was in line with the reported projection.</w:t>
      </w:r>
    </w:p>
    <w:p w:rsidR="002F150B" w:rsidRDefault="002F150B" w:rsidP="004E4BFB">
      <w:pPr>
        <w:ind w:left="360"/>
        <w:rPr>
          <w:rFonts w:ascii="Arial" w:hAnsi="Arial" w:cs="Arial"/>
        </w:rPr>
      </w:pPr>
    </w:p>
    <w:p w:rsidR="00F2265C" w:rsidRPr="006E3489" w:rsidRDefault="00C12D6E">
      <w:pPr>
        <w:pStyle w:val="ListParagraph"/>
        <w:ind w:left="709" w:hanging="64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.2</w:t>
      </w:r>
      <w:r w:rsidR="00B63511">
        <w:rPr>
          <w:rFonts w:ascii="Arial" w:hAnsi="Arial" w:cs="Arial"/>
        </w:rPr>
        <w:tab/>
      </w:r>
      <w:r w:rsidR="00E0381A" w:rsidRPr="006E3489">
        <w:rPr>
          <w:rFonts w:ascii="Arial" w:hAnsi="Arial" w:cs="Arial"/>
          <w:u w:val="single"/>
        </w:rPr>
        <w:t>Independent</w:t>
      </w:r>
      <w:r w:rsidR="004C197D">
        <w:rPr>
          <w:rFonts w:ascii="Arial" w:hAnsi="Arial" w:cs="Arial"/>
          <w:u w:val="single"/>
        </w:rPr>
        <w:t xml:space="preserve"> school fees (£0.350</w:t>
      </w:r>
      <w:r w:rsidR="00B120D0" w:rsidRPr="006E3489">
        <w:rPr>
          <w:rFonts w:ascii="Arial" w:hAnsi="Arial" w:cs="Arial"/>
          <w:u w:val="single"/>
        </w:rPr>
        <w:t>m und</w:t>
      </w:r>
      <w:r w:rsidR="00F2265C" w:rsidRPr="006E3489">
        <w:rPr>
          <w:rFonts w:ascii="Arial" w:hAnsi="Arial" w:cs="Arial"/>
          <w:u w:val="single"/>
        </w:rPr>
        <w:t>erspend)</w:t>
      </w:r>
    </w:p>
    <w:p w:rsidR="00C601E2" w:rsidRDefault="00C601E2" w:rsidP="00CA12A0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The final outturn position </w:t>
      </w:r>
      <w:r w:rsidR="00C02A66">
        <w:rPr>
          <w:rFonts w:ascii="Arial" w:hAnsi="Arial" w:cs="Arial"/>
        </w:rPr>
        <w:t>was a significant improvement</w:t>
      </w:r>
      <w:r>
        <w:rPr>
          <w:rFonts w:ascii="Arial" w:hAnsi="Arial" w:cs="Arial"/>
        </w:rPr>
        <w:t xml:space="preserve"> f</w:t>
      </w:r>
      <w:r w:rsidR="00CA12A0">
        <w:rPr>
          <w:rFonts w:ascii="Arial" w:hAnsi="Arial" w:cs="Arial"/>
        </w:rPr>
        <w:t>rom the previously reported best case underspend projection of £0.034</w:t>
      </w:r>
      <w:r>
        <w:rPr>
          <w:rFonts w:ascii="Arial" w:hAnsi="Arial" w:cs="Arial"/>
        </w:rPr>
        <w:t xml:space="preserve">m. </w:t>
      </w:r>
      <w:r w:rsidR="00336C6B">
        <w:rPr>
          <w:rFonts w:ascii="Arial" w:hAnsi="Arial" w:cs="Arial"/>
        </w:rPr>
        <w:t>The key reasons for the improved position are:</w:t>
      </w:r>
    </w:p>
    <w:p w:rsidR="00336C6B" w:rsidRDefault="00336C6B" w:rsidP="00CA12A0">
      <w:pPr>
        <w:pStyle w:val="ListParagraph"/>
        <w:ind w:left="709"/>
        <w:rPr>
          <w:rFonts w:ascii="Arial" w:hAnsi="Arial" w:cs="Arial"/>
        </w:rPr>
      </w:pPr>
    </w:p>
    <w:p w:rsidR="00336C6B" w:rsidRDefault="00336C6B" w:rsidP="00336C6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The projection at quarter 3 included an estimate of £0.140m for potential new provision starts or price increases during the final quarter – only £</w:t>
      </w:r>
      <w:r w:rsidR="00A435D3">
        <w:rPr>
          <w:rFonts w:ascii="Arial" w:hAnsi="Arial" w:cs="Arial"/>
        </w:rPr>
        <w:t>0.060m of</w:t>
      </w:r>
      <w:r>
        <w:rPr>
          <w:rFonts w:ascii="Arial" w:hAnsi="Arial" w:cs="Arial"/>
        </w:rPr>
        <w:t xml:space="preserve"> costs materialised;</w:t>
      </w:r>
    </w:p>
    <w:p w:rsidR="00336C6B" w:rsidRDefault="00336C6B" w:rsidP="00336C6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Backdated provision end dates for 2 post-16 pupils were confirmed during quarter 4. The end dates resulted in a saving of £0.124m against the latest projections;</w:t>
      </w:r>
    </w:p>
    <w:p w:rsidR="00336C6B" w:rsidRDefault="00336C6B" w:rsidP="00336C6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 small number of children were planned to start at independent provision in early January but could not be placed until mid-March. This resulted in a saving of £0.077m against the latest projections;</w:t>
      </w:r>
    </w:p>
    <w:p w:rsidR="00336C6B" w:rsidRPr="00654E01" w:rsidRDefault="00336C6B" w:rsidP="00336C6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 number of prices from providers were confirmed in the final quarter and were lower than originally anticipated for planning purposes. This resulted in a saving of £0.082m against the latest projections.</w:t>
      </w:r>
    </w:p>
    <w:p w:rsidR="00C601E2" w:rsidRDefault="00C601E2" w:rsidP="00F2265C">
      <w:pPr>
        <w:pStyle w:val="ListParagraph"/>
        <w:ind w:left="709"/>
        <w:rPr>
          <w:rFonts w:ascii="Arial" w:hAnsi="Arial" w:cs="Arial"/>
        </w:rPr>
      </w:pPr>
    </w:p>
    <w:p w:rsidR="00F2265C" w:rsidRDefault="00C12D6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.3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 xml:space="preserve">Out of </w:t>
      </w:r>
      <w:r w:rsidR="004C197D">
        <w:rPr>
          <w:rFonts w:ascii="Arial" w:hAnsi="Arial" w:cs="Arial"/>
          <w:u w:val="single"/>
        </w:rPr>
        <w:t>authority top-ups (£0.133</w:t>
      </w:r>
      <w:r w:rsidR="00400A90">
        <w:rPr>
          <w:rFonts w:ascii="Arial" w:hAnsi="Arial" w:cs="Arial"/>
          <w:u w:val="single"/>
        </w:rPr>
        <w:t>m und</w:t>
      </w:r>
      <w:r w:rsidR="00B120D0">
        <w:rPr>
          <w:rFonts w:ascii="Arial" w:hAnsi="Arial" w:cs="Arial"/>
          <w:u w:val="single"/>
        </w:rPr>
        <w:t>erspend</w:t>
      </w:r>
      <w:r w:rsidR="00F2265C" w:rsidRPr="00F2265C">
        <w:rPr>
          <w:rFonts w:ascii="Arial" w:hAnsi="Arial" w:cs="Arial"/>
          <w:u w:val="single"/>
        </w:rPr>
        <w:t>)</w:t>
      </w:r>
    </w:p>
    <w:p w:rsidR="00732263" w:rsidRDefault="00400A90" w:rsidP="004E4B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final outturn </w:t>
      </w:r>
      <w:r w:rsidR="00CA12A0">
        <w:rPr>
          <w:rFonts w:ascii="Arial" w:hAnsi="Arial" w:cs="Arial"/>
        </w:rPr>
        <w:t xml:space="preserve">improved from the previously reported best case underspend projection of £0.060m. </w:t>
      </w:r>
      <w:r w:rsidR="0067778A">
        <w:rPr>
          <w:rFonts w:ascii="Arial" w:hAnsi="Arial" w:cs="Arial"/>
        </w:rPr>
        <w:t>The improvement was largely linked to final charges up to provision end dates that were not confirmed until year-end. The final charges were lower overall than anticipated during the year.</w:t>
      </w:r>
    </w:p>
    <w:p w:rsidR="0022097E" w:rsidRPr="00732263" w:rsidRDefault="0022097E" w:rsidP="004E4BFB">
      <w:pPr>
        <w:pStyle w:val="ListParagraph"/>
        <w:rPr>
          <w:rFonts w:ascii="Arial" w:hAnsi="Arial" w:cs="Arial"/>
        </w:rPr>
      </w:pPr>
    </w:p>
    <w:p w:rsidR="00400A90" w:rsidRDefault="00C12D6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.4</w:t>
      </w:r>
      <w:r w:rsidR="00B63511">
        <w:rPr>
          <w:rFonts w:ascii="Arial" w:hAnsi="Arial" w:cs="Arial"/>
        </w:rPr>
        <w:tab/>
      </w:r>
      <w:r w:rsidR="00400A90" w:rsidRPr="00400A90">
        <w:rPr>
          <w:rFonts w:ascii="Arial" w:hAnsi="Arial" w:cs="Arial"/>
          <w:u w:val="single"/>
        </w:rPr>
        <w:t>Exclusions</w:t>
      </w:r>
      <w:r w:rsidR="004C197D">
        <w:rPr>
          <w:rFonts w:ascii="Arial" w:hAnsi="Arial" w:cs="Arial"/>
          <w:u w:val="single"/>
        </w:rPr>
        <w:t xml:space="preserve">, </w:t>
      </w:r>
      <w:r w:rsidR="008B1D3F">
        <w:rPr>
          <w:rFonts w:ascii="Arial" w:hAnsi="Arial" w:cs="Arial"/>
          <w:u w:val="single"/>
        </w:rPr>
        <w:t>including Horizon School (£0.055</w:t>
      </w:r>
      <w:r w:rsidR="003C3884">
        <w:rPr>
          <w:rFonts w:ascii="Arial" w:hAnsi="Arial" w:cs="Arial"/>
          <w:u w:val="single"/>
        </w:rPr>
        <w:t>m und</w:t>
      </w:r>
      <w:r w:rsidR="00400A90">
        <w:rPr>
          <w:rFonts w:ascii="Arial" w:hAnsi="Arial" w:cs="Arial"/>
          <w:u w:val="single"/>
        </w:rPr>
        <w:t>erspend)</w:t>
      </w:r>
    </w:p>
    <w:p w:rsidR="003C3884" w:rsidRDefault="003C3884" w:rsidP="00400A9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This budget head funds the cost of alternative provision for permanently excluded pupils and receives income from AWPU clawback from schools for those pupils that are permanently excluded. </w:t>
      </w:r>
      <w:r w:rsidR="00400A90">
        <w:rPr>
          <w:rFonts w:ascii="Arial" w:hAnsi="Arial" w:cs="Arial"/>
        </w:rPr>
        <w:t>The final outturn was an improve</w:t>
      </w:r>
      <w:r>
        <w:rPr>
          <w:rFonts w:ascii="Arial" w:hAnsi="Arial" w:cs="Arial"/>
        </w:rPr>
        <w:t xml:space="preserve">d position from the projected </w:t>
      </w:r>
      <w:r w:rsidR="00CA12A0">
        <w:rPr>
          <w:rFonts w:ascii="Arial" w:hAnsi="Arial" w:cs="Arial"/>
        </w:rPr>
        <w:t>best case</w:t>
      </w:r>
      <w:r>
        <w:rPr>
          <w:rFonts w:ascii="Arial" w:hAnsi="Arial" w:cs="Arial"/>
        </w:rPr>
        <w:t xml:space="preserve"> overspend</w:t>
      </w:r>
      <w:r w:rsidR="00CA12A0">
        <w:rPr>
          <w:rFonts w:ascii="Arial" w:hAnsi="Arial" w:cs="Arial"/>
        </w:rPr>
        <w:t xml:space="preserve"> of £0.018m</w:t>
      </w:r>
      <w:r w:rsidR="00400A90" w:rsidRPr="00F8207A">
        <w:rPr>
          <w:rFonts w:ascii="Arial" w:hAnsi="Arial" w:cs="Arial"/>
        </w:rPr>
        <w:t xml:space="preserve">. </w:t>
      </w:r>
      <w:r w:rsidR="00CA12A0">
        <w:rPr>
          <w:rFonts w:ascii="Arial" w:hAnsi="Arial" w:cs="Arial"/>
        </w:rPr>
        <w:t>As Horizon School returned a final underspend of £0.090m in 2020/21, the required contribution to fund the school from the High Needs Block was reduced by this amount</w:t>
      </w:r>
      <w:r w:rsidR="00400A90" w:rsidRPr="00F8207A">
        <w:rPr>
          <w:rFonts w:ascii="Arial" w:hAnsi="Arial" w:cs="Arial"/>
        </w:rPr>
        <w:t>.</w:t>
      </w:r>
      <w:r w:rsidR="00F8207A" w:rsidRPr="00F8207A">
        <w:rPr>
          <w:rFonts w:ascii="Arial" w:hAnsi="Arial" w:cs="Arial"/>
        </w:rPr>
        <w:t xml:space="preserve"> </w:t>
      </w:r>
    </w:p>
    <w:p w:rsidR="003C3884" w:rsidRDefault="003C3884" w:rsidP="003C3884">
      <w:pPr>
        <w:rPr>
          <w:rFonts w:ascii="Arial" w:hAnsi="Arial" w:cs="Arial"/>
        </w:rPr>
      </w:pPr>
    </w:p>
    <w:p w:rsidR="003C3884" w:rsidRDefault="003C3884" w:rsidP="003C388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</w:r>
      <w:r w:rsidR="004C197D">
        <w:rPr>
          <w:rFonts w:ascii="Arial" w:hAnsi="Arial" w:cs="Arial"/>
          <w:u w:val="single"/>
        </w:rPr>
        <w:t>SEMH Free School (£0.063m und</w:t>
      </w:r>
      <w:r>
        <w:rPr>
          <w:rFonts w:ascii="Arial" w:hAnsi="Arial" w:cs="Arial"/>
          <w:u w:val="single"/>
        </w:rPr>
        <w:t>erspend)</w:t>
      </w:r>
    </w:p>
    <w:p w:rsidR="00400A90" w:rsidRDefault="004C197D" w:rsidP="003C3884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The final outturn was in line with the reported projection.</w:t>
      </w:r>
    </w:p>
    <w:p w:rsidR="00400A90" w:rsidRDefault="00400A90">
      <w:pPr>
        <w:ind w:left="709" w:hanging="709"/>
        <w:rPr>
          <w:rFonts w:ascii="Arial" w:hAnsi="Arial" w:cs="Arial"/>
        </w:rPr>
      </w:pPr>
    </w:p>
    <w:p w:rsidR="00F2265C" w:rsidRDefault="006D415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4.6</w:t>
      </w:r>
      <w:r w:rsidR="00400A90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>Top-u</w:t>
      </w:r>
      <w:r w:rsidR="008B1D3F">
        <w:rPr>
          <w:rFonts w:ascii="Arial" w:hAnsi="Arial" w:cs="Arial"/>
          <w:u w:val="single"/>
        </w:rPr>
        <w:t>p funding and support (£0.406</w:t>
      </w:r>
      <w:r w:rsidR="004C197D">
        <w:rPr>
          <w:rFonts w:ascii="Arial" w:hAnsi="Arial" w:cs="Arial"/>
          <w:u w:val="single"/>
        </w:rPr>
        <w:t>m und</w:t>
      </w:r>
      <w:r w:rsidR="00F2265C" w:rsidRPr="00F2265C">
        <w:rPr>
          <w:rFonts w:ascii="Arial" w:hAnsi="Arial" w:cs="Arial"/>
          <w:u w:val="single"/>
        </w:rPr>
        <w:t>erspend)</w:t>
      </w:r>
    </w:p>
    <w:p w:rsidR="004A3200" w:rsidRDefault="00400A90" w:rsidP="00F2265C">
      <w:pPr>
        <w:ind w:left="709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The final </w:t>
      </w:r>
      <w:r w:rsidR="008B1D3F">
        <w:rPr>
          <w:rFonts w:ascii="Arial" w:hAnsi="Arial" w:cs="Arial"/>
        </w:rPr>
        <w:t>underspend improved from</w:t>
      </w:r>
      <w:r w:rsidR="00CA12A0">
        <w:rPr>
          <w:rFonts w:ascii="Arial" w:hAnsi="Arial" w:cs="Arial"/>
        </w:rPr>
        <w:t xml:space="preserve"> the latest reported best case underspend projection of £0.313m. </w:t>
      </w:r>
      <w:r w:rsidR="00C02A66" w:rsidRPr="00C02A66">
        <w:rPr>
          <w:rFonts w:ascii="Arial" w:hAnsi="Arial" w:cs="Arial"/>
        </w:rPr>
        <w:t xml:space="preserve">The 2020/21 service level agreement with Middlesbrough Council for HI / VI support was confirmed at £0.015m less than expected at the year-end. Clawback of place funding for ARP places as at 31 March resulted in income of £0.026m back to the High Needs Block.  </w:t>
      </w:r>
    </w:p>
    <w:p w:rsidR="00385AB3" w:rsidRDefault="00385AB3">
      <w:pPr>
        <w:ind w:left="709" w:hanging="709"/>
        <w:rPr>
          <w:rFonts w:ascii="Arial" w:hAnsi="Arial" w:cs="Arial"/>
        </w:rPr>
      </w:pPr>
    </w:p>
    <w:p w:rsidR="00F2265C" w:rsidRDefault="00C12D6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D415F">
        <w:rPr>
          <w:rFonts w:ascii="Arial" w:hAnsi="Arial" w:cs="Arial"/>
        </w:rPr>
        <w:t>.7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>Po</w:t>
      </w:r>
      <w:r w:rsidR="004C197D">
        <w:rPr>
          <w:rFonts w:ascii="Arial" w:hAnsi="Arial" w:cs="Arial"/>
          <w:u w:val="single"/>
        </w:rPr>
        <w:t>st-16 top-up funding (£0.183</w:t>
      </w:r>
      <w:r w:rsidR="00311B40">
        <w:rPr>
          <w:rFonts w:ascii="Arial" w:hAnsi="Arial" w:cs="Arial"/>
          <w:u w:val="single"/>
        </w:rPr>
        <w:t>m ov</w:t>
      </w:r>
      <w:r w:rsidR="00725E24">
        <w:rPr>
          <w:rFonts w:ascii="Arial" w:hAnsi="Arial" w:cs="Arial"/>
          <w:u w:val="single"/>
        </w:rPr>
        <w:t>erspend</w:t>
      </w:r>
      <w:r w:rsidR="00F2265C" w:rsidRPr="00F2265C">
        <w:rPr>
          <w:rFonts w:ascii="Arial" w:hAnsi="Arial" w:cs="Arial"/>
          <w:u w:val="single"/>
        </w:rPr>
        <w:t>)</w:t>
      </w:r>
    </w:p>
    <w:p w:rsidR="004C5FD4" w:rsidRDefault="00CA12A0" w:rsidP="00F2265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At quarter 3, projected overspending ranged from £0.089m best case to £0.144m worse case. The final position shows an overspend of £0.183m. </w:t>
      </w:r>
      <w:r w:rsidR="00C02A66">
        <w:rPr>
          <w:rFonts w:ascii="Arial" w:hAnsi="Arial" w:cs="Arial"/>
        </w:rPr>
        <w:t xml:space="preserve">Remaining element 3 payments linked to 19-25 year old top-ups were not finalised until quarter 4. </w:t>
      </w:r>
    </w:p>
    <w:p w:rsidR="004C5FD4" w:rsidRDefault="004C5FD4">
      <w:pPr>
        <w:rPr>
          <w:rFonts w:ascii="Arial" w:hAnsi="Arial" w:cs="Arial"/>
        </w:rPr>
      </w:pPr>
    </w:p>
    <w:p w:rsidR="00F2265C" w:rsidRDefault="006D415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4.8</w:t>
      </w:r>
      <w:r w:rsidR="00C12D6E">
        <w:rPr>
          <w:rFonts w:ascii="Arial" w:hAnsi="Arial" w:cs="Arial"/>
        </w:rPr>
        <w:tab/>
      </w:r>
      <w:r w:rsidR="005E2E8A">
        <w:rPr>
          <w:rFonts w:ascii="Arial" w:hAnsi="Arial" w:cs="Arial"/>
          <w:u w:val="single"/>
        </w:rPr>
        <w:t>Support Services (nil variance</w:t>
      </w:r>
      <w:r w:rsidR="00F2265C" w:rsidRPr="004A3200">
        <w:rPr>
          <w:rFonts w:ascii="Arial" w:hAnsi="Arial" w:cs="Arial"/>
          <w:u w:val="single"/>
        </w:rPr>
        <w:t>)</w:t>
      </w:r>
    </w:p>
    <w:p w:rsidR="00D22808" w:rsidRDefault="00F2265C" w:rsidP="00F2265C">
      <w:pPr>
        <w:ind w:left="709"/>
        <w:rPr>
          <w:rFonts w:ascii="Arial" w:hAnsi="Arial" w:cs="Arial"/>
          <w:noProof/>
          <w:color w:val="000000" w:themeColor="text1"/>
          <w:lang w:eastAsia="en-GB"/>
        </w:rPr>
      </w:pPr>
      <w:r>
        <w:rPr>
          <w:rFonts w:ascii="Arial" w:hAnsi="Arial" w:cs="Arial"/>
        </w:rPr>
        <w:t xml:space="preserve">The contribution from high needs to local authority support services </w:t>
      </w:r>
      <w:r w:rsidR="00311B40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maintained at budget level, with inflationary increases being absorbed by the local authority.</w:t>
      </w:r>
      <w:r w:rsidR="00D22808" w:rsidRPr="00BA251F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</w:p>
    <w:p w:rsidR="00C434FA" w:rsidRDefault="00C434FA" w:rsidP="00F2265C">
      <w:pPr>
        <w:ind w:left="709"/>
        <w:rPr>
          <w:rFonts w:ascii="Arial" w:hAnsi="Arial" w:cs="Arial"/>
          <w:noProof/>
          <w:color w:val="000000" w:themeColor="text1"/>
          <w:lang w:eastAsia="en-GB"/>
        </w:rPr>
      </w:pPr>
    </w:p>
    <w:p w:rsidR="00DD0E20" w:rsidRDefault="006D415F" w:rsidP="005E2E8A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  <w:r>
        <w:rPr>
          <w:rFonts w:ascii="Arial" w:hAnsi="Arial" w:cs="Arial"/>
          <w:noProof/>
          <w:color w:val="000000" w:themeColor="text1"/>
          <w:lang w:eastAsia="en-GB"/>
        </w:rPr>
        <w:lastRenderedPageBreak/>
        <w:t>4.9</w:t>
      </w:r>
      <w:r w:rsidR="00C434FA">
        <w:rPr>
          <w:rFonts w:ascii="Arial" w:hAnsi="Arial" w:cs="Arial"/>
          <w:noProof/>
          <w:color w:val="000000" w:themeColor="text1"/>
          <w:lang w:eastAsia="en-GB"/>
        </w:rPr>
        <w:tab/>
      </w:r>
      <w:r w:rsidR="005E2E8A">
        <w:rPr>
          <w:rFonts w:ascii="Arial" w:hAnsi="Arial" w:cs="Arial"/>
          <w:noProof/>
          <w:color w:val="000000" w:themeColor="text1"/>
          <w:lang w:eastAsia="en-GB"/>
        </w:rPr>
        <w:tab/>
      </w:r>
      <w:r w:rsidR="004C197D">
        <w:rPr>
          <w:rFonts w:ascii="Arial" w:hAnsi="Arial" w:cs="Arial"/>
          <w:noProof/>
          <w:color w:val="000000" w:themeColor="text1"/>
          <w:lang w:eastAsia="en-GB"/>
        </w:rPr>
        <w:t xml:space="preserve">The final </w:t>
      </w:r>
      <w:r w:rsidR="0067700C">
        <w:rPr>
          <w:rFonts w:ascii="Arial" w:hAnsi="Arial" w:cs="Arial"/>
          <w:noProof/>
          <w:color w:val="000000" w:themeColor="text1"/>
          <w:lang w:eastAsia="en-GB"/>
        </w:rPr>
        <w:t>under</w:t>
      </w:r>
      <w:r w:rsidR="004C197D">
        <w:rPr>
          <w:rFonts w:ascii="Arial" w:hAnsi="Arial" w:cs="Arial"/>
          <w:noProof/>
          <w:color w:val="000000" w:themeColor="text1"/>
          <w:lang w:eastAsia="en-GB"/>
        </w:rPr>
        <w:t>spend of £0.848m for 2020/21 has been transferred</w:t>
      </w:r>
      <w:r w:rsidR="00311B40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  <w:r w:rsidR="0067700C">
        <w:rPr>
          <w:rFonts w:ascii="Arial" w:hAnsi="Arial" w:cs="Arial"/>
          <w:noProof/>
          <w:color w:val="000000" w:themeColor="text1"/>
          <w:lang w:eastAsia="en-GB"/>
        </w:rPr>
        <w:t xml:space="preserve">to </w:t>
      </w:r>
      <w:r w:rsidR="00311B40">
        <w:rPr>
          <w:rFonts w:ascii="Arial" w:hAnsi="Arial" w:cs="Arial"/>
          <w:noProof/>
          <w:color w:val="000000" w:themeColor="text1"/>
          <w:lang w:eastAsia="en-GB"/>
        </w:rPr>
        <w:t>Dedicated Schools Grant (DSG) reserves</w:t>
      </w:r>
      <w:r w:rsidR="00725E24">
        <w:rPr>
          <w:rFonts w:ascii="Arial" w:hAnsi="Arial" w:cs="Arial"/>
          <w:noProof/>
          <w:color w:val="000000" w:themeColor="text1"/>
          <w:lang w:eastAsia="en-GB"/>
        </w:rPr>
        <w:t>.</w:t>
      </w:r>
      <w:r w:rsidR="00311B40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  <w:r w:rsidR="004C197D">
        <w:rPr>
          <w:rFonts w:ascii="Arial" w:hAnsi="Arial" w:cs="Arial"/>
          <w:noProof/>
          <w:color w:val="000000" w:themeColor="text1"/>
          <w:lang w:eastAsia="en-GB"/>
        </w:rPr>
        <w:t xml:space="preserve">Following the transfer, </w:t>
      </w:r>
      <w:r w:rsidR="00311B40">
        <w:rPr>
          <w:rFonts w:ascii="Arial" w:hAnsi="Arial" w:cs="Arial"/>
          <w:noProof/>
          <w:color w:val="000000" w:themeColor="text1"/>
          <w:lang w:eastAsia="en-GB"/>
        </w:rPr>
        <w:t>reserve b</w:t>
      </w:r>
      <w:r w:rsidR="004C197D">
        <w:rPr>
          <w:rFonts w:ascii="Arial" w:hAnsi="Arial" w:cs="Arial"/>
          <w:noProof/>
          <w:color w:val="000000" w:themeColor="text1"/>
          <w:lang w:eastAsia="en-GB"/>
        </w:rPr>
        <w:t>alances earmarked to support the</w:t>
      </w:r>
      <w:r w:rsidR="00311B40">
        <w:rPr>
          <w:rFonts w:ascii="Arial" w:hAnsi="Arial" w:cs="Arial"/>
          <w:noProof/>
          <w:color w:val="000000" w:themeColor="text1"/>
          <w:lang w:eastAsia="en-GB"/>
        </w:rPr>
        <w:t xml:space="preserve"> High Needs Block </w:t>
      </w:r>
      <w:r w:rsidR="004C197D">
        <w:rPr>
          <w:rFonts w:ascii="Arial" w:hAnsi="Arial" w:cs="Arial"/>
          <w:noProof/>
          <w:color w:val="000000" w:themeColor="text1"/>
          <w:lang w:eastAsia="en-GB"/>
        </w:rPr>
        <w:t xml:space="preserve">stand at £0.721m. </w:t>
      </w:r>
    </w:p>
    <w:p w:rsidR="004C197D" w:rsidRDefault="004C197D" w:rsidP="005E2E8A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</w:p>
    <w:p w:rsidR="00172F8F" w:rsidRDefault="00172F8F" w:rsidP="005E2E8A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</w:p>
    <w:p w:rsidR="00FC2304" w:rsidRDefault="006D415F" w:rsidP="00FC2304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D22808" w:rsidRPr="00D22808">
        <w:rPr>
          <w:rFonts w:ascii="Arial" w:hAnsi="Arial" w:cs="Arial"/>
          <w:b/>
        </w:rPr>
        <w:t>.</w:t>
      </w:r>
      <w:r w:rsidR="00FC2304">
        <w:rPr>
          <w:rFonts w:ascii="Arial" w:hAnsi="Arial" w:cs="Arial"/>
        </w:rPr>
        <w:tab/>
      </w:r>
      <w:r w:rsidR="00FC2304" w:rsidRPr="00FC2304">
        <w:rPr>
          <w:rFonts w:ascii="Arial" w:hAnsi="Arial" w:cs="Arial"/>
          <w:b/>
          <w:u w:val="single"/>
        </w:rPr>
        <w:t>Recommendations</w:t>
      </w:r>
    </w:p>
    <w:p w:rsidR="00FC2304" w:rsidRDefault="00FC2304" w:rsidP="00FC2304">
      <w:pPr>
        <w:ind w:left="709" w:hanging="709"/>
        <w:rPr>
          <w:rFonts w:ascii="Arial" w:hAnsi="Arial" w:cs="Arial"/>
          <w:b/>
          <w:u w:val="single"/>
        </w:rPr>
      </w:pPr>
    </w:p>
    <w:p w:rsidR="00D22808" w:rsidRPr="00D22808" w:rsidRDefault="006D415F" w:rsidP="00FC230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22808">
        <w:rPr>
          <w:rFonts w:ascii="Arial" w:hAnsi="Arial" w:cs="Arial"/>
        </w:rPr>
        <w:t>.1</w:t>
      </w:r>
      <w:r w:rsidR="00D22808">
        <w:rPr>
          <w:rFonts w:ascii="Arial" w:hAnsi="Arial" w:cs="Arial"/>
        </w:rPr>
        <w:tab/>
        <w:t>Forum is recommended to</w:t>
      </w:r>
      <w:r w:rsidR="005E2E8A">
        <w:rPr>
          <w:rFonts w:ascii="Arial" w:hAnsi="Arial" w:cs="Arial"/>
        </w:rPr>
        <w:t xml:space="preserve"> note the contents of the report.</w:t>
      </w:r>
    </w:p>
    <w:p w:rsidR="00D22808" w:rsidRDefault="00D22808" w:rsidP="005E2E8A">
      <w:pPr>
        <w:rPr>
          <w:rFonts w:ascii="Arial" w:hAnsi="Arial" w:cs="Arial"/>
        </w:rPr>
      </w:pPr>
    </w:p>
    <w:sectPr w:rsidR="00D22808" w:rsidSect="0075449A">
      <w:headerReference w:type="default" r:id="rId8"/>
      <w:footerReference w:type="default" r:id="rId9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3E" w:rsidRDefault="0045093E" w:rsidP="00E471C6">
      <w:r>
        <w:separator/>
      </w:r>
    </w:p>
  </w:endnote>
  <w:endnote w:type="continuationSeparator" w:id="0">
    <w:p w:rsidR="0045093E" w:rsidRDefault="0045093E" w:rsidP="00E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3E" w:rsidRPr="00E471C6" w:rsidRDefault="00E57780" w:rsidP="00E471C6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fldChar w:fldCharType="begin"/>
    </w:r>
    <w:r>
      <w:rPr>
        <w:rFonts w:ascii="Arial" w:hAnsi="Arial" w:cs="Arial"/>
        <w:noProof/>
        <w:sz w:val="12"/>
        <w:szCs w:val="12"/>
      </w:rPr>
      <w:instrText xml:space="preserve"> FILENAME  \* Lower \p  \* MERGEFORMAT </w:instrText>
    </w:r>
    <w:r>
      <w:rPr>
        <w:rFonts w:ascii="Arial" w:hAnsi="Arial" w:cs="Arial"/>
        <w:noProof/>
        <w:sz w:val="12"/>
        <w:szCs w:val="12"/>
      </w:rPr>
      <w:fldChar w:fldCharType="separate"/>
    </w:r>
    <w:r w:rsidR="004C197D">
      <w:rPr>
        <w:rFonts w:ascii="Arial" w:hAnsi="Arial" w:cs="Arial"/>
        <w:noProof/>
        <w:sz w:val="12"/>
        <w:szCs w:val="12"/>
      </w:rPr>
      <w:t>y:\corporate finance\child &amp; adult services\child\schools\schools forum\meetings\2021-22\10 june 2021\item x_2021 0610 hnb final outturn 202021.docx</w:t>
    </w:r>
    <w:r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3E" w:rsidRDefault="0045093E" w:rsidP="00E471C6">
      <w:r>
        <w:separator/>
      </w:r>
    </w:p>
  </w:footnote>
  <w:footnote w:type="continuationSeparator" w:id="0">
    <w:p w:rsidR="0045093E" w:rsidRDefault="0045093E" w:rsidP="00E4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01386"/>
      <w:docPartObj>
        <w:docPartGallery w:val="Page Numbers (Top of Page)"/>
        <w:docPartUnique/>
      </w:docPartObj>
    </w:sdtPr>
    <w:sdtEndPr/>
    <w:sdtContent>
      <w:p w:rsidR="0045093E" w:rsidRDefault="0045093E">
        <w:pPr>
          <w:pStyle w:val="Header"/>
          <w:jc w:val="right"/>
        </w:pPr>
        <w:r w:rsidRPr="004C5FD4">
          <w:rPr>
            <w:rFonts w:ascii="Arial" w:hAnsi="Arial" w:cs="Arial"/>
            <w:sz w:val="16"/>
            <w:szCs w:val="16"/>
          </w:rPr>
          <w:t xml:space="preserve">Page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6B1BD7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  <w:r w:rsidRPr="004C5FD4">
          <w:rPr>
            <w:rFonts w:ascii="Arial" w:hAnsi="Arial" w:cs="Arial"/>
            <w:sz w:val="16"/>
            <w:szCs w:val="16"/>
          </w:rPr>
          <w:t xml:space="preserve"> of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6B1BD7">
          <w:rPr>
            <w:rFonts w:ascii="Arial" w:hAnsi="Arial" w:cs="Arial"/>
            <w:b/>
            <w:noProof/>
            <w:sz w:val="16"/>
            <w:szCs w:val="16"/>
          </w:rPr>
          <w:t>3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45093E" w:rsidRDefault="0045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BEE"/>
    <w:multiLevelType w:val="hybridMultilevel"/>
    <w:tmpl w:val="80FE073C"/>
    <w:lvl w:ilvl="0" w:tplc="7BCA7882">
      <w:start w:val="4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2631A9"/>
    <w:multiLevelType w:val="multilevel"/>
    <w:tmpl w:val="99B42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8D722C9"/>
    <w:multiLevelType w:val="multilevel"/>
    <w:tmpl w:val="411C4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F42110"/>
    <w:multiLevelType w:val="multilevel"/>
    <w:tmpl w:val="40CAD6E2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468" w:hanging="46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262922EA"/>
    <w:multiLevelType w:val="multilevel"/>
    <w:tmpl w:val="2264B0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F7B030B"/>
    <w:multiLevelType w:val="multilevel"/>
    <w:tmpl w:val="D586F776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C77D56"/>
    <w:multiLevelType w:val="hybridMultilevel"/>
    <w:tmpl w:val="5BB6B7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FF3467"/>
    <w:multiLevelType w:val="hybridMultilevel"/>
    <w:tmpl w:val="3E4C649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F63570A"/>
    <w:multiLevelType w:val="hybridMultilevel"/>
    <w:tmpl w:val="D236E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1E22A4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5496584D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58697234"/>
    <w:multiLevelType w:val="multilevel"/>
    <w:tmpl w:val="079E844E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CE36E8"/>
    <w:multiLevelType w:val="multilevel"/>
    <w:tmpl w:val="500C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6D471DEB"/>
    <w:multiLevelType w:val="multilevel"/>
    <w:tmpl w:val="DAFEC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F9B6804"/>
    <w:multiLevelType w:val="multilevel"/>
    <w:tmpl w:val="7BE4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72D64CC1"/>
    <w:multiLevelType w:val="hybridMultilevel"/>
    <w:tmpl w:val="3F96E7F6"/>
    <w:lvl w:ilvl="0" w:tplc="320667B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1F0"/>
    <w:rsid w:val="000057EB"/>
    <w:rsid w:val="00011F8F"/>
    <w:rsid w:val="00013AF5"/>
    <w:rsid w:val="00015EDE"/>
    <w:rsid w:val="000403CC"/>
    <w:rsid w:val="00062C85"/>
    <w:rsid w:val="000F04A7"/>
    <w:rsid w:val="000F185B"/>
    <w:rsid w:val="0010706F"/>
    <w:rsid w:val="001346EA"/>
    <w:rsid w:val="0015598A"/>
    <w:rsid w:val="00172F8F"/>
    <w:rsid w:val="00173D76"/>
    <w:rsid w:val="0018543D"/>
    <w:rsid w:val="00187032"/>
    <w:rsid w:val="001A1633"/>
    <w:rsid w:val="001C1CEC"/>
    <w:rsid w:val="001D58E7"/>
    <w:rsid w:val="001F2A93"/>
    <w:rsid w:val="001F530F"/>
    <w:rsid w:val="0022097E"/>
    <w:rsid w:val="0022639B"/>
    <w:rsid w:val="0026631E"/>
    <w:rsid w:val="00266910"/>
    <w:rsid w:val="00270F89"/>
    <w:rsid w:val="00273464"/>
    <w:rsid w:val="00276FC8"/>
    <w:rsid w:val="00282753"/>
    <w:rsid w:val="00287C2A"/>
    <w:rsid w:val="002A5C86"/>
    <w:rsid w:val="002B4790"/>
    <w:rsid w:val="002E08A2"/>
    <w:rsid w:val="002F069C"/>
    <w:rsid w:val="002F150B"/>
    <w:rsid w:val="00311B40"/>
    <w:rsid w:val="003204CE"/>
    <w:rsid w:val="0033037F"/>
    <w:rsid w:val="00336C6B"/>
    <w:rsid w:val="00381270"/>
    <w:rsid w:val="00385AB3"/>
    <w:rsid w:val="003871F0"/>
    <w:rsid w:val="0039065B"/>
    <w:rsid w:val="003A3E4F"/>
    <w:rsid w:val="003B27BE"/>
    <w:rsid w:val="003C21DE"/>
    <w:rsid w:val="003C3884"/>
    <w:rsid w:val="00400A90"/>
    <w:rsid w:val="0040116D"/>
    <w:rsid w:val="00414EA3"/>
    <w:rsid w:val="0043458F"/>
    <w:rsid w:val="0045093E"/>
    <w:rsid w:val="00484477"/>
    <w:rsid w:val="004853D7"/>
    <w:rsid w:val="004A3200"/>
    <w:rsid w:val="004C197D"/>
    <w:rsid w:val="004C5FD4"/>
    <w:rsid w:val="004E4B4D"/>
    <w:rsid w:val="004E4BFB"/>
    <w:rsid w:val="004E613E"/>
    <w:rsid w:val="00507549"/>
    <w:rsid w:val="0051311E"/>
    <w:rsid w:val="0054743C"/>
    <w:rsid w:val="0057428A"/>
    <w:rsid w:val="005962C8"/>
    <w:rsid w:val="005B4F82"/>
    <w:rsid w:val="005C1EF2"/>
    <w:rsid w:val="005D1A77"/>
    <w:rsid w:val="005E2E8A"/>
    <w:rsid w:val="005E5F47"/>
    <w:rsid w:val="006266F4"/>
    <w:rsid w:val="006306AD"/>
    <w:rsid w:val="00653A1D"/>
    <w:rsid w:val="00663FCF"/>
    <w:rsid w:val="006732F1"/>
    <w:rsid w:val="0067700C"/>
    <w:rsid w:val="0067778A"/>
    <w:rsid w:val="006A3E9F"/>
    <w:rsid w:val="006A7FFC"/>
    <w:rsid w:val="006B1BD7"/>
    <w:rsid w:val="006B68F2"/>
    <w:rsid w:val="006D415F"/>
    <w:rsid w:val="006E3489"/>
    <w:rsid w:val="00725E24"/>
    <w:rsid w:val="00727711"/>
    <w:rsid w:val="00732263"/>
    <w:rsid w:val="0073581B"/>
    <w:rsid w:val="00741D19"/>
    <w:rsid w:val="007446CE"/>
    <w:rsid w:val="00744CFF"/>
    <w:rsid w:val="0075449A"/>
    <w:rsid w:val="0075722A"/>
    <w:rsid w:val="007608C2"/>
    <w:rsid w:val="00780177"/>
    <w:rsid w:val="007D7C94"/>
    <w:rsid w:val="00822771"/>
    <w:rsid w:val="0086108B"/>
    <w:rsid w:val="008911E4"/>
    <w:rsid w:val="008A226A"/>
    <w:rsid w:val="008B1D3F"/>
    <w:rsid w:val="00911F8A"/>
    <w:rsid w:val="009357D5"/>
    <w:rsid w:val="00936635"/>
    <w:rsid w:val="00954288"/>
    <w:rsid w:val="00980EB8"/>
    <w:rsid w:val="0099785C"/>
    <w:rsid w:val="009C16A3"/>
    <w:rsid w:val="009D0919"/>
    <w:rsid w:val="009D51D6"/>
    <w:rsid w:val="009D7961"/>
    <w:rsid w:val="009E43D5"/>
    <w:rsid w:val="009F26E4"/>
    <w:rsid w:val="00A435D3"/>
    <w:rsid w:val="00A61498"/>
    <w:rsid w:val="00A673B8"/>
    <w:rsid w:val="00A8059B"/>
    <w:rsid w:val="00A9711B"/>
    <w:rsid w:val="00B120D0"/>
    <w:rsid w:val="00B51317"/>
    <w:rsid w:val="00B63511"/>
    <w:rsid w:val="00B72C8B"/>
    <w:rsid w:val="00BD4F0F"/>
    <w:rsid w:val="00BE56CB"/>
    <w:rsid w:val="00BE6D2A"/>
    <w:rsid w:val="00C00559"/>
    <w:rsid w:val="00C026FB"/>
    <w:rsid w:val="00C02A66"/>
    <w:rsid w:val="00C10D33"/>
    <w:rsid w:val="00C12D6E"/>
    <w:rsid w:val="00C27453"/>
    <w:rsid w:val="00C434FA"/>
    <w:rsid w:val="00C601E2"/>
    <w:rsid w:val="00C93284"/>
    <w:rsid w:val="00CA12A0"/>
    <w:rsid w:val="00CA3206"/>
    <w:rsid w:val="00CC75F9"/>
    <w:rsid w:val="00D22808"/>
    <w:rsid w:val="00D87564"/>
    <w:rsid w:val="00D904CF"/>
    <w:rsid w:val="00D91329"/>
    <w:rsid w:val="00DA41FA"/>
    <w:rsid w:val="00DB1989"/>
    <w:rsid w:val="00DB5D4E"/>
    <w:rsid w:val="00DC3355"/>
    <w:rsid w:val="00DD0E20"/>
    <w:rsid w:val="00E0381A"/>
    <w:rsid w:val="00E409C8"/>
    <w:rsid w:val="00E471C6"/>
    <w:rsid w:val="00E57780"/>
    <w:rsid w:val="00E60B25"/>
    <w:rsid w:val="00E62BA1"/>
    <w:rsid w:val="00E744A1"/>
    <w:rsid w:val="00E90F23"/>
    <w:rsid w:val="00ED4F3E"/>
    <w:rsid w:val="00EF5032"/>
    <w:rsid w:val="00F01A48"/>
    <w:rsid w:val="00F02884"/>
    <w:rsid w:val="00F2265C"/>
    <w:rsid w:val="00F545DB"/>
    <w:rsid w:val="00F8207A"/>
    <w:rsid w:val="00F86583"/>
    <w:rsid w:val="00F94AE0"/>
    <w:rsid w:val="00FA2FC6"/>
    <w:rsid w:val="00FB6C7E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609B8-B687-4DCB-A57A-C1D7ABC9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0FF34-6446-4252-9E27-615657B7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Patton</dc:creator>
  <cp:lastModifiedBy>Sandra Shears</cp:lastModifiedBy>
  <cp:revision>39</cp:revision>
  <cp:lastPrinted>2020-07-13T16:12:00Z</cp:lastPrinted>
  <dcterms:created xsi:type="dcterms:W3CDTF">2019-03-08T13:00:00Z</dcterms:created>
  <dcterms:modified xsi:type="dcterms:W3CDTF">2021-06-03T15:46:00Z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629406059</vt:i4>
  </property>
  <property fmtid="{D5CDD505-2E9C-101B-9397-08002B2CF9AE}" pid="3" name="_NewReviewCycle">
    <vt:lpwstr/>
  </property>
  <property fmtid="{D5CDD505-2E9C-101B-9397-08002B2CF9AE}" pid="4" name="_EmailSubject">
    <vt:lpwstr>Schools Forum - 10th June 2021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99023621</vt:i4>
  </property>
</Properties>
</file>