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EE" w:rsidRDefault="00360018" w:rsidP="00360018">
      <w:pPr>
        <w:pStyle w:val="Body"/>
        <w:rPr>
          <w:rFonts w:cs="Arial"/>
          <w:b/>
          <w:sz w:val="28"/>
          <w:szCs w:val="28"/>
        </w:rPr>
      </w:pPr>
      <w:r w:rsidRPr="005937E4">
        <w:rPr>
          <w:rFonts w:cs="Arial"/>
          <w:b/>
          <w:noProof/>
          <w:sz w:val="28"/>
          <w:szCs w:val="28"/>
        </w:rPr>
        <w:drawing>
          <wp:anchor distT="0" distB="0" distL="114300" distR="114300" simplePos="0" relativeHeight="251659264" behindDoc="0" locked="0" layoutInCell="1" allowOverlap="0">
            <wp:simplePos x="0" y="0"/>
            <wp:positionH relativeFrom="column">
              <wp:posOffset>5857875</wp:posOffset>
            </wp:positionH>
            <wp:positionV relativeFrom="paragraph">
              <wp:posOffset>-137160</wp:posOffset>
            </wp:positionV>
            <wp:extent cx="1076325" cy="1352550"/>
            <wp:effectExtent l="1905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srcRect/>
                    <a:stretch>
                      <a:fillRect/>
                    </a:stretch>
                  </pic:blipFill>
                  <pic:spPr bwMode="auto">
                    <a:xfrm>
                      <a:off x="0" y="0"/>
                      <a:ext cx="1076325" cy="1352550"/>
                    </a:xfrm>
                    <a:prstGeom prst="rect">
                      <a:avLst/>
                    </a:prstGeom>
                    <a:noFill/>
                    <a:ln w="9525">
                      <a:noFill/>
                      <a:miter lim="800000"/>
                      <a:headEnd/>
                      <a:tailEnd/>
                    </a:ln>
                  </pic:spPr>
                </pic:pic>
              </a:graphicData>
            </a:graphic>
          </wp:anchor>
        </w:drawing>
      </w:r>
      <w:r w:rsidRPr="005937E4">
        <w:rPr>
          <w:rFonts w:cs="Arial"/>
          <w:b/>
          <w:sz w:val="28"/>
          <w:szCs w:val="28"/>
        </w:rPr>
        <w:t xml:space="preserve">TENDER FOR THE </w:t>
      </w:r>
      <w:r w:rsidR="0050411C">
        <w:rPr>
          <w:rFonts w:cs="Arial"/>
          <w:b/>
          <w:sz w:val="28"/>
          <w:szCs w:val="28"/>
        </w:rPr>
        <w:t>SUPPLY OF A MANAGED ICT SUPPORT SERVICE</w:t>
      </w:r>
    </w:p>
    <w:p w:rsidR="0050411C" w:rsidRPr="00510CAA" w:rsidRDefault="0050411C" w:rsidP="00360018">
      <w:pPr>
        <w:pStyle w:val="Body"/>
        <w:rPr>
          <w:rFonts w:cs="Arial"/>
          <w:b/>
          <w:szCs w:val="24"/>
        </w:rPr>
      </w:pPr>
    </w:p>
    <w:p w:rsidR="009836B5" w:rsidRPr="00510CAA" w:rsidRDefault="00102F4D" w:rsidP="00360018">
      <w:pPr>
        <w:pStyle w:val="Body"/>
        <w:rPr>
          <w:rFonts w:cs="Arial"/>
          <w:b/>
          <w:szCs w:val="24"/>
        </w:rPr>
      </w:pPr>
      <w:r w:rsidRPr="00510CAA">
        <w:rPr>
          <w:rFonts w:cs="Arial"/>
          <w:b/>
          <w:szCs w:val="24"/>
        </w:rPr>
        <w:t xml:space="preserve">PROCONTACT REFERENCE DN </w:t>
      </w:r>
      <w:r w:rsidR="0050411C">
        <w:rPr>
          <w:rFonts w:cs="Arial"/>
          <w:b/>
          <w:szCs w:val="24"/>
        </w:rPr>
        <w:t>623119</w:t>
      </w:r>
    </w:p>
    <w:p w:rsidR="00510CAA" w:rsidRDefault="00510CAA" w:rsidP="00360018">
      <w:pPr>
        <w:pStyle w:val="Body"/>
        <w:rPr>
          <w:rFonts w:cs="Arial"/>
          <w:b/>
          <w:sz w:val="28"/>
          <w:szCs w:val="28"/>
        </w:rPr>
      </w:pPr>
    </w:p>
    <w:p w:rsidR="0050411C" w:rsidRPr="0050411C" w:rsidRDefault="0050411C" w:rsidP="0050411C">
      <w:pPr>
        <w:shd w:val="clear" w:color="auto" w:fill="FFFFFF"/>
        <w:rPr>
          <w:rFonts w:ascii="Arial" w:hAnsi="Arial" w:cs="Arial"/>
          <w:color w:val="000000"/>
        </w:rPr>
      </w:pPr>
      <w:proofErr w:type="spellStart"/>
      <w:r w:rsidRPr="0050411C">
        <w:rPr>
          <w:rFonts w:ascii="Arial" w:hAnsi="Arial" w:cs="Arial"/>
          <w:iCs/>
          <w:color w:val="000000"/>
        </w:rPr>
        <w:t>Hartlepool</w:t>
      </w:r>
      <w:proofErr w:type="spellEnd"/>
      <w:r w:rsidRPr="0050411C">
        <w:rPr>
          <w:rFonts w:ascii="Arial" w:hAnsi="Arial" w:cs="Arial"/>
          <w:iCs/>
          <w:color w:val="000000"/>
        </w:rPr>
        <w:t xml:space="preserve"> Borough Council are conducting a procurement for the provision of full scope ICT managed services via Restricted Process to replace an existing arrangement that expires in September 2023.</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Through this selection phase and a subsequent ITT phase, the Council will identify a single supplier to provide full scope ICT managed services for a maximum of 6 years (4+1+1) with effect from September 2023.</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This selection phase is open to all potential providers of full scope ICT managed services and interested providers will be required to complete a Pre-Qualification Questionnaire.</w:t>
      </w:r>
      <w:r>
        <w:rPr>
          <w:rFonts w:ascii="Arial" w:hAnsi="Arial" w:cs="Arial"/>
          <w:iCs/>
          <w:color w:val="000000"/>
        </w:rPr>
        <w:t xml:space="preserve">  The Council will down select five </w:t>
      </w:r>
      <w:r w:rsidRPr="0050411C">
        <w:rPr>
          <w:rFonts w:ascii="Arial" w:hAnsi="Arial" w:cs="Arial"/>
          <w:iCs/>
          <w:color w:val="000000"/>
        </w:rPr>
        <w:t>suppliers to proceed to the ITT phase based on the responses to the questionnaire.</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color w:val="000000"/>
        </w:rPr>
      </w:pPr>
      <w:proofErr w:type="spellStart"/>
      <w:r w:rsidRPr="0050411C">
        <w:rPr>
          <w:rFonts w:ascii="Arial" w:hAnsi="Arial" w:cs="Arial"/>
          <w:iCs/>
          <w:color w:val="000000"/>
        </w:rPr>
        <w:t>Hartlepool</w:t>
      </w:r>
      <w:proofErr w:type="spellEnd"/>
      <w:r w:rsidRPr="0050411C">
        <w:rPr>
          <w:rFonts w:ascii="Arial" w:hAnsi="Arial" w:cs="Arial"/>
          <w:iCs/>
          <w:color w:val="000000"/>
        </w:rPr>
        <w:t xml:space="preserve"> Borough Council employs approximately 2,000 staff to deliver public services to a population of over 93,000 residents and has set out its ICT strategy that outlines how, over the coming years, the Council will improve services for its residents and employees by positioning ICT (and digital) as a business enabler.  The Council is excited about working with providers who can help shape and deliver the Council's ambitions.</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xml:space="preserve">A high-level service specification is available for reference (Document 3), however, the scope of the procurement can be </w:t>
      </w:r>
      <w:proofErr w:type="spellStart"/>
      <w:r w:rsidRPr="0050411C">
        <w:rPr>
          <w:rFonts w:ascii="Arial" w:hAnsi="Arial" w:cs="Arial"/>
          <w:iCs/>
          <w:color w:val="000000"/>
        </w:rPr>
        <w:t>summarised</w:t>
      </w:r>
      <w:proofErr w:type="spellEnd"/>
      <w:r w:rsidRPr="0050411C">
        <w:rPr>
          <w:rFonts w:ascii="Arial" w:hAnsi="Arial" w:cs="Arial"/>
          <w:iCs/>
          <w:color w:val="000000"/>
        </w:rPr>
        <w:t xml:space="preserve"> as:</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b/>
          <w:iCs/>
          <w:color w:val="000000"/>
        </w:rPr>
      </w:pPr>
      <w:r w:rsidRPr="0050411C">
        <w:rPr>
          <w:rFonts w:ascii="Arial" w:hAnsi="Arial" w:cs="Arial"/>
          <w:b/>
          <w:iCs/>
          <w:color w:val="000000"/>
        </w:rPr>
        <w:t>Service Integration and Service Management</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xml:space="preserve">• Full ICT support and integration services across multiple service components including operational management of Council-owned 3rd party contracts; continual service improvement and user-centric ways of working; asset, </w:t>
      </w:r>
      <w:proofErr w:type="spellStart"/>
      <w:r w:rsidRPr="0050411C">
        <w:rPr>
          <w:rFonts w:ascii="Arial" w:hAnsi="Arial" w:cs="Arial"/>
          <w:iCs/>
          <w:color w:val="000000"/>
        </w:rPr>
        <w:t>licence</w:t>
      </w:r>
      <w:proofErr w:type="spellEnd"/>
      <w:r w:rsidRPr="0050411C">
        <w:rPr>
          <w:rFonts w:ascii="Arial" w:hAnsi="Arial" w:cs="Arial"/>
          <w:iCs/>
          <w:color w:val="000000"/>
        </w:rPr>
        <w:t xml:space="preserve"> and configuration management; using owned instance of ITSM toolset</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bookmarkStart w:id="0" w:name="_GoBack"/>
      <w:bookmarkEnd w:id="0"/>
      <w:r w:rsidRPr="0050411C">
        <w:rPr>
          <w:rFonts w:ascii="Arial" w:hAnsi="Arial" w:cs="Arial"/>
          <w:b/>
          <w:iCs/>
          <w:color w:val="000000"/>
        </w:rPr>
        <w:t>End User Computing</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Provision of support and enabling services to allow end users to work ‘any time’ and ‘anywhere’. Includes support of physical devices (laptops, desktops &amp; corporate tablets) and installed software, remote take-over</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Service Desk</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UK based single point of contact for end users; Provides self-help and multi-channel contact; Targets first contact resolution; passes user records on to other resolver groups; provision and deployment of applicable ITSM toolset</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 Hosting and Data Centre Services</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xml:space="preserve">• Manage existing hosting environment in 3rd party data </w:t>
      </w:r>
      <w:proofErr w:type="spellStart"/>
      <w:r w:rsidRPr="0050411C">
        <w:rPr>
          <w:rFonts w:ascii="Arial" w:hAnsi="Arial" w:cs="Arial"/>
          <w:iCs/>
          <w:color w:val="000000"/>
        </w:rPr>
        <w:t>centre</w:t>
      </w:r>
      <w:proofErr w:type="spellEnd"/>
      <w:r w:rsidRPr="0050411C">
        <w:rPr>
          <w:rFonts w:ascii="Arial" w:hAnsi="Arial" w:cs="Arial"/>
          <w:iCs/>
          <w:color w:val="000000"/>
        </w:rPr>
        <w:t xml:space="preserve"> facility; expertise on design and migration to future cloud-based alternative; manage full life cycle of supported services; DR/BC provision</w:t>
      </w:r>
    </w:p>
    <w:p w:rsidR="0050411C" w:rsidRDefault="0050411C" w:rsidP="0050411C">
      <w:pPr>
        <w:shd w:val="clear" w:color="auto" w:fill="FFFFFF"/>
        <w:rPr>
          <w:rFonts w:ascii="Arial" w:hAnsi="Arial" w:cs="Arial"/>
          <w:iCs/>
          <w:color w:val="000000"/>
        </w:rPr>
      </w:pP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lastRenderedPageBreak/>
        <w:t> Network Services</w:t>
      </w:r>
    </w:p>
    <w:p w:rsidR="0050411C" w:rsidRDefault="0050411C" w:rsidP="0050411C">
      <w:pPr>
        <w:shd w:val="clear" w:color="auto" w:fill="FFFFFF"/>
        <w:rPr>
          <w:rFonts w:ascii="Arial" w:hAnsi="Arial" w:cs="Arial"/>
          <w:iCs/>
          <w:color w:val="000000"/>
        </w:rPr>
      </w:pPr>
      <w:r w:rsidRPr="0050411C">
        <w:rPr>
          <w:rFonts w:ascii="Arial" w:hAnsi="Arial" w:cs="Arial"/>
          <w:iCs/>
          <w:color w:val="000000"/>
        </w:rPr>
        <w:t xml:space="preserve">• Office </w:t>
      </w:r>
      <w:proofErr w:type="spellStart"/>
      <w:r w:rsidRPr="0050411C">
        <w:rPr>
          <w:rFonts w:ascii="Arial" w:hAnsi="Arial" w:cs="Arial"/>
          <w:iCs/>
          <w:color w:val="000000"/>
        </w:rPr>
        <w:t>WiFi</w:t>
      </w:r>
      <w:proofErr w:type="spellEnd"/>
      <w:r w:rsidRPr="0050411C">
        <w:rPr>
          <w:rFonts w:ascii="Arial" w:hAnsi="Arial" w:cs="Arial"/>
          <w:iCs/>
          <w:color w:val="000000"/>
        </w:rPr>
        <w:t xml:space="preserve"> &amp; LAN; Inter-site connections; Dark </w:t>
      </w:r>
      <w:proofErr w:type="spellStart"/>
      <w:r w:rsidRPr="0050411C">
        <w:rPr>
          <w:rFonts w:ascii="Arial" w:hAnsi="Arial" w:cs="Arial"/>
          <w:iCs/>
          <w:color w:val="000000"/>
        </w:rPr>
        <w:t>fibre</w:t>
      </w:r>
      <w:proofErr w:type="spellEnd"/>
      <w:r w:rsidRPr="0050411C">
        <w:rPr>
          <w:rFonts w:ascii="Arial" w:hAnsi="Arial" w:cs="Arial"/>
          <w:iCs/>
          <w:color w:val="000000"/>
        </w:rPr>
        <w:t xml:space="preserve"> link, Outbound connectivity (internet, PSN); Network services (DNS, DHCP, </w:t>
      </w:r>
      <w:proofErr w:type="spellStart"/>
      <w:r w:rsidRPr="0050411C">
        <w:rPr>
          <w:rFonts w:ascii="Arial" w:hAnsi="Arial" w:cs="Arial"/>
          <w:iCs/>
          <w:color w:val="000000"/>
        </w:rPr>
        <w:t>WiFi</w:t>
      </w:r>
      <w:proofErr w:type="spellEnd"/>
      <w:r w:rsidRPr="0050411C">
        <w:rPr>
          <w:rFonts w:ascii="Arial" w:hAnsi="Arial" w:cs="Arial"/>
          <w:iCs/>
          <w:color w:val="000000"/>
        </w:rPr>
        <w:t xml:space="preserve"> Certs, Firewall, Monitoring); SIP </w:t>
      </w:r>
      <w:proofErr w:type="spellStart"/>
      <w:r w:rsidRPr="0050411C">
        <w:rPr>
          <w:rFonts w:ascii="Arial" w:hAnsi="Arial" w:cs="Arial"/>
          <w:iCs/>
          <w:color w:val="000000"/>
        </w:rPr>
        <w:t>trunking</w:t>
      </w:r>
      <w:proofErr w:type="spellEnd"/>
      <w:r w:rsidRPr="0050411C">
        <w:rPr>
          <w:rFonts w:ascii="Arial" w:hAnsi="Arial" w:cs="Arial"/>
          <w:iCs/>
          <w:color w:val="000000"/>
        </w:rPr>
        <w:t xml:space="preserve"> and session controller management</w:t>
      </w:r>
    </w:p>
    <w:p w:rsidR="0050411C" w:rsidRPr="0050411C" w:rsidRDefault="0050411C" w:rsidP="0050411C">
      <w:pPr>
        <w:shd w:val="clear" w:color="auto" w:fill="FFFFFF"/>
        <w:rPr>
          <w:rFonts w:ascii="Arial" w:hAnsi="Arial" w:cs="Arial"/>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Application Support and Development</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Facilitate and coordinate application maintenance services and provision of lifecycle management of the application estate against an application strategy</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Procurement – Hardware / Software</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Single point of contact for the procurement of all Council ICT hardware, ensuring value for money purchase of defined equipment</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Project Management</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 xml:space="preserve">• Provision of resources to support the Council in delivering </w:t>
      </w:r>
      <w:proofErr w:type="spellStart"/>
      <w:r w:rsidRPr="0050411C">
        <w:rPr>
          <w:rFonts w:ascii="Arial" w:hAnsi="Arial" w:cs="Arial"/>
          <w:iCs/>
          <w:color w:val="000000"/>
        </w:rPr>
        <w:t>programmes</w:t>
      </w:r>
      <w:proofErr w:type="spellEnd"/>
      <w:r w:rsidRPr="0050411C">
        <w:rPr>
          <w:rFonts w:ascii="Arial" w:hAnsi="Arial" w:cs="Arial"/>
          <w:iCs/>
          <w:color w:val="000000"/>
        </w:rPr>
        <w:t xml:space="preserve"> and projects across a wide range of ICT activities</w:t>
      </w:r>
    </w:p>
    <w:p w:rsidR="0050411C" w:rsidRDefault="0050411C" w:rsidP="0050411C">
      <w:pPr>
        <w:shd w:val="clear" w:color="auto" w:fill="FFFFFF"/>
        <w:rPr>
          <w:rFonts w:ascii="Arial" w:hAnsi="Arial" w:cs="Arial"/>
          <w:iCs/>
          <w:color w:val="000000"/>
        </w:rPr>
      </w:pPr>
    </w:p>
    <w:p w:rsidR="0050411C" w:rsidRPr="0050411C" w:rsidRDefault="0050411C" w:rsidP="0050411C">
      <w:pPr>
        <w:shd w:val="clear" w:color="auto" w:fill="FFFFFF"/>
        <w:rPr>
          <w:rFonts w:ascii="Arial" w:hAnsi="Arial" w:cs="Arial"/>
          <w:b/>
          <w:color w:val="000000"/>
        </w:rPr>
      </w:pPr>
      <w:r w:rsidRPr="0050411C">
        <w:rPr>
          <w:rFonts w:ascii="Arial" w:hAnsi="Arial" w:cs="Arial"/>
          <w:b/>
          <w:iCs/>
          <w:color w:val="000000"/>
        </w:rPr>
        <w:t>Managed Print</w:t>
      </w:r>
    </w:p>
    <w:p w:rsidR="0050411C" w:rsidRPr="0050411C" w:rsidRDefault="0050411C" w:rsidP="0050411C">
      <w:pPr>
        <w:shd w:val="clear" w:color="auto" w:fill="FFFFFF"/>
        <w:rPr>
          <w:rFonts w:ascii="Arial" w:hAnsi="Arial" w:cs="Arial"/>
          <w:color w:val="000000"/>
        </w:rPr>
      </w:pPr>
      <w:r w:rsidRPr="0050411C">
        <w:rPr>
          <w:rFonts w:ascii="Arial" w:hAnsi="Arial" w:cs="Arial"/>
          <w:iCs/>
          <w:color w:val="000000"/>
        </w:rPr>
        <w:t>Coordinate and manage print services to support the Council’s printing, scanning, and copying requirements through an incumbent sub-contractor</w:t>
      </w:r>
    </w:p>
    <w:p w:rsidR="002B41E4" w:rsidRPr="0050411C" w:rsidRDefault="002B41E4" w:rsidP="00CC5C8A">
      <w:pPr>
        <w:jc w:val="both"/>
        <w:rPr>
          <w:rFonts w:ascii="Arial" w:hAnsi="Arial" w:cs="Arial"/>
          <w:szCs w:val="24"/>
        </w:rPr>
      </w:pPr>
    </w:p>
    <w:p w:rsidR="004A1AF1" w:rsidRPr="0050411C" w:rsidRDefault="004A1AF1" w:rsidP="004A1AF1">
      <w:pPr>
        <w:pStyle w:val="Body1"/>
        <w:spacing w:before="120"/>
        <w:ind w:left="0"/>
        <w:jc w:val="both"/>
        <w:rPr>
          <w:rFonts w:cs="Arial"/>
          <w:szCs w:val="24"/>
        </w:rPr>
      </w:pPr>
      <w:r w:rsidRPr="0050411C">
        <w:rPr>
          <w:rFonts w:cs="Arial"/>
          <w:szCs w:val="24"/>
        </w:rPr>
        <w:t xml:space="preserve">Individuals wishing to register an interest and download the procurement documents, should apply via the </w:t>
      </w:r>
      <w:proofErr w:type="spellStart"/>
      <w:r w:rsidRPr="0050411C">
        <w:rPr>
          <w:rFonts w:cs="Arial"/>
          <w:szCs w:val="24"/>
        </w:rPr>
        <w:t>ProContract</w:t>
      </w:r>
      <w:proofErr w:type="spellEnd"/>
      <w:r w:rsidRPr="0050411C">
        <w:rPr>
          <w:rFonts w:cs="Arial"/>
          <w:szCs w:val="24"/>
        </w:rPr>
        <w:t xml:space="preserve"> e-tendering portal </w:t>
      </w:r>
      <w:hyperlink r:id="rId9" w:history="1">
        <w:r w:rsidRPr="0050411C">
          <w:rPr>
            <w:rStyle w:val="Hyperlink"/>
            <w:rFonts w:cs="Arial"/>
            <w:b/>
            <w:iCs/>
            <w:kern w:val="2"/>
            <w:szCs w:val="24"/>
          </w:rPr>
          <w:t>https://proco</w:t>
        </w:r>
        <w:r w:rsidRPr="0050411C">
          <w:rPr>
            <w:rStyle w:val="Hyperlink"/>
            <w:rFonts w:cs="Arial"/>
            <w:b/>
            <w:iCs/>
            <w:kern w:val="2"/>
            <w:szCs w:val="24"/>
          </w:rPr>
          <w:t>n</w:t>
        </w:r>
        <w:r w:rsidRPr="0050411C">
          <w:rPr>
            <w:rStyle w:val="Hyperlink"/>
            <w:rFonts w:cs="Arial"/>
            <w:b/>
            <w:iCs/>
            <w:kern w:val="2"/>
            <w:szCs w:val="24"/>
          </w:rPr>
          <w:t>tract.due-north.com</w:t>
        </w:r>
      </w:hyperlink>
    </w:p>
    <w:p w:rsidR="004A1AF1" w:rsidRPr="0050411C" w:rsidRDefault="004A1AF1" w:rsidP="004A1AF1">
      <w:pPr>
        <w:pStyle w:val="Body1"/>
        <w:spacing w:before="120"/>
        <w:ind w:left="0"/>
        <w:jc w:val="both"/>
        <w:rPr>
          <w:rFonts w:cs="Arial"/>
          <w:szCs w:val="24"/>
        </w:rPr>
      </w:pPr>
    </w:p>
    <w:p w:rsidR="004A1AF1" w:rsidRPr="0050411C" w:rsidRDefault="004A1AF1" w:rsidP="004A1AF1">
      <w:pPr>
        <w:jc w:val="both"/>
        <w:rPr>
          <w:rFonts w:ascii="Arial" w:hAnsi="Arial" w:cs="Arial"/>
        </w:rPr>
      </w:pPr>
      <w:r w:rsidRPr="0050411C">
        <w:rPr>
          <w:rFonts w:ascii="Arial" w:hAnsi="Arial" w:cs="Arial"/>
        </w:rPr>
        <w:t xml:space="preserve">All completed documentation for the first stage of this tender must be completed and returned via the </w:t>
      </w:r>
      <w:proofErr w:type="spellStart"/>
      <w:r w:rsidRPr="0050411C">
        <w:rPr>
          <w:rFonts w:ascii="Arial" w:hAnsi="Arial" w:cs="Arial"/>
        </w:rPr>
        <w:t>ProContract</w:t>
      </w:r>
      <w:proofErr w:type="spellEnd"/>
      <w:r w:rsidRPr="0050411C">
        <w:rPr>
          <w:rFonts w:ascii="Arial" w:hAnsi="Arial" w:cs="Arial"/>
        </w:rPr>
        <w:t xml:space="preserve"> e-tendering portal only and by no later than </w:t>
      </w:r>
      <w:r w:rsidR="0050411C" w:rsidRPr="0050411C">
        <w:rPr>
          <w:rFonts w:ascii="Arial" w:hAnsi="Arial" w:cs="Arial"/>
        </w:rPr>
        <w:t>5pm</w:t>
      </w:r>
      <w:r w:rsidRPr="0050411C">
        <w:rPr>
          <w:rFonts w:ascii="Arial" w:hAnsi="Arial" w:cs="Arial"/>
        </w:rPr>
        <w:t xml:space="preserve"> </w:t>
      </w:r>
      <w:r w:rsidR="006214EE" w:rsidRPr="0050411C">
        <w:rPr>
          <w:rFonts w:ascii="Arial" w:hAnsi="Arial" w:cs="Arial"/>
        </w:rPr>
        <w:t>on Friday</w:t>
      </w:r>
      <w:r w:rsidRPr="0050411C">
        <w:rPr>
          <w:rFonts w:ascii="Arial" w:hAnsi="Arial" w:cs="Arial"/>
        </w:rPr>
        <w:t xml:space="preserve"> </w:t>
      </w:r>
      <w:r w:rsidR="0050411C" w:rsidRPr="0050411C">
        <w:rPr>
          <w:rFonts w:ascii="Arial" w:hAnsi="Arial" w:cs="Arial"/>
        </w:rPr>
        <w:t>19</w:t>
      </w:r>
      <w:r w:rsidR="0050411C" w:rsidRPr="0050411C">
        <w:rPr>
          <w:rFonts w:ascii="Arial" w:hAnsi="Arial" w:cs="Arial"/>
          <w:vertAlign w:val="superscript"/>
        </w:rPr>
        <w:t>th</w:t>
      </w:r>
      <w:r w:rsidR="0050411C" w:rsidRPr="0050411C">
        <w:rPr>
          <w:rFonts w:ascii="Arial" w:hAnsi="Arial" w:cs="Arial"/>
        </w:rPr>
        <w:t xml:space="preserve"> August 2022. </w:t>
      </w:r>
      <w:r w:rsidR="006214EE" w:rsidRPr="0050411C">
        <w:rPr>
          <w:rFonts w:ascii="Arial" w:hAnsi="Arial" w:cs="Arial"/>
        </w:rPr>
        <w:t xml:space="preserve"> Postal or e-mailed submission will not be accepted</w:t>
      </w:r>
      <w:r w:rsidRPr="0050411C">
        <w:rPr>
          <w:rFonts w:ascii="Arial" w:hAnsi="Arial" w:cs="Arial"/>
        </w:rPr>
        <w:t xml:space="preserve"> </w:t>
      </w:r>
    </w:p>
    <w:p w:rsidR="00360018" w:rsidRPr="0050411C" w:rsidRDefault="00360018" w:rsidP="00360018"/>
    <w:sectPr w:rsidR="00360018" w:rsidRPr="0050411C" w:rsidSect="00DD16CA">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11" w:rsidRDefault="00A43311">
      <w:r>
        <w:separator/>
      </w:r>
    </w:p>
  </w:endnote>
  <w:endnote w:type="continuationSeparator" w:id="0">
    <w:p w:rsidR="00A43311" w:rsidRDefault="00A4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Pr="00260275" w:rsidRDefault="00A43311" w:rsidP="009C6538">
    <w:pPr>
      <w:pStyle w:val="Footer"/>
      <w:rPr>
        <w:rFonts w:ascii="Arial" w:hAnsi="Arial"/>
        <w:sz w:val="18"/>
        <w:lang w:val="en-GB"/>
      </w:rPr>
    </w:pPr>
    <w:r w:rsidRPr="00260275">
      <w:rPr>
        <w:rFonts w:ascii="Arial" w:hAnsi="Arial"/>
        <w:sz w:val="18"/>
        <w:lang w:val="en-GB"/>
      </w:rPr>
      <w:t xml:space="preserve">Contract Ref: 722C-14 – Supported Accommodation </w:t>
    </w:r>
    <w:r>
      <w:rPr>
        <w:rFonts w:ascii="Arial" w:hAnsi="Arial"/>
        <w:sz w:val="18"/>
        <w:lang w:val="en-GB"/>
      </w:rPr>
      <w:t>and</w:t>
    </w:r>
    <w:r w:rsidRPr="00260275">
      <w:rPr>
        <w:rFonts w:ascii="Arial" w:hAnsi="Arial"/>
        <w:sz w:val="18"/>
        <w:lang w:val="en-GB"/>
      </w:rPr>
      <w:t xml:space="preserve"> Floating Support for the Homeless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11" w:rsidRDefault="00A43311">
      <w:r>
        <w:separator/>
      </w:r>
    </w:p>
  </w:footnote>
  <w:footnote w:type="continuationSeparator" w:id="0">
    <w:p w:rsidR="00A43311" w:rsidRDefault="00A4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Default="00A43311" w:rsidP="00565B61">
    <w:pPr>
      <w:pStyle w:val="Header"/>
      <w:rPr>
        <w:b/>
        <w:sz w:val="28"/>
      </w:rPr>
    </w:pPr>
  </w:p>
  <w:p w:rsidR="00A43311" w:rsidRDefault="00A43311">
    <w:pPr>
      <w:pStyle w:val="Header"/>
      <w:jc w:val="center"/>
      <w:rPr>
        <w:b/>
        <w:sz w:val="28"/>
      </w:rPr>
    </w:pPr>
  </w:p>
  <w:p w:rsidR="00A43311" w:rsidRDefault="00A4331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F5B"/>
    <w:multiLevelType w:val="hybridMultilevel"/>
    <w:tmpl w:val="551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20"/>
    <w:multiLevelType w:val="hybridMultilevel"/>
    <w:tmpl w:val="97FAD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C782D"/>
    <w:multiLevelType w:val="hybridMultilevel"/>
    <w:tmpl w:val="67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3698"/>
    <w:multiLevelType w:val="multilevel"/>
    <w:tmpl w:val="4DD8C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3FDE6D66"/>
    <w:multiLevelType w:val="hybridMultilevel"/>
    <w:tmpl w:val="80C0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4B57"/>
    <w:multiLevelType w:val="hybridMultilevel"/>
    <w:tmpl w:val="A9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996"/>
    <w:multiLevelType w:val="hybridMultilevel"/>
    <w:tmpl w:val="C0B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4679"/>
    <w:multiLevelType w:val="hybridMultilevel"/>
    <w:tmpl w:val="8BD29242"/>
    <w:lvl w:ilvl="0" w:tplc="A34AB848">
      <w:start w:val="1"/>
      <w:numFmt w:val="bullet"/>
      <w:lvlText w:val=""/>
      <w:lvlJc w:val="left"/>
      <w:pPr>
        <w:tabs>
          <w:tab w:val="num" w:pos="397"/>
        </w:tabs>
        <w:ind w:left="39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7657C"/>
    <w:multiLevelType w:val="multilevel"/>
    <w:tmpl w:val="B65ECC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96ABD"/>
    <w:multiLevelType w:val="hybridMultilevel"/>
    <w:tmpl w:val="1D12A6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4178B"/>
    <w:rsid w:val="00052F4E"/>
    <w:rsid w:val="00055FFF"/>
    <w:rsid w:val="00081B8B"/>
    <w:rsid w:val="00097530"/>
    <w:rsid w:val="000D0144"/>
    <w:rsid w:val="000F1BD0"/>
    <w:rsid w:val="00102F4D"/>
    <w:rsid w:val="00123079"/>
    <w:rsid w:val="00153596"/>
    <w:rsid w:val="0017400F"/>
    <w:rsid w:val="0018207A"/>
    <w:rsid w:val="00192913"/>
    <w:rsid w:val="001F21E9"/>
    <w:rsid w:val="00204BB7"/>
    <w:rsid w:val="00213DD7"/>
    <w:rsid w:val="00232577"/>
    <w:rsid w:val="00240D9A"/>
    <w:rsid w:val="002543EE"/>
    <w:rsid w:val="00260275"/>
    <w:rsid w:val="00262B1D"/>
    <w:rsid w:val="00266DBE"/>
    <w:rsid w:val="002B04A2"/>
    <w:rsid w:val="002B41E4"/>
    <w:rsid w:val="002E7F46"/>
    <w:rsid w:val="00360018"/>
    <w:rsid w:val="003621D6"/>
    <w:rsid w:val="00371033"/>
    <w:rsid w:val="00394650"/>
    <w:rsid w:val="00397F38"/>
    <w:rsid w:val="003E1265"/>
    <w:rsid w:val="0041490A"/>
    <w:rsid w:val="0043514A"/>
    <w:rsid w:val="00466444"/>
    <w:rsid w:val="00471C9A"/>
    <w:rsid w:val="0047444E"/>
    <w:rsid w:val="004A0DC2"/>
    <w:rsid w:val="004A1AF1"/>
    <w:rsid w:val="004A30DA"/>
    <w:rsid w:val="004B6FBA"/>
    <w:rsid w:val="004E7745"/>
    <w:rsid w:val="00502466"/>
    <w:rsid w:val="005030BE"/>
    <w:rsid w:val="0050411C"/>
    <w:rsid w:val="00510CAA"/>
    <w:rsid w:val="0052758F"/>
    <w:rsid w:val="00547B0F"/>
    <w:rsid w:val="00565341"/>
    <w:rsid w:val="00565B61"/>
    <w:rsid w:val="005670C1"/>
    <w:rsid w:val="00574136"/>
    <w:rsid w:val="005937E4"/>
    <w:rsid w:val="00593B60"/>
    <w:rsid w:val="00596EC1"/>
    <w:rsid w:val="005A3484"/>
    <w:rsid w:val="005D0A6A"/>
    <w:rsid w:val="005E1796"/>
    <w:rsid w:val="005F26BB"/>
    <w:rsid w:val="00620BF4"/>
    <w:rsid w:val="006214EE"/>
    <w:rsid w:val="006A6564"/>
    <w:rsid w:val="006C430C"/>
    <w:rsid w:val="006C73C9"/>
    <w:rsid w:val="006D150D"/>
    <w:rsid w:val="006D6771"/>
    <w:rsid w:val="00741D8A"/>
    <w:rsid w:val="0074715D"/>
    <w:rsid w:val="00784E60"/>
    <w:rsid w:val="007973A1"/>
    <w:rsid w:val="007A6D55"/>
    <w:rsid w:val="007F19ED"/>
    <w:rsid w:val="007F4515"/>
    <w:rsid w:val="00802CDA"/>
    <w:rsid w:val="00890B61"/>
    <w:rsid w:val="008A7532"/>
    <w:rsid w:val="008D13D6"/>
    <w:rsid w:val="008D4309"/>
    <w:rsid w:val="008E3383"/>
    <w:rsid w:val="008F2339"/>
    <w:rsid w:val="00907DEC"/>
    <w:rsid w:val="009335CF"/>
    <w:rsid w:val="00975790"/>
    <w:rsid w:val="009836B5"/>
    <w:rsid w:val="009956C3"/>
    <w:rsid w:val="009C6538"/>
    <w:rsid w:val="009D43D8"/>
    <w:rsid w:val="009E0552"/>
    <w:rsid w:val="009F6057"/>
    <w:rsid w:val="00A43031"/>
    <w:rsid w:val="00A43311"/>
    <w:rsid w:val="00A95E0B"/>
    <w:rsid w:val="00B1044B"/>
    <w:rsid w:val="00B40BAB"/>
    <w:rsid w:val="00B97BF9"/>
    <w:rsid w:val="00BB1B4F"/>
    <w:rsid w:val="00BC1E51"/>
    <w:rsid w:val="00BC2F45"/>
    <w:rsid w:val="00BE5C45"/>
    <w:rsid w:val="00C0382C"/>
    <w:rsid w:val="00C41CCC"/>
    <w:rsid w:val="00C712A7"/>
    <w:rsid w:val="00C8497D"/>
    <w:rsid w:val="00C954FA"/>
    <w:rsid w:val="00CA0C02"/>
    <w:rsid w:val="00CA155F"/>
    <w:rsid w:val="00CA41F0"/>
    <w:rsid w:val="00CB0344"/>
    <w:rsid w:val="00CC1F3F"/>
    <w:rsid w:val="00CC5C8A"/>
    <w:rsid w:val="00CD791E"/>
    <w:rsid w:val="00CE4DAE"/>
    <w:rsid w:val="00D05804"/>
    <w:rsid w:val="00D21684"/>
    <w:rsid w:val="00D46185"/>
    <w:rsid w:val="00D7358E"/>
    <w:rsid w:val="00DC5C3B"/>
    <w:rsid w:val="00DD16CA"/>
    <w:rsid w:val="00DD44CD"/>
    <w:rsid w:val="00DF0B96"/>
    <w:rsid w:val="00E26331"/>
    <w:rsid w:val="00E36A24"/>
    <w:rsid w:val="00E67D34"/>
    <w:rsid w:val="00E81F6C"/>
    <w:rsid w:val="00E90853"/>
    <w:rsid w:val="00EA7E29"/>
    <w:rsid w:val="00F4711B"/>
    <w:rsid w:val="00F56D89"/>
    <w:rsid w:val="00F610B8"/>
    <w:rsid w:val="00F649CA"/>
    <w:rsid w:val="00F74E48"/>
    <w:rsid w:val="00F832F8"/>
    <w:rsid w:val="00F850FD"/>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BFF35-4B66-4B49-A6CB-438DFA0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B"/>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B1044B"/>
    <w:pPr>
      <w:keepNext/>
      <w:outlineLvl w:val="0"/>
    </w:pPr>
    <w:rPr>
      <w:b/>
      <w:u w:val="single"/>
    </w:rPr>
  </w:style>
  <w:style w:type="paragraph" w:styleId="Heading2">
    <w:name w:val="heading 2"/>
    <w:basedOn w:val="Normal"/>
    <w:next w:val="Normal"/>
    <w:qFormat/>
    <w:rsid w:val="00B1044B"/>
    <w:pPr>
      <w:keepNext/>
      <w:jc w:val="center"/>
      <w:outlineLvl w:val="1"/>
    </w:pPr>
    <w:rPr>
      <w:rFonts w:ascii="Arial" w:hAnsi="Arial"/>
      <w:b/>
    </w:rPr>
  </w:style>
  <w:style w:type="paragraph" w:styleId="Heading3">
    <w:name w:val="heading 3"/>
    <w:basedOn w:val="Normal"/>
    <w:next w:val="Normal"/>
    <w:qFormat/>
    <w:rsid w:val="00B1044B"/>
    <w:pPr>
      <w:keepNext/>
      <w:outlineLvl w:val="2"/>
    </w:pPr>
    <w:rPr>
      <w:rFonts w:ascii="Arial" w:hAnsi="Arial"/>
      <w:b/>
    </w:rPr>
  </w:style>
  <w:style w:type="paragraph" w:styleId="Heading4">
    <w:name w:val="heading 4"/>
    <w:basedOn w:val="Normal"/>
    <w:next w:val="Normal"/>
    <w:qFormat/>
    <w:rsid w:val="00B1044B"/>
    <w:pPr>
      <w:keepNext/>
      <w:outlineLvl w:val="3"/>
    </w:pPr>
    <w:rPr>
      <w:sz w:val="36"/>
    </w:rPr>
  </w:style>
  <w:style w:type="paragraph" w:styleId="Heading5">
    <w:name w:val="heading 5"/>
    <w:basedOn w:val="Normal"/>
    <w:next w:val="Normal"/>
    <w:qFormat/>
    <w:rsid w:val="00B1044B"/>
    <w:pPr>
      <w:keepNext/>
      <w:ind w:left="-426" w:right="43"/>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4B"/>
    <w:pPr>
      <w:tabs>
        <w:tab w:val="center" w:pos="4153"/>
        <w:tab w:val="right" w:pos="8306"/>
      </w:tabs>
    </w:pPr>
    <w:rPr>
      <w:lang w:val="en-GB"/>
    </w:rPr>
  </w:style>
  <w:style w:type="paragraph" w:styleId="Footer">
    <w:name w:val="footer"/>
    <w:basedOn w:val="Normal"/>
    <w:rsid w:val="00B1044B"/>
    <w:pPr>
      <w:tabs>
        <w:tab w:val="center" w:pos="4320"/>
        <w:tab w:val="right" w:pos="8640"/>
      </w:tabs>
    </w:pPr>
  </w:style>
  <w:style w:type="paragraph" w:styleId="BodyText">
    <w:name w:val="Body Text"/>
    <w:basedOn w:val="Normal"/>
    <w:rsid w:val="00B1044B"/>
    <w:pPr>
      <w:jc w:val="center"/>
    </w:pPr>
  </w:style>
  <w:style w:type="paragraph" w:customStyle="1" w:styleId="cm17">
    <w:name w:val="cm17"/>
    <w:basedOn w:val="Normal"/>
    <w:rsid w:val="00397F38"/>
    <w:pPr>
      <w:overflowPunct/>
      <w:adjustRightInd/>
      <w:spacing w:after="245"/>
      <w:textAlignment w:val="auto"/>
    </w:pPr>
    <w:rPr>
      <w:rFonts w:ascii="Arial" w:hAnsi="Arial" w:cs="Arial"/>
      <w:szCs w:val="24"/>
      <w:lang w:val="en-GB"/>
    </w:rPr>
  </w:style>
  <w:style w:type="character" w:styleId="CommentReference">
    <w:name w:val="annotation reference"/>
    <w:basedOn w:val="DefaultParagraphFont"/>
    <w:rsid w:val="00E67D34"/>
    <w:rPr>
      <w:sz w:val="16"/>
      <w:szCs w:val="16"/>
    </w:rPr>
  </w:style>
  <w:style w:type="paragraph" w:styleId="CommentText">
    <w:name w:val="annotation text"/>
    <w:basedOn w:val="Normal"/>
    <w:link w:val="CommentTextChar"/>
    <w:rsid w:val="00E67D34"/>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E67D34"/>
  </w:style>
  <w:style w:type="paragraph" w:styleId="BalloonText">
    <w:name w:val="Balloon Text"/>
    <w:basedOn w:val="Normal"/>
    <w:link w:val="BalloonTextChar"/>
    <w:rsid w:val="00E67D34"/>
    <w:rPr>
      <w:rFonts w:ascii="Tahoma" w:hAnsi="Tahoma" w:cs="Tahoma"/>
      <w:sz w:val="16"/>
      <w:szCs w:val="16"/>
    </w:rPr>
  </w:style>
  <w:style w:type="character" w:customStyle="1" w:styleId="BalloonTextChar">
    <w:name w:val="Balloon Text Char"/>
    <w:basedOn w:val="DefaultParagraphFont"/>
    <w:link w:val="BalloonText"/>
    <w:rsid w:val="00E67D34"/>
    <w:rPr>
      <w:rFonts w:ascii="Tahoma" w:hAnsi="Tahoma" w:cs="Tahoma"/>
      <w:sz w:val="16"/>
      <w:szCs w:val="16"/>
      <w:lang w:val="en-US"/>
    </w:rPr>
  </w:style>
  <w:style w:type="paragraph" w:styleId="ListParagraph">
    <w:name w:val="List Paragraph"/>
    <w:basedOn w:val="Normal"/>
    <w:uiPriority w:val="34"/>
    <w:qFormat/>
    <w:rsid w:val="004E7745"/>
    <w:pPr>
      <w:ind w:left="720"/>
    </w:pPr>
  </w:style>
  <w:style w:type="paragraph" w:customStyle="1" w:styleId="Body">
    <w:name w:val="Body"/>
    <w:basedOn w:val="Normal"/>
    <w:link w:val="BodyChar1"/>
    <w:rsid w:val="00360018"/>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360018"/>
    <w:rPr>
      <w:rFonts w:ascii="Arial" w:hAnsi="Arial"/>
      <w:sz w:val="24"/>
    </w:rPr>
  </w:style>
  <w:style w:type="character" w:styleId="Hyperlink">
    <w:name w:val="Hyperlink"/>
    <w:basedOn w:val="DefaultParagraphFont"/>
    <w:rsid w:val="00360018"/>
    <w:rPr>
      <w:color w:val="0000FF"/>
      <w:u w:val="single"/>
    </w:rPr>
  </w:style>
  <w:style w:type="character" w:styleId="FollowedHyperlink">
    <w:name w:val="FollowedHyperlink"/>
    <w:basedOn w:val="DefaultParagraphFont"/>
    <w:semiHidden/>
    <w:unhideWhenUsed/>
    <w:rsid w:val="00510CAA"/>
    <w:rPr>
      <w:color w:val="800080" w:themeColor="followedHyperlink"/>
      <w:u w:val="single"/>
    </w:rPr>
  </w:style>
  <w:style w:type="paragraph" w:customStyle="1" w:styleId="Body1">
    <w:name w:val="Body 1"/>
    <w:basedOn w:val="Normal"/>
    <w:rsid w:val="004A1AF1"/>
    <w:pPr>
      <w:overflowPunct/>
      <w:autoSpaceDE/>
      <w:autoSpaceDN/>
      <w:adjustRightInd/>
      <w:ind w:left="851"/>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92AF-1FD4-42B9-8D00-C4320AF5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INDEPENDENT PERSONS SERVICE</vt:lpstr>
    </vt:vector>
  </TitlesOfParts>
  <Company>Darlington Borough Council</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PERSONS SERVICE</dc:title>
  <dc:creator>hal19710</dc:creator>
  <cp:lastModifiedBy>Karen Cooper</cp:lastModifiedBy>
  <cp:revision>3</cp:revision>
  <cp:lastPrinted>2010-03-08T07:56:00Z</cp:lastPrinted>
  <dcterms:created xsi:type="dcterms:W3CDTF">2022-07-25T08:53:00Z</dcterms:created>
  <dcterms:modified xsi:type="dcterms:W3CDTF">2022-07-25T08:57:00Z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776457438</vt:i4>
  </property>
  <property fmtid="{D5CDD505-2E9C-101B-9397-08002B2CF9AE}" pid="3" name="_NewReviewCycle">
    <vt:lpwstr/>
  </property>
  <property fmtid="{D5CDD505-2E9C-101B-9397-08002B2CF9AE}" pid="4" name="_EmailSubject">
    <vt:lpwstr>Advert for internet</vt:lpwstr>
  </property>
  <property fmtid="{D5CDD505-2E9C-101B-9397-08002B2CF9AE}" pid="5" name="_AuthorEmail">
    <vt:lpwstr>Karen.Cooper@hartlepool.gov.uk</vt:lpwstr>
  </property>
  <property fmtid="{D5CDD505-2E9C-101B-9397-08002B2CF9AE}" pid="6" name="_AuthorEmailDisplayName">
    <vt:lpwstr>Karen Cooper</vt:lpwstr>
  </property>
</Properties>
</file>